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1CDD" w14:textId="77777777" w:rsidR="001402E9" w:rsidRDefault="00923E79">
      <w:pPr>
        <w:ind w:right="-185"/>
        <w:jc w:val="center"/>
        <w:rPr>
          <w:sz w:val="20"/>
          <w:szCs w:val="20"/>
        </w:rPr>
      </w:pPr>
      <w:r>
        <w:rPr>
          <w:rFonts w:ascii="Calibri" w:eastAsia="Calibri" w:hAnsi="Calibri" w:cs="Calibri"/>
          <w:b/>
          <w:bCs/>
          <w:sz w:val="14"/>
          <w:szCs w:val="14"/>
        </w:rPr>
        <w:t>Journal of Physics and Its Applications</w:t>
      </w:r>
      <w:r w:rsidR="0003312B">
        <w:rPr>
          <w:rFonts w:ascii="Calibri" w:eastAsia="Calibri" w:hAnsi="Calibri" w:cs="Calibri"/>
          <w:sz w:val="14"/>
          <w:szCs w:val="14"/>
        </w:rPr>
        <w:t xml:space="preserve">, x(x) </w:t>
      </w:r>
      <w:proofErr w:type="spellStart"/>
      <w:r w:rsidR="0003312B">
        <w:rPr>
          <w:rFonts w:ascii="Calibri" w:eastAsia="Calibri" w:hAnsi="Calibri" w:cs="Calibri"/>
          <w:sz w:val="14"/>
          <w:szCs w:val="14"/>
        </w:rPr>
        <w:t>xxxx</w:t>
      </w:r>
      <w:proofErr w:type="spellEnd"/>
      <w:r w:rsidR="0003312B">
        <w:rPr>
          <w:rFonts w:ascii="Calibri" w:eastAsia="Calibri" w:hAnsi="Calibri" w:cs="Calibri"/>
          <w:sz w:val="14"/>
          <w:szCs w:val="14"/>
        </w:rPr>
        <w:t>, Pages: xx‐xx</w:t>
      </w:r>
    </w:p>
    <w:p w14:paraId="63802B77" w14:textId="77777777" w:rsidR="001402E9" w:rsidRDefault="001402E9">
      <w:pPr>
        <w:spacing w:line="20" w:lineRule="exact"/>
        <w:rPr>
          <w:sz w:val="24"/>
          <w:szCs w:val="24"/>
        </w:rPr>
      </w:pPr>
    </w:p>
    <w:p w14:paraId="4710649F" w14:textId="788CE91D" w:rsidR="001402E9" w:rsidRDefault="00071D2B">
      <w:pPr>
        <w:spacing w:line="210" w:lineRule="exact"/>
        <w:rPr>
          <w:sz w:val="24"/>
          <w:szCs w:val="24"/>
        </w:rPr>
      </w:pPr>
      <w:r>
        <w:rPr>
          <w:noProof/>
          <w:sz w:val="24"/>
          <w:szCs w:val="24"/>
        </w:rPr>
        <mc:AlternateContent>
          <mc:Choice Requires="wpg">
            <w:drawing>
              <wp:anchor distT="0" distB="0" distL="114300" distR="114300" simplePos="0" relativeHeight="251676672" behindDoc="0" locked="0" layoutInCell="1" allowOverlap="1" wp14:anchorId="6C3AF5F7" wp14:editId="4CAF34E4">
                <wp:simplePos x="0" y="0"/>
                <wp:positionH relativeFrom="column">
                  <wp:posOffset>973455</wp:posOffset>
                </wp:positionH>
                <wp:positionV relativeFrom="paragraph">
                  <wp:posOffset>82550</wp:posOffset>
                </wp:positionV>
                <wp:extent cx="4325620" cy="691515"/>
                <wp:effectExtent l="17145" t="13970" r="10160" b="18415"/>
                <wp:wrapNone/>
                <wp:docPr id="103165300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5620" cy="691515"/>
                          <a:chOff x="2667" y="1877"/>
                          <a:chExt cx="6812" cy="1089"/>
                        </a:xfrm>
                      </wpg:grpSpPr>
                      <wps:wsp>
                        <wps:cNvPr id="1696333063" name="Rectangle 32"/>
                        <wps:cNvSpPr>
                          <a:spLocks noChangeArrowheads="1"/>
                        </wps:cNvSpPr>
                        <wps:spPr bwMode="auto">
                          <a:xfrm>
                            <a:off x="2667" y="1877"/>
                            <a:ext cx="6812" cy="1089"/>
                          </a:xfrm>
                          <a:prstGeom prst="rect">
                            <a:avLst/>
                          </a:prstGeom>
                          <a:solidFill>
                            <a:schemeClr val="bg1">
                              <a:lumMod val="85000"/>
                              <a:lumOff val="0"/>
                            </a:schemeClr>
                          </a:solidFill>
                          <a:ln w="19050">
                            <a:solidFill>
                              <a:schemeClr val="bg1">
                                <a:lumMod val="100000"/>
                                <a:lumOff val="0"/>
                              </a:schemeClr>
                            </a:solidFill>
                            <a:miter lim="800000"/>
                            <a:headEnd/>
                            <a:tailEnd/>
                          </a:ln>
                        </wps:spPr>
                        <wps:txbx>
                          <w:txbxContent>
                            <w:p w14:paraId="6A7E6D5B" w14:textId="77777777" w:rsidR="001E35C4" w:rsidRDefault="001E35C4"/>
                            <w:p w14:paraId="0F361DD8" w14:textId="77777777" w:rsidR="001E35C4" w:rsidRDefault="001E35C4"/>
                            <w:p w14:paraId="2A239C85" w14:textId="77777777" w:rsidR="001E35C4" w:rsidRDefault="001E35C4"/>
                            <w:p w14:paraId="333864DF" w14:textId="77777777" w:rsidR="001E35C4" w:rsidRDefault="001E35C4"/>
                          </w:txbxContent>
                        </wps:txbx>
                        <wps:bodyPr rot="0" vert="horz" wrap="square" lIns="74295" tIns="8890" rIns="74295" bIns="8890" anchor="t" anchorCtr="0" upright="1">
                          <a:noAutofit/>
                        </wps:bodyPr>
                      </wps:wsp>
                      <wps:wsp>
                        <wps:cNvPr id="4298563" name="Text Box 33"/>
                        <wps:cNvSpPr txBox="1">
                          <a:spLocks noChangeArrowheads="1"/>
                        </wps:cNvSpPr>
                        <wps:spPr bwMode="auto">
                          <a:xfrm>
                            <a:off x="3448" y="2025"/>
                            <a:ext cx="5428"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4E696" w14:textId="77777777" w:rsidR="001E35C4" w:rsidRPr="002D4591" w:rsidRDefault="001E35C4" w:rsidP="001E35C4">
                              <w:pPr>
                                <w:jc w:val="center"/>
                                <w:rPr>
                                  <w:rFonts w:ascii="Cambria" w:hAnsi="Cambria" w:cs="Calibri"/>
                                  <w:sz w:val="30"/>
                                  <w:szCs w:val="30"/>
                                </w:rPr>
                              </w:pPr>
                              <w:r w:rsidRPr="002D4591">
                                <w:rPr>
                                  <w:rFonts w:ascii="Cambria" w:hAnsi="Cambria" w:cs="Calibri"/>
                                  <w:sz w:val="30"/>
                                  <w:szCs w:val="30"/>
                                </w:rPr>
                                <w:t>Journal of Physics and Its Applications</w:t>
                              </w:r>
                            </w:p>
                          </w:txbxContent>
                        </wps:txbx>
                        <wps:bodyPr rot="0" vert="horz" wrap="square" lIns="74295" tIns="8890" rIns="74295" bIns="8890" anchor="t" anchorCtr="0" upright="1">
                          <a:noAutofit/>
                        </wps:bodyPr>
                      </wps:wsp>
                      <wps:wsp>
                        <wps:cNvPr id="1618583519" name="Text Box 34"/>
                        <wps:cNvSpPr txBox="1">
                          <a:spLocks noChangeArrowheads="1"/>
                        </wps:cNvSpPr>
                        <wps:spPr bwMode="auto">
                          <a:xfrm>
                            <a:off x="3838" y="2547"/>
                            <a:ext cx="441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B9C14" w14:textId="77777777" w:rsidR="001E35C4" w:rsidRPr="001E35C4" w:rsidRDefault="001E35C4" w:rsidP="001E35C4">
                              <w:pPr>
                                <w:jc w:val="center"/>
                                <w:rPr>
                                  <w:rFonts w:ascii="Calibri" w:hAnsi="Calibri" w:cs="Calibri"/>
                                  <w:sz w:val="16"/>
                                  <w:szCs w:val="16"/>
                                </w:rPr>
                              </w:pPr>
                              <w:r w:rsidRPr="002D4591">
                                <w:rPr>
                                  <w:rFonts w:ascii="Cambria" w:hAnsi="Cambria" w:cs="Calibri"/>
                                  <w:sz w:val="20"/>
                                  <w:szCs w:val="20"/>
                                </w:rPr>
                                <w:t>Journal hom</w:t>
                              </w:r>
                              <w:r w:rsidR="00803928" w:rsidRPr="002D4591">
                                <w:rPr>
                                  <w:rFonts w:ascii="Cambria" w:hAnsi="Cambria" w:cs="Calibri"/>
                                  <w:sz w:val="20"/>
                                  <w:szCs w:val="20"/>
                                </w:rPr>
                                <w:t>e</w:t>
                              </w:r>
                              <w:r w:rsidRPr="002D4591">
                                <w:rPr>
                                  <w:rFonts w:ascii="Cambria" w:hAnsi="Cambria" w:cs="Calibri"/>
                                  <w:sz w:val="20"/>
                                  <w:szCs w:val="20"/>
                                </w:rPr>
                                <w:t>page : http:/www</w:t>
                              </w:r>
                              <w:r w:rsidRPr="001E35C4">
                                <w:rPr>
                                  <w:rFonts w:ascii="Calibri" w:hAnsi="Calibri" w:cs="Calibri"/>
                                  <w:sz w:val="16"/>
                                  <w:szCs w:val="16"/>
                                </w:rPr>
                                <w:t>.</w:t>
                              </w:r>
                            </w:p>
                            <w:p w14:paraId="279F8D33" w14:textId="77777777" w:rsidR="001E35C4" w:rsidRDefault="001E35C4"/>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AF5F7" id="Group 35" o:spid="_x0000_s1026" style="position:absolute;margin-left:76.65pt;margin-top:6.5pt;width:340.6pt;height:54.45pt;z-index:251676672" coordorigin="2667,1877" coordsize="6812,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">
                <v:rect id="Rectangle 32" o:spid="_x0000_s1027" style="position:absolute;left:2667;top:1877;width:6812;height: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" fillcolor="#d8d8d8 [2732]" strokecolor="white [3212]" strokeweight="1.5pt">
                  <v:textbox inset="5.85pt,.7pt,5.85pt,.7pt">
                    <w:txbxContent>
                      <w:p w14:paraId="6A7E6D5B" w14:textId="77777777" w:rsidR="001E35C4" w:rsidRDefault="001E35C4"/>
                      <w:p w14:paraId="0F361DD8" w14:textId="77777777" w:rsidR="001E35C4" w:rsidRDefault="001E35C4"/>
                      <w:p w14:paraId="2A239C85" w14:textId="77777777" w:rsidR="001E35C4" w:rsidRDefault="001E35C4"/>
                      <w:p w14:paraId="333864DF" w14:textId="77777777" w:rsidR="001E35C4" w:rsidRDefault="001E35C4"/>
                    </w:txbxContent>
                  </v:textbox>
                </v:rect>
                <v:shapetype id="_x0000_t202" coordsize="21600,21600" o:spt="202" path="m,l,21600r21600,l21600,xe">
                  <v:stroke joinstyle="miter"/>
                  <v:path gradientshapeok="t" o:connecttype="rect"/>
                </v:shapetype>
                <v:shape id="Text Box 33" o:spid="_x0000_s1028" type="#_x0000_t202" style="position:absolute;left:3448;top:2025;width:54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" filled="f" stroked="f">
                  <v:textbox inset="5.85pt,.7pt,5.85pt,.7pt">
                    <w:txbxContent>
                      <w:p w14:paraId="4CA4E696" w14:textId="77777777" w:rsidR="001E35C4" w:rsidRPr="002D4591" w:rsidRDefault="001E35C4" w:rsidP="001E35C4">
                        <w:pPr>
                          <w:jc w:val="center"/>
                          <w:rPr>
                            <w:rFonts w:ascii="Cambria" w:hAnsi="Cambria" w:cs="Calibri"/>
                            <w:sz w:val="30"/>
                            <w:szCs w:val="30"/>
                          </w:rPr>
                        </w:pPr>
                        <w:r w:rsidRPr="002D4591">
                          <w:rPr>
                            <w:rFonts w:ascii="Cambria" w:hAnsi="Cambria" w:cs="Calibri"/>
                            <w:sz w:val="30"/>
                            <w:szCs w:val="30"/>
                          </w:rPr>
                          <w:t>Journal of Physics and Its Applications</w:t>
                        </w:r>
                      </w:p>
                    </w:txbxContent>
                  </v:textbox>
                </v:shape>
                <v:shape id="Text Box 34" o:spid="_x0000_s1029" type="#_x0000_t202" style="position:absolute;left:3838;top:2547;width:441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" filled="f" stroked="f">
                  <v:textbox inset="5.85pt,.7pt,5.85pt,.7pt">
                    <w:txbxContent>
                      <w:p w14:paraId="38FB9C14" w14:textId="77777777" w:rsidR="001E35C4" w:rsidRPr="001E35C4" w:rsidRDefault="001E35C4" w:rsidP="001E35C4">
                        <w:pPr>
                          <w:jc w:val="center"/>
                          <w:rPr>
                            <w:rFonts w:ascii="Calibri" w:hAnsi="Calibri" w:cs="Calibri"/>
                            <w:sz w:val="16"/>
                            <w:szCs w:val="16"/>
                          </w:rPr>
                        </w:pPr>
                        <w:r w:rsidRPr="002D4591">
                          <w:rPr>
                            <w:rFonts w:ascii="Cambria" w:hAnsi="Cambria" w:cs="Calibri"/>
                            <w:sz w:val="20"/>
                            <w:szCs w:val="20"/>
                          </w:rPr>
                          <w:t>Journal hom</w:t>
                        </w:r>
                        <w:r w:rsidR="00803928" w:rsidRPr="002D4591">
                          <w:rPr>
                            <w:rFonts w:ascii="Cambria" w:hAnsi="Cambria" w:cs="Calibri"/>
                            <w:sz w:val="20"/>
                            <w:szCs w:val="20"/>
                          </w:rPr>
                          <w:t>e</w:t>
                        </w:r>
                        <w:r w:rsidRPr="002D4591">
                          <w:rPr>
                            <w:rFonts w:ascii="Cambria" w:hAnsi="Cambria" w:cs="Calibri"/>
                            <w:sz w:val="20"/>
                            <w:szCs w:val="20"/>
                          </w:rPr>
                          <w:t>page : http:/www</w:t>
                        </w:r>
                        <w:r w:rsidRPr="001E35C4">
                          <w:rPr>
                            <w:rFonts w:ascii="Calibri" w:hAnsi="Calibri" w:cs="Calibri"/>
                            <w:sz w:val="16"/>
                            <w:szCs w:val="16"/>
                          </w:rPr>
                          <w:t>.</w:t>
                        </w:r>
                      </w:p>
                      <w:p w14:paraId="279F8D33" w14:textId="77777777" w:rsidR="001E35C4" w:rsidRDefault="001E35C4"/>
                    </w:txbxContent>
                  </v:textbox>
                </v:shape>
              </v:group>
            </w:pict>
          </mc:Fallback>
        </mc:AlternateContent>
      </w:r>
      <w:r>
        <w:rPr>
          <w:noProof/>
          <w:sz w:val="24"/>
          <w:szCs w:val="24"/>
        </w:rPr>
        <mc:AlternateContent>
          <mc:Choice Requires="wps">
            <w:drawing>
              <wp:anchor distT="0" distB="0" distL="0" distR="0" simplePos="0" relativeHeight="251655168" behindDoc="0" locked="0" layoutInCell="0" allowOverlap="1" wp14:anchorId="2CFAF892" wp14:editId="1C7C4823">
                <wp:simplePos x="0" y="0"/>
                <wp:positionH relativeFrom="column">
                  <wp:posOffset>13970</wp:posOffset>
                </wp:positionH>
                <wp:positionV relativeFrom="paragraph">
                  <wp:posOffset>57785</wp:posOffset>
                </wp:positionV>
                <wp:extent cx="6091555" cy="0"/>
                <wp:effectExtent l="10160" t="8255" r="13335" b="10795"/>
                <wp:wrapNone/>
                <wp:docPr id="2134316074"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1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D0542" id="Shape 10" o:spid="_x0000_s1026" style="position:absolute;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pt,4.55pt" to="480.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" o:allowincell="f" strokeweight=".16931mm"/>
            </w:pict>
          </mc:Fallback>
        </mc:AlternateContent>
      </w:r>
    </w:p>
    <w:p w14:paraId="5AF11348" w14:textId="77777777" w:rsidR="001402E9" w:rsidRDefault="001402E9">
      <w:pPr>
        <w:spacing w:line="20" w:lineRule="exact"/>
        <w:rPr>
          <w:sz w:val="24"/>
          <w:szCs w:val="24"/>
        </w:rPr>
      </w:pPr>
    </w:p>
    <w:p w14:paraId="6D7DA418" w14:textId="77777777" w:rsidR="001402E9" w:rsidRDefault="001402E9">
      <w:pPr>
        <w:spacing w:line="99" w:lineRule="exact"/>
        <w:rPr>
          <w:sz w:val="24"/>
          <w:szCs w:val="24"/>
        </w:rPr>
      </w:pPr>
    </w:p>
    <w:p w14:paraId="080D1EFD" w14:textId="77777777" w:rsidR="001402E9" w:rsidRDefault="001402E9">
      <w:pPr>
        <w:spacing w:line="20" w:lineRule="exact"/>
        <w:rPr>
          <w:sz w:val="24"/>
          <w:szCs w:val="24"/>
        </w:rPr>
      </w:pPr>
    </w:p>
    <w:p w14:paraId="7A6A8388" w14:textId="77777777" w:rsidR="001402E9" w:rsidRDefault="001402E9">
      <w:pPr>
        <w:spacing w:line="200" w:lineRule="exact"/>
        <w:rPr>
          <w:sz w:val="24"/>
          <w:szCs w:val="24"/>
        </w:rPr>
      </w:pPr>
    </w:p>
    <w:p w14:paraId="6344FE60" w14:textId="77777777" w:rsidR="001E35C4" w:rsidRDefault="001E35C4">
      <w:pPr>
        <w:spacing w:line="200" w:lineRule="exact"/>
        <w:rPr>
          <w:sz w:val="24"/>
          <w:szCs w:val="24"/>
        </w:rPr>
      </w:pPr>
    </w:p>
    <w:p w14:paraId="68DFA062" w14:textId="77777777" w:rsidR="001E35C4" w:rsidRDefault="001E35C4">
      <w:pPr>
        <w:spacing w:line="200" w:lineRule="exact"/>
        <w:rPr>
          <w:sz w:val="24"/>
          <w:szCs w:val="24"/>
        </w:rPr>
      </w:pPr>
    </w:p>
    <w:p w14:paraId="6618C4F0" w14:textId="77777777" w:rsidR="001402E9" w:rsidRDefault="001402E9">
      <w:pPr>
        <w:spacing w:line="200" w:lineRule="exact"/>
        <w:rPr>
          <w:sz w:val="24"/>
          <w:szCs w:val="24"/>
        </w:rPr>
      </w:pPr>
    </w:p>
    <w:p w14:paraId="5F481642" w14:textId="3AE0247C" w:rsidR="001402E9" w:rsidRDefault="00071D2B">
      <w:pPr>
        <w:spacing w:line="320" w:lineRule="exact"/>
        <w:rPr>
          <w:sz w:val="24"/>
          <w:szCs w:val="24"/>
        </w:rPr>
      </w:pPr>
      <w:r>
        <w:rPr>
          <w:noProof/>
          <w:sz w:val="24"/>
          <w:szCs w:val="24"/>
        </w:rPr>
        <mc:AlternateContent>
          <mc:Choice Requires="wps">
            <w:drawing>
              <wp:anchor distT="0" distB="0" distL="0" distR="0" simplePos="0" relativeHeight="251677696" behindDoc="0" locked="0" layoutInCell="0" allowOverlap="1" wp14:anchorId="331ECBFC" wp14:editId="68630C6A">
                <wp:simplePos x="0" y="0"/>
                <wp:positionH relativeFrom="column">
                  <wp:posOffset>17780</wp:posOffset>
                </wp:positionH>
                <wp:positionV relativeFrom="paragraph">
                  <wp:posOffset>74930</wp:posOffset>
                </wp:positionV>
                <wp:extent cx="6091555" cy="0"/>
                <wp:effectExtent l="13970" t="12065" r="9525" b="6985"/>
                <wp:wrapNone/>
                <wp:docPr id="15911567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1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9EFFC" id="Line 36" o:spid="_x0000_s1026" style="position:absolute;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pt,5.9pt" to="481.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" o:allowincell="f" strokeweight=".16931mm"/>
            </w:pict>
          </mc:Fallback>
        </mc:AlternateContent>
      </w:r>
    </w:p>
    <w:p w14:paraId="6B8AD178" w14:textId="687B377C" w:rsidR="001402E9" w:rsidRPr="001E35C4" w:rsidRDefault="00B82AAA" w:rsidP="00633136">
      <w:pPr>
        <w:ind w:left="6"/>
        <w:rPr>
          <w:sz w:val="24"/>
          <w:szCs w:val="24"/>
        </w:rPr>
      </w:pPr>
      <w:r w:rsidRPr="00B82AAA">
        <w:rPr>
          <w:rFonts w:ascii="Cambria" w:eastAsia="Cambria" w:hAnsi="Cambria" w:cs="Cambria"/>
          <w:b/>
          <w:bCs/>
          <w:sz w:val="24"/>
          <w:szCs w:val="24"/>
        </w:rPr>
        <w:t>Detection</w:t>
      </w:r>
      <w:r w:rsidR="00633136" w:rsidRPr="00633136">
        <w:t xml:space="preserve"> </w:t>
      </w:r>
      <w:r w:rsidR="00633136" w:rsidRPr="00633136">
        <w:rPr>
          <w:rFonts w:ascii="Cambria" w:eastAsia="Cambria" w:hAnsi="Cambria" w:cs="Cambria"/>
          <w:b/>
          <w:bCs/>
          <w:sz w:val="24"/>
          <w:szCs w:val="24"/>
        </w:rPr>
        <w:t>of Altered Rock Zones by Applying the Essential Analyses of the Magnetic Method: A Case Study from the Lainea Geothermal Site, Southeast Sulawesi</w:t>
      </w:r>
    </w:p>
    <w:p w14:paraId="4792CD39" w14:textId="77777777" w:rsidR="001402E9" w:rsidRDefault="001402E9">
      <w:pPr>
        <w:spacing w:line="282" w:lineRule="exact"/>
        <w:rPr>
          <w:sz w:val="24"/>
          <w:szCs w:val="24"/>
        </w:rPr>
      </w:pPr>
    </w:p>
    <w:p w14:paraId="65D7DB72" w14:textId="0F465BD5" w:rsidR="001402E9" w:rsidRPr="001E35C4" w:rsidRDefault="00B82AAA">
      <w:pPr>
        <w:ind w:left="6"/>
        <w:rPr>
          <w:sz w:val="20"/>
          <w:szCs w:val="20"/>
          <w:vertAlign w:val="superscript"/>
        </w:rPr>
      </w:pPr>
      <w:r w:rsidRPr="00B82AAA">
        <w:rPr>
          <w:rFonts w:ascii="Cambria" w:eastAsia="Cambria" w:hAnsi="Cambria" w:cs="Cambria"/>
          <w:sz w:val="20"/>
          <w:szCs w:val="20"/>
        </w:rPr>
        <w:t>La Hamimu</w:t>
      </w:r>
      <w:r w:rsidRPr="00B82AAA">
        <w:rPr>
          <w:rFonts w:ascii="Cambria" w:eastAsia="Cambria" w:hAnsi="Cambria" w:cs="Cambria"/>
          <w:sz w:val="20"/>
          <w:szCs w:val="20"/>
          <w:vertAlign w:val="superscript"/>
        </w:rPr>
        <w:t>1</w:t>
      </w:r>
      <w:r w:rsidRPr="00B82AAA">
        <w:rPr>
          <w:rFonts w:ascii="Cambria" w:eastAsia="Cambria" w:hAnsi="Cambria" w:cs="Cambria"/>
          <w:sz w:val="20"/>
          <w:szCs w:val="20"/>
        </w:rPr>
        <w:t>, Al Rubayin</w:t>
      </w:r>
      <w:r w:rsidRPr="00B82AAA">
        <w:rPr>
          <w:rFonts w:ascii="Cambria" w:eastAsia="Cambria" w:hAnsi="Cambria" w:cs="Cambria"/>
          <w:sz w:val="20"/>
          <w:szCs w:val="20"/>
          <w:vertAlign w:val="superscript"/>
        </w:rPr>
        <w:t>2</w:t>
      </w:r>
      <w:r w:rsidRPr="00B82AAA">
        <w:rPr>
          <w:rFonts w:ascii="Cambria" w:eastAsia="Cambria" w:hAnsi="Cambria" w:cs="Cambria"/>
          <w:sz w:val="20"/>
          <w:szCs w:val="20"/>
        </w:rPr>
        <w:t>, Suryawan Safar</w:t>
      </w:r>
      <w:r w:rsidRPr="00B82AAA">
        <w:rPr>
          <w:rFonts w:ascii="Cambria" w:eastAsia="Cambria" w:hAnsi="Cambria" w:cs="Cambria"/>
          <w:sz w:val="20"/>
          <w:szCs w:val="20"/>
          <w:vertAlign w:val="superscript"/>
        </w:rPr>
        <w:t>3</w:t>
      </w:r>
      <w:r w:rsidRPr="00B82AAA">
        <w:rPr>
          <w:rFonts w:ascii="Cambria" w:eastAsia="Cambria" w:hAnsi="Cambria" w:cs="Cambria"/>
          <w:sz w:val="20"/>
          <w:szCs w:val="20"/>
        </w:rPr>
        <w:t xml:space="preserve">, </w:t>
      </w:r>
      <w:proofErr w:type="spellStart"/>
      <w:r w:rsidRPr="00B82AAA">
        <w:rPr>
          <w:rFonts w:ascii="Cambria" w:eastAsia="Cambria" w:hAnsi="Cambria" w:cs="Cambria"/>
          <w:sz w:val="20"/>
          <w:szCs w:val="20"/>
        </w:rPr>
        <w:t>Laode</w:t>
      </w:r>
      <w:proofErr w:type="spellEnd"/>
      <w:r w:rsidRPr="00B82AAA">
        <w:rPr>
          <w:rFonts w:ascii="Cambria" w:eastAsia="Cambria" w:hAnsi="Cambria" w:cs="Cambria"/>
          <w:sz w:val="20"/>
          <w:szCs w:val="20"/>
        </w:rPr>
        <w:t xml:space="preserve"> Ihksan Juarzan</w:t>
      </w:r>
      <w:r w:rsidRPr="00B82AAA">
        <w:rPr>
          <w:rFonts w:ascii="Cambria" w:eastAsia="Cambria" w:hAnsi="Cambria" w:cs="Cambria"/>
          <w:sz w:val="20"/>
          <w:szCs w:val="20"/>
          <w:vertAlign w:val="superscript"/>
        </w:rPr>
        <w:t>4</w:t>
      </w:r>
      <w:r w:rsidRPr="00B82AAA">
        <w:rPr>
          <w:rFonts w:ascii="Cambria" w:eastAsia="Cambria" w:hAnsi="Cambria" w:cs="Cambria"/>
          <w:sz w:val="20"/>
          <w:szCs w:val="20"/>
        </w:rPr>
        <w:t>, Indrawati</w:t>
      </w:r>
      <w:r w:rsidRPr="00B82AAA">
        <w:rPr>
          <w:rFonts w:ascii="Cambria" w:eastAsia="Cambria" w:hAnsi="Cambria" w:cs="Cambria"/>
          <w:sz w:val="20"/>
          <w:szCs w:val="20"/>
          <w:vertAlign w:val="superscript"/>
        </w:rPr>
        <w:t>5</w:t>
      </w:r>
    </w:p>
    <w:p w14:paraId="250A9928" w14:textId="77777777" w:rsidR="001402E9" w:rsidRDefault="001402E9">
      <w:pPr>
        <w:spacing w:line="136" w:lineRule="exact"/>
        <w:rPr>
          <w:sz w:val="24"/>
          <w:szCs w:val="24"/>
        </w:rPr>
      </w:pPr>
    </w:p>
    <w:p w14:paraId="22A246DC" w14:textId="248679CB" w:rsidR="001402E9" w:rsidRPr="00B82AAA" w:rsidRDefault="0003312B" w:rsidP="00B82AAA">
      <w:pPr>
        <w:ind w:left="6"/>
        <w:rPr>
          <w:rFonts w:ascii="Cambria" w:eastAsia="Cambria" w:hAnsi="Cambria" w:cs="Cambria"/>
          <w:i/>
          <w:iCs/>
          <w:sz w:val="16"/>
          <w:szCs w:val="16"/>
        </w:rPr>
      </w:pPr>
      <w:r w:rsidRPr="00B82AAA">
        <w:rPr>
          <w:rFonts w:ascii="Cambria" w:eastAsia="Cambria" w:hAnsi="Cambria" w:cs="Cambria"/>
          <w:i/>
          <w:iCs/>
          <w:sz w:val="16"/>
          <w:szCs w:val="16"/>
        </w:rPr>
        <w:t>1</w:t>
      </w:r>
      <w:r w:rsidR="00B82AAA" w:rsidRPr="00B82AAA">
        <w:rPr>
          <w:rFonts w:ascii="Cambria" w:eastAsia="Cambria" w:hAnsi="Cambria" w:cs="Cambria"/>
          <w:i/>
          <w:iCs/>
          <w:sz w:val="16"/>
          <w:szCs w:val="16"/>
        </w:rPr>
        <w:t xml:space="preserve">Department of Geophysical Engineering, </w:t>
      </w:r>
      <w:proofErr w:type="spellStart"/>
      <w:r w:rsidR="00B82AAA" w:rsidRPr="00B82AAA">
        <w:rPr>
          <w:rFonts w:ascii="Cambria" w:eastAsia="Cambria" w:hAnsi="Cambria" w:cs="Cambria"/>
          <w:i/>
          <w:iCs/>
          <w:sz w:val="16"/>
          <w:szCs w:val="16"/>
        </w:rPr>
        <w:t>Halu</w:t>
      </w:r>
      <w:proofErr w:type="spellEnd"/>
      <w:r w:rsidR="00B82AAA" w:rsidRPr="00B82AAA">
        <w:rPr>
          <w:rFonts w:ascii="Cambria" w:eastAsia="Cambria" w:hAnsi="Cambria" w:cs="Cambria"/>
          <w:i/>
          <w:iCs/>
          <w:sz w:val="16"/>
          <w:szCs w:val="16"/>
        </w:rPr>
        <w:t xml:space="preserve"> Oleo University, Email:</w:t>
      </w:r>
      <w:r w:rsidR="00B82AAA">
        <w:rPr>
          <w:rFonts w:ascii="Cambria" w:eastAsia="Cambria" w:hAnsi="Cambria" w:cs="Cambria"/>
          <w:i/>
          <w:iCs/>
          <w:sz w:val="16"/>
          <w:szCs w:val="16"/>
        </w:rPr>
        <w:t xml:space="preserve"> </w:t>
      </w:r>
      <w:hyperlink r:id="rId5" w:history="1">
        <w:r w:rsidR="00B82AAA" w:rsidRPr="00B8519D">
          <w:rPr>
            <w:rStyle w:val="Hyperlink"/>
            <w:rFonts w:ascii="Cambria" w:eastAsia="Cambria" w:hAnsi="Cambria" w:cs="Cambria"/>
            <w:i/>
            <w:iCs/>
            <w:sz w:val="16"/>
            <w:szCs w:val="16"/>
          </w:rPr>
          <w:t>lahamimu@uho.ac.id</w:t>
        </w:r>
      </w:hyperlink>
      <w:r w:rsidR="00B82AAA">
        <w:rPr>
          <w:rFonts w:ascii="Cambria" w:eastAsia="Cambria" w:hAnsi="Cambria" w:cs="Cambria"/>
          <w:i/>
          <w:iCs/>
          <w:sz w:val="16"/>
          <w:szCs w:val="16"/>
        </w:rPr>
        <w:t xml:space="preserve"> </w:t>
      </w:r>
    </w:p>
    <w:p w14:paraId="5B6B0D55" w14:textId="4FBD1028" w:rsidR="00B82AAA" w:rsidRDefault="00B82AAA" w:rsidP="00B82AAA">
      <w:pPr>
        <w:ind w:left="6"/>
        <w:rPr>
          <w:rFonts w:ascii="Cambria" w:eastAsia="Cambria" w:hAnsi="Cambria" w:cs="Cambria"/>
          <w:i/>
          <w:iCs/>
          <w:sz w:val="16"/>
          <w:szCs w:val="16"/>
        </w:rPr>
      </w:pPr>
      <w:bookmarkStart w:id="0" w:name="_Hlk210891648"/>
      <w:r w:rsidRPr="00B82AAA">
        <w:rPr>
          <w:rFonts w:ascii="Cambria" w:eastAsia="Cambria" w:hAnsi="Cambria" w:cs="Cambria"/>
          <w:i/>
          <w:iCs/>
          <w:sz w:val="16"/>
          <w:szCs w:val="16"/>
        </w:rPr>
        <w:t xml:space="preserve">2Department of Geophysical Engineering, </w:t>
      </w:r>
      <w:proofErr w:type="spellStart"/>
      <w:r w:rsidRPr="00B82AAA">
        <w:rPr>
          <w:rFonts w:ascii="Cambria" w:eastAsia="Cambria" w:hAnsi="Cambria" w:cs="Cambria"/>
          <w:i/>
          <w:iCs/>
          <w:sz w:val="16"/>
          <w:szCs w:val="16"/>
        </w:rPr>
        <w:t>Halu</w:t>
      </w:r>
      <w:proofErr w:type="spellEnd"/>
      <w:r w:rsidRPr="00B82AAA">
        <w:rPr>
          <w:rFonts w:ascii="Cambria" w:eastAsia="Cambria" w:hAnsi="Cambria" w:cs="Cambria"/>
          <w:i/>
          <w:iCs/>
          <w:sz w:val="16"/>
          <w:szCs w:val="16"/>
        </w:rPr>
        <w:t xml:space="preserve"> Oleo University, Email: </w:t>
      </w:r>
      <w:hyperlink r:id="rId6" w:history="1">
        <w:r w:rsidR="001D0944" w:rsidRPr="00B8519D">
          <w:rPr>
            <w:rStyle w:val="Hyperlink"/>
            <w:rFonts w:ascii="Cambria" w:eastAsia="Cambria" w:hAnsi="Cambria" w:cs="Cambria"/>
            <w:i/>
            <w:iCs/>
            <w:sz w:val="16"/>
            <w:szCs w:val="16"/>
          </w:rPr>
          <w:t>alrubaiyn@uho.ac.id</w:t>
        </w:r>
      </w:hyperlink>
      <w:r w:rsidR="001D0944">
        <w:rPr>
          <w:rFonts w:ascii="Cambria" w:eastAsia="Cambria" w:hAnsi="Cambria" w:cs="Cambria"/>
          <w:i/>
          <w:iCs/>
          <w:sz w:val="16"/>
          <w:szCs w:val="16"/>
        </w:rPr>
        <w:t xml:space="preserve"> </w:t>
      </w:r>
    </w:p>
    <w:bookmarkEnd w:id="0"/>
    <w:p w14:paraId="7331873D" w14:textId="1B01C748" w:rsidR="00B82AAA" w:rsidRDefault="00B82AAA" w:rsidP="00B82AAA">
      <w:pPr>
        <w:ind w:left="6"/>
        <w:rPr>
          <w:rFonts w:ascii="Cambria" w:eastAsia="Cambria" w:hAnsi="Cambria" w:cs="Cambria"/>
          <w:i/>
          <w:iCs/>
          <w:sz w:val="16"/>
          <w:szCs w:val="16"/>
        </w:rPr>
      </w:pPr>
      <w:r>
        <w:rPr>
          <w:rFonts w:ascii="Cambria" w:eastAsia="Cambria" w:hAnsi="Cambria" w:cs="Cambria"/>
          <w:i/>
          <w:iCs/>
          <w:sz w:val="16"/>
          <w:szCs w:val="16"/>
        </w:rPr>
        <w:t>3</w:t>
      </w:r>
      <w:r w:rsidRPr="00B82AAA">
        <w:rPr>
          <w:rFonts w:ascii="Cambria" w:eastAsia="Cambria" w:hAnsi="Cambria" w:cs="Cambria"/>
          <w:i/>
          <w:iCs/>
          <w:sz w:val="16"/>
          <w:szCs w:val="16"/>
        </w:rPr>
        <w:t>Department of Geo</w:t>
      </w:r>
      <w:r>
        <w:rPr>
          <w:rFonts w:ascii="Cambria" w:eastAsia="Cambria" w:hAnsi="Cambria" w:cs="Cambria"/>
          <w:i/>
          <w:iCs/>
          <w:sz w:val="16"/>
          <w:szCs w:val="16"/>
        </w:rPr>
        <w:t>logical</w:t>
      </w:r>
      <w:r w:rsidRPr="00B82AAA">
        <w:rPr>
          <w:rFonts w:ascii="Cambria" w:eastAsia="Cambria" w:hAnsi="Cambria" w:cs="Cambria"/>
          <w:i/>
          <w:iCs/>
          <w:sz w:val="16"/>
          <w:szCs w:val="16"/>
        </w:rPr>
        <w:t xml:space="preserve"> Engineering, </w:t>
      </w:r>
      <w:proofErr w:type="spellStart"/>
      <w:r w:rsidRPr="00B82AAA">
        <w:rPr>
          <w:rFonts w:ascii="Cambria" w:eastAsia="Cambria" w:hAnsi="Cambria" w:cs="Cambria"/>
          <w:i/>
          <w:iCs/>
          <w:sz w:val="16"/>
          <w:szCs w:val="16"/>
        </w:rPr>
        <w:t>Halu</w:t>
      </w:r>
      <w:proofErr w:type="spellEnd"/>
      <w:r w:rsidRPr="00B82AAA">
        <w:rPr>
          <w:rFonts w:ascii="Cambria" w:eastAsia="Cambria" w:hAnsi="Cambria" w:cs="Cambria"/>
          <w:i/>
          <w:iCs/>
          <w:sz w:val="16"/>
          <w:szCs w:val="16"/>
        </w:rPr>
        <w:t xml:space="preserve"> Oleo University, Email: </w:t>
      </w:r>
      <w:hyperlink r:id="rId7" w:history="1">
        <w:r w:rsidRPr="00B8519D">
          <w:rPr>
            <w:rStyle w:val="Hyperlink"/>
            <w:rFonts w:ascii="Cambria" w:eastAsia="Cambria" w:hAnsi="Cambria" w:cs="Cambria"/>
            <w:i/>
            <w:iCs/>
            <w:sz w:val="16"/>
            <w:szCs w:val="16"/>
          </w:rPr>
          <w:t>suryawan_tambang@uho.ac.id</w:t>
        </w:r>
      </w:hyperlink>
    </w:p>
    <w:p w14:paraId="7A5905EB" w14:textId="3E369BB8" w:rsidR="00B82AAA" w:rsidRPr="00B82AAA" w:rsidRDefault="00B82AAA" w:rsidP="00B82AAA">
      <w:pPr>
        <w:ind w:left="6"/>
        <w:rPr>
          <w:rFonts w:ascii="Cambria" w:eastAsia="Cambria" w:hAnsi="Cambria" w:cs="Cambria"/>
          <w:i/>
          <w:iCs/>
          <w:sz w:val="16"/>
          <w:szCs w:val="16"/>
        </w:rPr>
      </w:pPr>
      <w:r>
        <w:rPr>
          <w:rFonts w:ascii="Cambria" w:eastAsia="Cambria" w:hAnsi="Cambria" w:cs="Cambria"/>
          <w:i/>
          <w:iCs/>
          <w:sz w:val="16"/>
          <w:szCs w:val="16"/>
        </w:rPr>
        <w:t>4</w:t>
      </w:r>
      <w:r w:rsidRPr="00B82AAA">
        <w:rPr>
          <w:rFonts w:ascii="Cambria" w:eastAsia="Cambria" w:hAnsi="Cambria" w:cs="Cambria"/>
          <w:i/>
          <w:iCs/>
          <w:sz w:val="16"/>
          <w:szCs w:val="16"/>
        </w:rPr>
        <w:t xml:space="preserve">Department of Geophysical Engineering, </w:t>
      </w:r>
      <w:proofErr w:type="spellStart"/>
      <w:r w:rsidRPr="00B82AAA">
        <w:rPr>
          <w:rFonts w:ascii="Cambria" w:eastAsia="Cambria" w:hAnsi="Cambria" w:cs="Cambria"/>
          <w:i/>
          <w:iCs/>
          <w:sz w:val="16"/>
          <w:szCs w:val="16"/>
        </w:rPr>
        <w:t>Halu</w:t>
      </w:r>
      <w:proofErr w:type="spellEnd"/>
      <w:r w:rsidRPr="00B82AAA">
        <w:rPr>
          <w:rFonts w:ascii="Cambria" w:eastAsia="Cambria" w:hAnsi="Cambria" w:cs="Cambria"/>
          <w:i/>
          <w:iCs/>
          <w:sz w:val="16"/>
          <w:szCs w:val="16"/>
        </w:rPr>
        <w:t xml:space="preserve"> Oleo University, Email:</w:t>
      </w:r>
      <w:r>
        <w:rPr>
          <w:rFonts w:ascii="Cambria" w:eastAsia="Cambria" w:hAnsi="Cambria" w:cs="Cambria"/>
          <w:i/>
          <w:iCs/>
          <w:sz w:val="16"/>
          <w:szCs w:val="16"/>
        </w:rPr>
        <w:t xml:space="preserve"> </w:t>
      </w:r>
      <w:hyperlink r:id="rId8" w:history="1">
        <w:r w:rsidRPr="00B8519D">
          <w:rPr>
            <w:rStyle w:val="Hyperlink"/>
            <w:rFonts w:ascii="Cambria" w:eastAsia="Cambria" w:hAnsi="Cambria" w:cs="Cambria"/>
            <w:i/>
            <w:iCs/>
            <w:sz w:val="16"/>
            <w:szCs w:val="16"/>
          </w:rPr>
          <w:t>juarzan.ode@uho.ac.id</w:t>
        </w:r>
      </w:hyperlink>
      <w:r>
        <w:rPr>
          <w:rFonts w:ascii="Cambria" w:eastAsia="Cambria" w:hAnsi="Cambria" w:cs="Cambria"/>
          <w:i/>
          <w:iCs/>
          <w:sz w:val="16"/>
          <w:szCs w:val="16"/>
        </w:rPr>
        <w:t xml:space="preserve"> </w:t>
      </w:r>
    </w:p>
    <w:p w14:paraId="4444F8C4" w14:textId="7819F002" w:rsidR="00B82AAA" w:rsidRDefault="00B82AAA" w:rsidP="00B82AAA">
      <w:pPr>
        <w:ind w:left="6"/>
        <w:rPr>
          <w:rFonts w:ascii="Cambria" w:eastAsia="Cambria" w:hAnsi="Cambria" w:cs="Cambria"/>
          <w:i/>
          <w:iCs/>
          <w:sz w:val="16"/>
          <w:szCs w:val="16"/>
        </w:rPr>
      </w:pPr>
      <w:r>
        <w:rPr>
          <w:rFonts w:ascii="Cambria" w:eastAsia="Cambria" w:hAnsi="Cambria" w:cs="Cambria"/>
          <w:i/>
          <w:iCs/>
          <w:sz w:val="16"/>
          <w:szCs w:val="16"/>
        </w:rPr>
        <w:t>5</w:t>
      </w:r>
      <w:r w:rsidRPr="00B82AAA">
        <w:rPr>
          <w:rFonts w:ascii="Cambria" w:eastAsia="Cambria" w:hAnsi="Cambria" w:cs="Cambria"/>
          <w:i/>
          <w:iCs/>
          <w:sz w:val="16"/>
          <w:szCs w:val="16"/>
        </w:rPr>
        <w:t xml:space="preserve">Department of Geophysical Engineering, </w:t>
      </w:r>
      <w:proofErr w:type="spellStart"/>
      <w:r w:rsidRPr="00B82AAA">
        <w:rPr>
          <w:rFonts w:ascii="Cambria" w:eastAsia="Cambria" w:hAnsi="Cambria" w:cs="Cambria"/>
          <w:i/>
          <w:iCs/>
          <w:sz w:val="16"/>
          <w:szCs w:val="16"/>
        </w:rPr>
        <w:t>Halu</w:t>
      </w:r>
      <w:proofErr w:type="spellEnd"/>
      <w:r w:rsidRPr="00B82AAA">
        <w:rPr>
          <w:rFonts w:ascii="Cambria" w:eastAsia="Cambria" w:hAnsi="Cambria" w:cs="Cambria"/>
          <w:i/>
          <w:iCs/>
          <w:sz w:val="16"/>
          <w:szCs w:val="16"/>
        </w:rPr>
        <w:t xml:space="preserve"> Oleo University, Email: </w:t>
      </w:r>
      <w:hyperlink r:id="rId9" w:history="1">
        <w:r w:rsidRPr="00B8519D">
          <w:rPr>
            <w:rStyle w:val="Hyperlink"/>
            <w:rFonts w:ascii="Cambria" w:eastAsia="Cambria" w:hAnsi="Cambria" w:cs="Cambria"/>
            <w:i/>
            <w:iCs/>
            <w:sz w:val="16"/>
            <w:szCs w:val="16"/>
          </w:rPr>
          <w:t>indrawati@uho.ac.id</w:t>
        </w:r>
      </w:hyperlink>
      <w:r>
        <w:rPr>
          <w:rFonts w:ascii="Cambria" w:eastAsia="Cambria" w:hAnsi="Cambria" w:cs="Cambria"/>
          <w:i/>
          <w:iCs/>
          <w:sz w:val="16"/>
          <w:szCs w:val="16"/>
        </w:rPr>
        <w:t xml:space="preserve"> </w:t>
      </w:r>
    </w:p>
    <w:p w14:paraId="4E5263C9" w14:textId="4666DBA1" w:rsidR="001402E9" w:rsidRDefault="00071D2B">
      <w:pPr>
        <w:spacing w:line="20" w:lineRule="exact"/>
        <w:rPr>
          <w:sz w:val="24"/>
          <w:szCs w:val="24"/>
        </w:rPr>
      </w:pPr>
      <w:r>
        <w:rPr>
          <w:noProof/>
          <w:sz w:val="24"/>
          <w:szCs w:val="24"/>
        </w:rPr>
        <mc:AlternateContent>
          <mc:Choice Requires="wps">
            <w:drawing>
              <wp:anchor distT="0" distB="0" distL="0" distR="0" simplePos="0" relativeHeight="251656192" behindDoc="0" locked="0" layoutInCell="0" allowOverlap="1" wp14:anchorId="3F845F4F" wp14:editId="600BF946">
                <wp:simplePos x="0" y="0"/>
                <wp:positionH relativeFrom="column">
                  <wp:posOffset>0</wp:posOffset>
                </wp:positionH>
                <wp:positionV relativeFrom="paragraph">
                  <wp:posOffset>158750</wp:posOffset>
                </wp:positionV>
                <wp:extent cx="6125845" cy="0"/>
                <wp:effectExtent l="5715" t="12700" r="12065" b="6350"/>
                <wp:wrapNone/>
                <wp:docPr id="44006523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4D305" id="Shape 11" o:spid="_x0000_s1026" style="position:absolute;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5pt" to="4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7lrwEAAEgDAAAOAAAAZHJzL2Uyb0RvYy54bWysU8Fu2zAMvQ/YPwi6L3aCpei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" o:allowincell="f" strokeweight=".16931mm"/>
            </w:pict>
          </mc:Fallback>
        </mc:AlternateContent>
      </w:r>
    </w:p>
    <w:p w14:paraId="49CAEAEA" w14:textId="77777777" w:rsidR="001402E9" w:rsidRDefault="001402E9">
      <w:pPr>
        <w:sectPr w:rsidR="001402E9">
          <w:pgSz w:w="11900" w:h="16840"/>
          <w:pgMar w:top="451" w:right="1124" w:bottom="21" w:left="1134" w:header="0" w:footer="0" w:gutter="0"/>
          <w:cols w:space="720" w:equalWidth="0">
            <w:col w:w="9646"/>
          </w:cols>
        </w:sectPr>
      </w:pPr>
    </w:p>
    <w:p w14:paraId="08A2E522" w14:textId="77777777" w:rsidR="001402E9" w:rsidRDefault="001402E9">
      <w:pPr>
        <w:spacing w:line="200" w:lineRule="exact"/>
        <w:rPr>
          <w:sz w:val="24"/>
          <w:szCs w:val="24"/>
        </w:rPr>
      </w:pPr>
    </w:p>
    <w:p w14:paraId="6C3CFFD2" w14:textId="77777777" w:rsidR="001402E9" w:rsidRDefault="001402E9">
      <w:pPr>
        <w:spacing w:line="294" w:lineRule="exact"/>
        <w:rPr>
          <w:sz w:val="24"/>
          <w:szCs w:val="24"/>
        </w:rPr>
      </w:pPr>
    </w:p>
    <w:p w14:paraId="7B2F1D83" w14:textId="77777777" w:rsidR="001402E9" w:rsidRDefault="0003312B">
      <w:pPr>
        <w:ind w:left="6"/>
        <w:rPr>
          <w:sz w:val="20"/>
          <w:szCs w:val="20"/>
        </w:rPr>
      </w:pPr>
      <w:r>
        <w:rPr>
          <w:rFonts w:ascii="Cambria" w:eastAsia="Cambria" w:hAnsi="Cambria" w:cs="Cambria"/>
          <w:sz w:val="18"/>
          <w:szCs w:val="18"/>
        </w:rPr>
        <w:t>A R T I C L E  I N F O</w:t>
      </w:r>
    </w:p>
    <w:p w14:paraId="598C1F1A" w14:textId="2D9EAFFB" w:rsidR="001402E9" w:rsidRDefault="00071D2B">
      <w:pPr>
        <w:spacing w:line="20" w:lineRule="exact"/>
        <w:rPr>
          <w:sz w:val="24"/>
          <w:szCs w:val="24"/>
        </w:rPr>
      </w:pPr>
      <w:r>
        <w:rPr>
          <w:noProof/>
          <w:sz w:val="24"/>
          <w:szCs w:val="24"/>
        </w:rPr>
        <mc:AlternateContent>
          <mc:Choice Requires="wps">
            <w:drawing>
              <wp:anchor distT="0" distB="0" distL="0" distR="0" simplePos="0" relativeHeight="251657216" behindDoc="0" locked="0" layoutInCell="0" allowOverlap="1" wp14:anchorId="54492E98" wp14:editId="5A453F6A">
                <wp:simplePos x="0" y="0"/>
                <wp:positionH relativeFrom="column">
                  <wp:posOffset>0</wp:posOffset>
                </wp:positionH>
                <wp:positionV relativeFrom="paragraph">
                  <wp:posOffset>41910</wp:posOffset>
                </wp:positionV>
                <wp:extent cx="2011680" cy="0"/>
                <wp:effectExtent l="5715" t="13335" r="11430" b="5715"/>
                <wp:wrapNone/>
                <wp:docPr id="1068326993"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2554A" id="Shape 12"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3pt" to="158.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" o:allowincell="f" strokeweight=".16931mm"/>
            </w:pict>
          </mc:Fallback>
        </mc:AlternateContent>
      </w:r>
    </w:p>
    <w:p w14:paraId="6F9213AA" w14:textId="77777777" w:rsidR="001402E9" w:rsidRDefault="001402E9">
      <w:pPr>
        <w:spacing w:line="96" w:lineRule="exact"/>
        <w:rPr>
          <w:sz w:val="24"/>
          <w:szCs w:val="24"/>
        </w:rPr>
      </w:pPr>
    </w:p>
    <w:p w14:paraId="52095E30" w14:textId="77777777" w:rsidR="001402E9" w:rsidRDefault="0003312B">
      <w:pPr>
        <w:ind w:left="6"/>
        <w:rPr>
          <w:sz w:val="20"/>
          <w:szCs w:val="20"/>
        </w:rPr>
      </w:pPr>
      <w:r>
        <w:rPr>
          <w:rFonts w:ascii="Cambria" w:eastAsia="Cambria" w:hAnsi="Cambria" w:cs="Cambria"/>
          <w:i/>
          <w:iCs/>
          <w:sz w:val="18"/>
          <w:szCs w:val="18"/>
        </w:rPr>
        <w:t>Article history:</w:t>
      </w:r>
    </w:p>
    <w:p w14:paraId="4C6F33F9" w14:textId="77777777" w:rsidR="001402E9" w:rsidRDefault="001402E9">
      <w:pPr>
        <w:spacing w:line="14" w:lineRule="exact"/>
        <w:rPr>
          <w:sz w:val="24"/>
          <w:szCs w:val="24"/>
        </w:rPr>
      </w:pPr>
    </w:p>
    <w:p w14:paraId="6129BDCF" w14:textId="77777777" w:rsidR="001402E9" w:rsidRDefault="0003312B">
      <w:pPr>
        <w:ind w:left="6"/>
        <w:rPr>
          <w:sz w:val="20"/>
          <w:szCs w:val="20"/>
        </w:rPr>
      </w:pPr>
      <w:r>
        <w:rPr>
          <w:rFonts w:ascii="Cambria" w:eastAsia="Cambria" w:hAnsi="Cambria" w:cs="Cambria"/>
          <w:sz w:val="18"/>
          <w:szCs w:val="18"/>
        </w:rPr>
        <w:t>Received</w:t>
      </w:r>
    </w:p>
    <w:p w14:paraId="19638CB0" w14:textId="77777777" w:rsidR="001402E9" w:rsidRDefault="0003312B">
      <w:pPr>
        <w:ind w:left="6"/>
        <w:rPr>
          <w:sz w:val="20"/>
          <w:szCs w:val="20"/>
        </w:rPr>
      </w:pPr>
      <w:r>
        <w:rPr>
          <w:rFonts w:ascii="Cambria" w:eastAsia="Cambria" w:hAnsi="Cambria" w:cs="Cambria"/>
          <w:sz w:val="18"/>
          <w:szCs w:val="18"/>
        </w:rPr>
        <w:t>Accepted</w:t>
      </w:r>
    </w:p>
    <w:p w14:paraId="1B18F14A" w14:textId="77777777" w:rsidR="001402E9" w:rsidRDefault="0003312B">
      <w:pPr>
        <w:ind w:left="6"/>
        <w:rPr>
          <w:sz w:val="20"/>
          <w:szCs w:val="20"/>
        </w:rPr>
      </w:pPr>
      <w:r>
        <w:rPr>
          <w:rFonts w:ascii="Cambria" w:eastAsia="Cambria" w:hAnsi="Cambria" w:cs="Cambria"/>
          <w:sz w:val="18"/>
          <w:szCs w:val="18"/>
        </w:rPr>
        <w:t>Available online</w:t>
      </w:r>
    </w:p>
    <w:p w14:paraId="26ED63F3" w14:textId="703A9B68" w:rsidR="001402E9" w:rsidRDefault="00071D2B">
      <w:pPr>
        <w:spacing w:line="20" w:lineRule="exact"/>
        <w:rPr>
          <w:sz w:val="24"/>
          <w:szCs w:val="24"/>
        </w:rPr>
      </w:pPr>
      <w:r>
        <w:rPr>
          <w:noProof/>
          <w:sz w:val="24"/>
          <w:szCs w:val="24"/>
        </w:rPr>
        <mc:AlternateContent>
          <mc:Choice Requires="wps">
            <w:drawing>
              <wp:anchor distT="0" distB="0" distL="0" distR="0" simplePos="0" relativeHeight="251658240" behindDoc="0" locked="0" layoutInCell="0" allowOverlap="1" wp14:anchorId="168D4F58" wp14:editId="5217A5A5">
                <wp:simplePos x="0" y="0"/>
                <wp:positionH relativeFrom="column">
                  <wp:posOffset>0</wp:posOffset>
                </wp:positionH>
                <wp:positionV relativeFrom="paragraph">
                  <wp:posOffset>4445</wp:posOffset>
                </wp:positionV>
                <wp:extent cx="2011680" cy="0"/>
                <wp:effectExtent l="5715" t="13335" r="11430" b="5715"/>
                <wp:wrapNone/>
                <wp:docPr id="1060894212"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6A757" id="Shape 1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5pt" to="15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" o:allowincell="f" strokeweight=".48pt"/>
            </w:pict>
          </mc:Fallback>
        </mc:AlternateContent>
      </w:r>
    </w:p>
    <w:p w14:paraId="7C20205D" w14:textId="77777777" w:rsidR="001402E9" w:rsidRDefault="001402E9">
      <w:pPr>
        <w:spacing w:line="35" w:lineRule="exact"/>
        <w:rPr>
          <w:sz w:val="24"/>
          <w:szCs w:val="24"/>
        </w:rPr>
      </w:pPr>
    </w:p>
    <w:p w14:paraId="77868DBD" w14:textId="77777777" w:rsidR="001402E9" w:rsidRDefault="0003312B">
      <w:pPr>
        <w:ind w:left="6"/>
        <w:rPr>
          <w:sz w:val="20"/>
          <w:szCs w:val="20"/>
        </w:rPr>
      </w:pPr>
      <w:r>
        <w:rPr>
          <w:rFonts w:ascii="Cambria" w:eastAsia="Cambria" w:hAnsi="Cambria" w:cs="Cambria"/>
          <w:i/>
          <w:iCs/>
          <w:sz w:val="18"/>
          <w:szCs w:val="18"/>
        </w:rPr>
        <w:t>Keywords:</w:t>
      </w:r>
    </w:p>
    <w:p w14:paraId="7FF87288" w14:textId="77777777" w:rsidR="001402E9" w:rsidRDefault="001402E9">
      <w:pPr>
        <w:spacing w:line="14" w:lineRule="exact"/>
        <w:rPr>
          <w:sz w:val="24"/>
          <w:szCs w:val="24"/>
        </w:rPr>
      </w:pPr>
    </w:p>
    <w:p w14:paraId="4CE4A033" w14:textId="77777777" w:rsidR="003D39BD" w:rsidRPr="003D39BD" w:rsidRDefault="003D39BD" w:rsidP="003D39BD">
      <w:pPr>
        <w:pStyle w:val="Paragraph"/>
        <w:ind w:firstLine="0"/>
        <w:rPr>
          <w:rFonts w:ascii="Cambria" w:hAnsi="Cambria"/>
          <w:iCs/>
          <w:sz w:val="18"/>
          <w:szCs w:val="18"/>
        </w:rPr>
      </w:pPr>
      <w:r w:rsidRPr="003D39BD">
        <w:rPr>
          <w:rFonts w:ascii="Cambria" w:hAnsi="Cambria"/>
          <w:iCs/>
          <w:sz w:val="18"/>
          <w:szCs w:val="18"/>
        </w:rPr>
        <w:t>Essential analyses</w:t>
      </w:r>
    </w:p>
    <w:p w14:paraId="0405234B" w14:textId="77777777" w:rsidR="003D39BD" w:rsidRPr="003D39BD" w:rsidRDefault="003D39BD" w:rsidP="003D39BD">
      <w:pPr>
        <w:pStyle w:val="Paragraph"/>
        <w:ind w:firstLine="0"/>
        <w:rPr>
          <w:rFonts w:ascii="Cambria" w:hAnsi="Cambria"/>
          <w:iCs/>
          <w:sz w:val="18"/>
          <w:szCs w:val="18"/>
        </w:rPr>
      </w:pPr>
      <w:r w:rsidRPr="003D39BD">
        <w:rPr>
          <w:rFonts w:ascii="Cambria" w:hAnsi="Cambria"/>
          <w:iCs/>
          <w:sz w:val="18"/>
          <w:szCs w:val="18"/>
        </w:rPr>
        <w:t>Magnetic method</w:t>
      </w:r>
    </w:p>
    <w:p w14:paraId="300A378F" w14:textId="77777777" w:rsidR="003D39BD" w:rsidRPr="003D39BD" w:rsidRDefault="003D39BD" w:rsidP="003D39BD">
      <w:pPr>
        <w:pStyle w:val="Paragraph"/>
        <w:ind w:firstLine="0"/>
        <w:rPr>
          <w:rFonts w:ascii="Cambria" w:hAnsi="Cambria"/>
          <w:iCs/>
          <w:sz w:val="18"/>
          <w:szCs w:val="18"/>
        </w:rPr>
      </w:pPr>
      <w:r w:rsidRPr="003D39BD">
        <w:rPr>
          <w:rFonts w:ascii="Cambria" w:hAnsi="Cambria"/>
          <w:iCs/>
          <w:sz w:val="18"/>
          <w:szCs w:val="18"/>
        </w:rPr>
        <w:t>Total Magnetic Intensity (TMI)</w:t>
      </w:r>
    </w:p>
    <w:p w14:paraId="01D0E1A9" w14:textId="77777777" w:rsidR="003D39BD" w:rsidRPr="003D39BD" w:rsidRDefault="003D39BD" w:rsidP="003D39BD">
      <w:pPr>
        <w:pStyle w:val="Paragraph"/>
        <w:ind w:firstLine="0"/>
        <w:rPr>
          <w:rFonts w:ascii="Cambria" w:hAnsi="Cambria"/>
          <w:iCs/>
          <w:sz w:val="18"/>
          <w:szCs w:val="18"/>
        </w:rPr>
      </w:pPr>
      <w:r w:rsidRPr="003D39BD">
        <w:rPr>
          <w:rFonts w:ascii="Cambria" w:hAnsi="Cambria"/>
          <w:iCs/>
          <w:sz w:val="18"/>
          <w:szCs w:val="18"/>
        </w:rPr>
        <w:t>Euler deconvolution</w:t>
      </w:r>
    </w:p>
    <w:p w14:paraId="6DDDA85D" w14:textId="23219E08" w:rsidR="001402E9" w:rsidRPr="003D39BD" w:rsidRDefault="003D39BD" w:rsidP="003D39BD">
      <w:pPr>
        <w:pStyle w:val="Paragraph"/>
        <w:ind w:firstLine="0"/>
        <w:rPr>
          <w:rFonts w:ascii="Cambria" w:hAnsi="Cambria"/>
          <w:iCs/>
          <w:sz w:val="18"/>
          <w:szCs w:val="18"/>
        </w:rPr>
      </w:pPr>
      <w:r w:rsidRPr="003D39BD">
        <w:rPr>
          <w:rFonts w:ascii="Cambria" w:hAnsi="Cambria"/>
          <w:iCs/>
          <w:sz w:val="18"/>
          <w:szCs w:val="18"/>
        </w:rPr>
        <w:t>Altered rock zones</w:t>
      </w:r>
    </w:p>
    <w:p w14:paraId="6B90F7AF" w14:textId="2892BD77" w:rsidR="001402E9" w:rsidRDefault="00071D2B">
      <w:pPr>
        <w:spacing w:line="20" w:lineRule="exact"/>
        <w:rPr>
          <w:sz w:val="24"/>
          <w:szCs w:val="24"/>
        </w:rPr>
      </w:pPr>
      <w:r>
        <w:rPr>
          <w:noProof/>
          <w:sz w:val="24"/>
          <w:szCs w:val="24"/>
        </w:rPr>
        <mc:AlternateContent>
          <mc:Choice Requires="wps">
            <w:drawing>
              <wp:anchor distT="0" distB="0" distL="0" distR="0" simplePos="0" relativeHeight="251659264" behindDoc="0" locked="0" layoutInCell="0" allowOverlap="1" wp14:anchorId="46299971" wp14:editId="62BDDB4B">
                <wp:simplePos x="0" y="0"/>
                <wp:positionH relativeFrom="column">
                  <wp:posOffset>0</wp:posOffset>
                </wp:positionH>
                <wp:positionV relativeFrom="paragraph">
                  <wp:posOffset>6985</wp:posOffset>
                </wp:positionV>
                <wp:extent cx="2011680" cy="0"/>
                <wp:effectExtent l="5715" t="5715" r="11430" b="13335"/>
                <wp:wrapNone/>
                <wp:docPr id="1013611357"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3F87C" id="Shape 14"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5pt" to="15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" o:allowincell="f" strokeweight=".48pt"/>
            </w:pict>
          </mc:Fallback>
        </mc:AlternateContent>
      </w:r>
    </w:p>
    <w:p w14:paraId="337AF72D" w14:textId="71D0D6D1" w:rsidR="001402E9" w:rsidRDefault="0003312B">
      <w:pPr>
        <w:spacing w:line="20" w:lineRule="exact"/>
        <w:rPr>
          <w:sz w:val="24"/>
          <w:szCs w:val="24"/>
        </w:rPr>
      </w:pPr>
      <w:r>
        <w:rPr>
          <w:sz w:val="24"/>
          <w:szCs w:val="24"/>
        </w:rPr>
        <w:br w:type="column"/>
      </w:r>
    </w:p>
    <w:p w14:paraId="0F6943E8" w14:textId="77777777" w:rsidR="001402E9" w:rsidRDefault="001402E9">
      <w:pPr>
        <w:spacing w:line="200" w:lineRule="exact"/>
        <w:rPr>
          <w:sz w:val="24"/>
          <w:szCs w:val="24"/>
        </w:rPr>
      </w:pPr>
    </w:p>
    <w:p w14:paraId="545EC47E" w14:textId="77777777" w:rsidR="001402E9" w:rsidRDefault="001402E9">
      <w:pPr>
        <w:spacing w:line="274" w:lineRule="exact"/>
        <w:rPr>
          <w:sz w:val="24"/>
          <w:szCs w:val="24"/>
        </w:rPr>
      </w:pPr>
    </w:p>
    <w:p w14:paraId="52A4EBDD" w14:textId="77777777" w:rsidR="001402E9" w:rsidRDefault="0003312B">
      <w:pPr>
        <w:rPr>
          <w:sz w:val="20"/>
          <w:szCs w:val="20"/>
        </w:rPr>
      </w:pPr>
      <w:r>
        <w:rPr>
          <w:rFonts w:ascii="Cambria" w:eastAsia="Cambria" w:hAnsi="Cambria" w:cs="Cambria"/>
          <w:sz w:val="18"/>
          <w:szCs w:val="18"/>
        </w:rPr>
        <w:t>A B S T R A C T</w:t>
      </w:r>
    </w:p>
    <w:p w14:paraId="1BF9722D" w14:textId="4ACB46A3" w:rsidR="001402E9" w:rsidRDefault="001402E9">
      <w:pPr>
        <w:spacing w:line="20" w:lineRule="exact"/>
        <w:rPr>
          <w:sz w:val="24"/>
          <w:szCs w:val="24"/>
        </w:rPr>
      </w:pPr>
    </w:p>
    <w:p w14:paraId="4B9DE99C" w14:textId="7361BA5F" w:rsidR="001402E9" w:rsidRDefault="003D39BD">
      <w:pPr>
        <w:spacing w:line="83" w:lineRule="exact"/>
        <w:rPr>
          <w:sz w:val="24"/>
          <w:szCs w:val="24"/>
        </w:rPr>
      </w:pPr>
      <w:r>
        <w:rPr>
          <w:noProof/>
          <w:sz w:val="24"/>
          <w:szCs w:val="24"/>
        </w:rPr>
        <w:drawing>
          <wp:anchor distT="0" distB="0" distL="114300" distR="114300" simplePos="0" relativeHeight="251652096" behindDoc="1" locked="0" layoutInCell="0" allowOverlap="1" wp14:anchorId="44F05FEA" wp14:editId="2DC7E6CB">
            <wp:simplePos x="0" y="0"/>
            <wp:positionH relativeFrom="column">
              <wp:posOffset>-3464</wp:posOffset>
            </wp:positionH>
            <wp:positionV relativeFrom="paragraph">
              <wp:posOffset>26612</wp:posOffset>
            </wp:positionV>
            <wp:extent cx="3839992" cy="3186546"/>
            <wp:effectExtent l="0" t="0" r="825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3870466" cy="3211834"/>
                    </a:xfrm>
                    <a:prstGeom prst="rect">
                      <a:avLst/>
                    </a:prstGeom>
                    <a:noFill/>
                  </pic:spPr>
                </pic:pic>
              </a:graphicData>
            </a:graphic>
            <wp14:sizeRelV relativeFrom="margin">
              <wp14:pctHeight>0</wp14:pctHeight>
            </wp14:sizeRelV>
          </wp:anchor>
        </w:drawing>
      </w:r>
    </w:p>
    <w:p w14:paraId="0417E788" w14:textId="382465D8" w:rsidR="001402E9" w:rsidRDefault="003D39BD" w:rsidP="00633136">
      <w:pPr>
        <w:spacing w:line="232" w:lineRule="auto"/>
        <w:ind w:right="100"/>
        <w:jc w:val="both"/>
        <w:rPr>
          <w:sz w:val="20"/>
          <w:szCs w:val="20"/>
        </w:rPr>
      </w:pPr>
      <w:r w:rsidRPr="003D39BD">
        <w:rPr>
          <w:rFonts w:ascii="Cambria" w:eastAsia="Cambria" w:hAnsi="Cambria" w:cs="Cambria"/>
          <w:sz w:val="18"/>
          <w:szCs w:val="18"/>
        </w:rPr>
        <w:t xml:space="preserve">The </w:t>
      </w:r>
      <w:r w:rsidR="00633136" w:rsidRPr="00633136">
        <w:rPr>
          <w:rFonts w:ascii="Cambria" w:eastAsia="Cambria" w:hAnsi="Cambria" w:cs="Cambria"/>
          <w:sz w:val="18"/>
          <w:szCs w:val="18"/>
        </w:rPr>
        <w:t xml:space="preserve">essential analyses in the magnetic method are fundamental approaches of geophysical studies that should be commonly applied for interpreting the magnetic data. In this study, the essential analyses of the magnetic method incorporated several fundamental techniques such as analytic signal processing, upward continuation technique, horizontal gradient method (HGM), tilt angle derivative (TDR), and Euler deconvolution. These techniques were successfully applied to process the field data acquired from the Lainea geothermal site, South </w:t>
      </w:r>
      <w:proofErr w:type="spellStart"/>
      <w:r w:rsidR="00633136" w:rsidRPr="00633136">
        <w:rPr>
          <w:rFonts w:ascii="Cambria" w:eastAsia="Cambria" w:hAnsi="Cambria" w:cs="Cambria"/>
          <w:sz w:val="18"/>
          <w:szCs w:val="18"/>
        </w:rPr>
        <w:t>Konawe</w:t>
      </w:r>
      <w:proofErr w:type="spellEnd"/>
      <w:r w:rsidR="00633136" w:rsidRPr="00633136">
        <w:rPr>
          <w:rFonts w:ascii="Cambria" w:eastAsia="Cambria" w:hAnsi="Cambria" w:cs="Cambria"/>
          <w:sz w:val="18"/>
          <w:szCs w:val="18"/>
        </w:rPr>
        <w:t xml:space="preserve"> District, Southeast Sulawesi Province, Indonesia. The results of the magnetic data processing were then analyzed to characterize the anomaly sources. This analysis is applied to the total magnetic intensity (TMI). Based on the application of all essential stages in processing and analysis of magnetic data, it was found that signal analysis and Euler deconvolution were effective and efficient in analyzing the magnetic anomaly source. Furthermore, from the TMI map it can be verified that a positive anomaly trend corresponding to the main fault and formation distribution. The HGM implementation can accurately detect the edge boundary of the body anomaly in the form of the altered rock. Here, there are several magnetic lineation paths trending in the north-south (N-S), northeast-southwest (NE-SW), and northwest-southeast (NW-SE) directions. The combined results of TDR and Euler deconvolution can completely show the detection of edge and depth of the anomaly. In particular, the altered rock zones can be specifically found at </w:t>
      </w:r>
      <w:proofErr w:type="spellStart"/>
      <w:r w:rsidR="00633136" w:rsidRPr="00633136">
        <w:rPr>
          <w:rFonts w:ascii="Cambria" w:eastAsia="Cambria" w:hAnsi="Cambria" w:cs="Cambria"/>
          <w:sz w:val="18"/>
          <w:szCs w:val="18"/>
        </w:rPr>
        <w:t>Boroboro</w:t>
      </w:r>
      <w:proofErr w:type="spellEnd"/>
      <w:r w:rsidR="00633136" w:rsidRPr="00633136">
        <w:rPr>
          <w:rFonts w:ascii="Cambria" w:eastAsia="Cambria" w:hAnsi="Cambria" w:cs="Cambria"/>
          <w:sz w:val="18"/>
          <w:szCs w:val="18"/>
        </w:rPr>
        <w:t xml:space="preserve"> fault, Windo fault, </w:t>
      </w:r>
      <w:proofErr w:type="spellStart"/>
      <w:r w:rsidR="00633136" w:rsidRPr="00633136">
        <w:rPr>
          <w:rFonts w:ascii="Cambria" w:eastAsia="Cambria" w:hAnsi="Cambria" w:cs="Cambria"/>
          <w:sz w:val="18"/>
          <w:szCs w:val="18"/>
        </w:rPr>
        <w:t>Kaindi</w:t>
      </w:r>
      <w:proofErr w:type="spellEnd"/>
      <w:r w:rsidR="00633136" w:rsidRPr="00633136">
        <w:rPr>
          <w:rFonts w:ascii="Cambria" w:eastAsia="Cambria" w:hAnsi="Cambria" w:cs="Cambria"/>
          <w:sz w:val="18"/>
          <w:szCs w:val="18"/>
        </w:rPr>
        <w:t xml:space="preserve"> fault, </w:t>
      </w:r>
      <w:proofErr w:type="spellStart"/>
      <w:r w:rsidR="00633136" w:rsidRPr="00633136">
        <w:rPr>
          <w:rFonts w:ascii="Cambria" w:eastAsia="Cambria" w:hAnsi="Cambria" w:cs="Cambria"/>
          <w:sz w:val="18"/>
          <w:szCs w:val="18"/>
        </w:rPr>
        <w:t>Laindi</w:t>
      </w:r>
      <w:proofErr w:type="spellEnd"/>
      <w:r w:rsidR="00633136" w:rsidRPr="00633136">
        <w:rPr>
          <w:rFonts w:ascii="Cambria" w:eastAsia="Cambria" w:hAnsi="Cambria" w:cs="Cambria"/>
          <w:sz w:val="18"/>
          <w:szCs w:val="18"/>
        </w:rPr>
        <w:t xml:space="preserve"> fault, and Lainea fault. A contact anomaly indicating rock intrusion was detected at a depth of 1300–1500 m, which may be associated with the development of altered rock zones.</w:t>
      </w:r>
      <w:r w:rsidRPr="003D39BD">
        <w:rPr>
          <w:rFonts w:ascii="Cambria" w:eastAsia="Cambria" w:hAnsi="Cambria" w:cs="Cambria"/>
          <w:sz w:val="18"/>
          <w:szCs w:val="18"/>
        </w:rPr>
        <w:t xml:space="preserve"> </w:t>
      </w:r>
    </w:p>
    <w:p w14:paraId="241A086D" w14:textId="4E349550" w:rsidR="001402E9" w:rsidRDefault="003D39BD">
      <w:pPr>
        <w:spacing w:line="20" w:lineRule="exact"/>
        <w:rPr>
          <w:sz w:val="24"/>
          <w:szCs w:val="24"/>
        </w:rPr>
      </w:pPr>
      <w:r>
        <w:rPr>
          <w:noProof/>
          <w:sz w:val="24"/>
          <w:szCs w:val="24"/>
        </w:rPr>
        <w:drawing>
          <wp:anchor distT="0" distB="0" distL="114300" distR="114300" simplePos="0" relativeHeight="251653120" behindDoc="1" locked="0" layoutInCell="0" allowOverlap="1" wp14:anchorId="0E68C3F1" wp14:editId="07F3FA31">
            <wp:simplePos x="0" y="0"/>
            <wp:positionH relativeFrom="margin">
              <wp:align>right</wp:align>
            </wp:positionH>
            <wp:positionV relativeFrom="paragraph">
              <wp:posOffset>4102</wp:posOffset>
            </wp:positionV>
            <wp:extent cx="3840480" cy="146050"/>
            <wp:effectExtent l="0" t="0" r="762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3840480" cy="146050"/>
                    </a:xfrm>
                    <a:prstGeom prst="rect">
                      <a:avLst/>
                    </a:prstGeom>
                    <a:noFill/>
                  </pic:spPr>
                </pic:pic>
              </a:graphicData>
            </a:graphic>
          </wp:anchor>
        </w:drawing>
      </w:r>
    </w:p>
    <w:p w14:paraId="2463C80B" w14:textId="77777777" w:rsidR="001402E9" w:rsidRDefault="001402E9">
      <w:pPr>
        <w:rPr>
          <w:sz w:val="24"/>
          <w:szCs w:val="24"/>
        </w:rPr>
      </w:pPr>
    </w:p>
    <w:p w14:paraId="0AAFD567" w14:textId="77777777" w:rsidR="003D39BD" w:rsidRDefault="003D39BD">
      <w:pPr>
        <w:rPr>
          <w:sz w:val="24"/>
          <w:szCs w:val="24"/>
        </w:rPr>
      </w:pPr>
    </w:p>
    <w:p w14:paraId="4F2176DB" w14:textId="77777777" w:rsidR="003D39BD" w:rsidRDefault="003D39BD">
      <w:pPr>
        <w:sectPr w:rsidR="003D39BD">
          <w:type w:val="continuous"/>
          <w:pgSz w:w="11900" w:h="16840"/>
          <w:pgMar w:top="451" w:right="1124" w:bottom="21" w:left="1134" w:header="0" w:footer="0" w:gutter="0"/>
          <w:cols w:num="2" w:space="720" w:equalWidth="0">
            <w:col w:w="2886" w:space="720"/>
            <w:col w:w="6040"/>
          </w:cols>
        </w:sectPr>
      </w:pPr>
    </w:p>
    <w:p w14:paraId="51D98221" w14:textId="77777777" w:rsidR="001402E9" w:rsidRDefault="001402E9">
      <w:pPr>
        <w:spacing w:line="360" w:lineRule="exact"/>
        <w:rPr>
          <w:sz w:val="24"/>
          <w:szCs w:val="24"/>
        </w:rPr>
      </w:pPr>
    </w:p>
    <w:p w14:paraId="3EF1FC22" w14:textId="77777777" w:rsidR="00761ADB" w:rsidRDefault="00761ADB">
      <w:pPr>
        <w:ind w:left="6"/>
        <w:rPr>
          <w:rFonts w:ascii="Cambria" w:eastAsia="Cambria" w:hAnsi="Cambria" w:cs="Cambria"/>
          <w:b/>
          <w:bCs/>
          <w:sz w:val="20"/>
          <w:szCs w:val="20"/>
        </w:rPr>
        <w:sectPr w:rsidR="00761ADB" w:rsidSect="00A06E10">
          <w:type w:val="continuous"/>
          <w:pgSz w:w="11906" w:h="16838" w:code="9"/>
          <w:pgMar w:top="1134" w:right="1134" w:bottom="1134" w:left="1418" w:header="709" w:footer="709" w:gutter="0"/>
          <w:cols w:num="2" w:space="282"/>
          <w:docGrid w:linePitch="360"/>
        </w:sectPr>
      </w:pPr>
    </w:p>
    <w:p w14:paraId="20620C46" w14:textId="77777777" w:rsidR="001402E9" w:rsidRDefault="0003312B">
      <w:pPr>
        <w:ind w:left="6"/>
        <w:rPr>
          <w:sz w:val="20"/>
          <w:szCs w:val="20"/>
        </w:rPr>
      </w:pPr>
      <w:r>
        <w:rPr>
          <w:rFonts w:ascii="Cambria" w:eastAsia="Cambria" w:hAnsi="Cambria" w:cs="Cambria"/>
          <w:b/>
          <w:bCs/>
          <w:sz w:val="20"/>
          <w:szCs w:val="20"/>
        </w:rPr>
        <w:t>1. Introduction</w:t>
      </w:r>
    </w:p>
    <w:p w14:paraId="6C7D9C90" w14:textId="77777777" w:rsidR="001402E9" w:rsidRDefault="001402E9">
      <w:pPr>
        <w:spacing w:line="53" w:lineRule="exact"/>
        <w:rPr>
          <w:sz w:val="24"/>
          <w:szCs w:val="24"/>
        </w:rPr>
      </w:pPr>
    </w:p>
    <w:p w14:paraId="067B0143" w14:textId="5F6EF469" w:rsidR="00BF10D1" w:rsidRPr="00BF10D1" w:rsidRDefault="00BF10D1" w:rsidP="00BF10D1">
      <w:pPr>
        <w:spacing w:line="231" w:lineRule="auto"/>
        <w:ind w:left="6"/>
        <w:jc w:val="both"/>
        <w:rPr>
          <w:rFonts w:ascii="Cambria" w:eastAsia="Cambria" w:hAnsi="Cambria" w:cs="Cambria"/>
          <w:sz w:val="20"/>
          <w:szCs w:val="20"/>
        </w:rPr>
      </w:pPr>
      <w:r w:rsidRPr="00BF10D1">
        <w:rPr>
          <w:rFonts w:ascii="Cambria" w:eastAsia="Cambria" w:hAnsi="Cambria" w:cs="Cambria"/>
          <w:sz w:val="20"/>
          <w:szCs w:val="20"/>
        </w:rPr>
        <w:t>Potential field is an essential method in the geophysical exploration employed to explore natural resources based on the geologic structure involving the mapping of several magnetic parameter such as a dip, boundary, area, etc. [1]</w:t>
      </w:r>
      <w:r w:rsidRPr="00BF10D1">
        <w:rPr>
          <w:rFonts w:ascii="Cambria" w:eastAsia="Cambria" w:hAnsi="Cambria" w:cs="Cambria"/>
          <w:sz w:val="20"/>
          <w:szCs w:val="20"/>
        </w:rPr>
        <w:fldChar w:fldCharType="begin"/>
      </w:r>
      <w:r w:rsidRPr="00BF10D1">
        <w:rPr>
          <w:rFonts w:ascii="Cambria" w:eastAsia="Cambria" w:hAnsi="Cambria" w:cs="Cambria"/>
          <w:sz w:val="20"/>
          <w:szCs w:val="20"/>
        </w:rPr>
        <w:instrText xml:space="preserve"> ADDIN EN.CITE &lt;EndNote&gt;&lt;Cite&gt;&lt;Author&gt;Eldosouky&lt;/Author&gt;&lt;Year&gt;2020&lt;/Year&gt;&lt;RecNum&gt;35&lt;/RecNum&gt;&lt;DisplayText&gt;(Eldosouky and Saada, 2020)&lt;/DisplayText&gt;&lt;record&gt;&lt;rec-number&gt;35&lt;/rec-number&gt;&lt;foreign-keys&gt;&lt;key app="EN" db-id="xse090551v0rtge2wpexvarktexrfras2z0v" timestamp="1676432158" guid="db02623e-852f-4698-b265-70ed605a3190"&gt;35&lt;/key&gt;&lt;/foreign-keys&gt;&lt;ref-type name="Journal Article"&gt;17&lt;/ref-type&gt;&lt;contributors&gt;&lt;authors&gt;&lt;author&gt;Eldosouky, Ahmed Mohammed&lt;/author&gt;&lt;author&gt;Saada, Saada Ahmed&lt;/author&gt;&lt;/authors&gt;&lt;/contributors&gt;&lt;titles&gt;&lt;title&gt;Source edge detection (SED) of aeromagnetic data: synthetic examples and a case study from Haimur area, south Eastern Desert, Egypt&lt;/title&gt;&lt;secondary-title&gt;Arabian Journal of Geosciences&lt;/secondary-title&gt;&lt;/titles&gt;&lt;periodical&gt;&lt;full-title&gt;Arabian Journal of Geosciences&lt;/full-title&gt;&lt;/periodical&gt;&lt;pages&gt;626&lt;/pages&gt;&lt;volume&gt;13&lt;/volume&gt;&lt;number&gt;14&lt;/number&gt;&lt;dates&gt;&lt;year&gt;2020&lt;/year&gt;&lt;pub-dates&gt;&lt;date&gt;2020/07/10&lt;/date&gt;&lt;/pub-dates&gt;&lt;/dates&gt;&lt;isbn&gt;1866-7538&lt;/isbn&gt;&lt;urls&gt;&lt;related-urls&gt;&lt;url&gt;https://doi.org/10.1007/s12517-020-05653-8&lt;/url&gt;&lt;/related-urls&gt;&lt;/urls&gt;&lt;electronic-resource-num&gt;10.1007/s12517-020-05653-8&lt;/electronic-resource-num&gt;&lt;/record&gt;&lt;/Cite&gt;&lt;/EndNote&gt;</w:instrText>
      </w:r>
      <w:r w:rsidRPr="00BF10D1">
        <w:rPr>
          <w:rFonts w:ascii="Cambria" w:eastAsia="Cambria" w:hAnsi="Cambria" w:cs="Cambria"/>
          <w:sz w:val="20"/>
          <w:szCs w:val="20"/>
        </w:rPr>
        <w:fldChar w:fldCharType="separate"/>
      </w:r>
      <w:r w:rsidRPr="00BF10D1">
        <w:rPr>
          <w:rFonts w:ascii="Cambria" w:eastAsia="Cambria" w:hAnsi="Cambria" w:cs="Cambria"/>
          <w:sz w:val="20"/>
          <w:szCs w:val="20"/>
        </w:rPr>
        <w:fldChar w:fldCharType="end"/>
      </w:r>
      <w:r w:rsidRPr="00BF10D1">
        <w:rPr>
          <w:rFonts w:ascii="Cambria" w:eastAsia="Cambria" w:hAnsi="Cambria" w:cs="Cambria"/>
          <w:sz w:val="20"/>
          <w:szCs w:val="20"/>
        </w:rPr>
        <w:t xml:space="preserve">. The Magnetic data interpretation has the variously  complexity level from one dimensional (1D) simple model to  3D modeling with aim to perform a fully characterization of the anomaly sources ([2]). In the perspective of inverse modeling, optimization process including the fitting of observation data and calculation data can produce an estimation anomaly sources model having un-unique solution [3]. </w:t>
      </w:r>
    </w:p>
    <w:p w14:paraId="37EC16FF" w14:textId="77777777" w:rsidR="00BF10D1" w:rsidRPr="00BF10D1" w:rsidRDefault="00BF10D1" w:rsidP="00BF10D1">
      <w:pPr>
        <w:spacing w:line="234" w:lineRule="auto"/>
        <w:ind w:left="6" w:right="20" w:firstLine="284"/>
        <w:jc w:val="both"/>
        <w:rPr>
          <w:rFonts w:ascii="Cambria" w:eastAsia="Cambria" w:hAnsi="Cambria" w:cs="Cambria"/>
          <w:sz w:val="20"/>
          <w:szCs w:val="20"/>
        </w:rPr>
      </w:pPr>
      <w:r w:rsidRPr="00BF10D1">
        <w:rPr>
          <w:rFonts w:ascii="Cambria" w:eastAsia="Cambria" w:hAnsi="Cambria" w:cs="Cambria"/>
          <w:sz w:val="20"/>
          <w:szCs w:val="20"/>
        </w:rPr>
        <w:t>Some of techniques have been developed to characterize the anomaly sources. According to Saada [4], the analytic signal (AS), tilt angle derivative (TDR), Euler deconvolution (ED) are common techniques for characterizing the sources of anomaly.    The application of these techniques can characterize the anomaly model both edge detection and the depth of anomaly sources ([4], [5], [6], [7], [1]).</w:t>
      </w:r>
    </w:p>
    <w:p w14:paraId="773AFC31" w14:textId="77777777" w:rsidR="00BF10D1" w:rsidRPr="00BF10D1" w:rsidRDefault="00BF10D1" w:rsidP="00BF10D1">
      <w:pPr>
        <w:spacing w:line="231" w:lineRule="auto"/>
        <w:ind w:left="6"/>
        <w:jc w:val="both"/>
        <w:rPr>
          <w:rFonts w:ascii="Cambria" w:eastAsia="Cambria" w:hAnsi="Cambria" w:cs="Cambria"/>
          <w:sz w:val="20"/>
          <w:szCs w:val="20"/>
        </w:rPr>
      </w:pPr>
      <w:r w:rsidRPr="00BF10D1">
        <w:rPr>
          <w:rFonts w:ascii="Cambria" w:eastAsia="Cambria" w:hAnsi="Cambria" w:cs="Cambria"/>
          <w:sz w:val="20"/>
          <w:szCs w:val="20"/>
        </w:rPr>
        <w:t>In this work, analytic signal, tilt angle derivative, and Euler deconvolution are implemented on the field data of magnetic anomaly measured at Lainea geothermal site with aim to represent the anomaly sources characterization. Lainea is one of place having the potential geothermal located in Southeast Sulawesi Province, eastern part of Indonesia. This site performs several spots of hot spring manifested at earth’s surface as well as the altered rock [8].</w:t>
      </w:r>
    </w:p>
    <w:p w14:paraId="7A57499E" w14:textId="77777777" w:rsidR="005E39D2" w:rsidRDefault="00BF10D1" w:rsidP="005E39D2">
      <w:pPr>
        <w:spacing w:line="234" w:lineRule="auto"/>
        <w:ind w:left="6" w:right="20" w:firstLine="284"/>
        <w:jc w:val="both"/>
        <w:rPr>
          <w:rFonts w:ascii="Cambria" w:eastAsia="Cambria" w:hAnsi="Cambria" w:cs="Cambria"/>
          <w:sz w:val="20"/>
          <w:szCs w:val="20"/>
        </w:rPr>
      </w:pPr>
      <w:r w:rsidRPr="00BF10D1">
        <w:rPr>
          <w:rFonts w:ascii="Cambria" w:eastAsia="Cambria" w:hAnsi="Cambria" w:cs="Cambria"/>
          <w:sz w:val="20"/>
          <w:szCs w:val="20"/>
        </w:rPr>
        <w:t>In our previous study, we have been quantitatively investigated the geological structure employing the application of the geomorphic method. This method integrates the analysis of morphotectonics by joining data of digital elevation model (DEM) and lithology type.  Here, the activity of tectonic is manifestly classified by using index of activity called relative tectonic activity index (RTAI). This index can be generally produced from the geological and geomorphological structures [9].</w:t>
      </w:r>
    </w:p>
    <w:p w14:paraId="4B767312" w14:textId="2ECADE8C" w:rsidR="00BF10D1" w:rsidRPr="00BF10D1" w:rsidRDefault="00CF794C" w:rsidP="00CF794C">
      <w:pPr>
        <w:spacing w:line="234" w:lineRule="auto"/>
        <w:ind w:left="6" w:right="20" w:firstLine="284"/>
        <w:jc w:val="both"/>
        <w:rPr>
          <w:rFonts w:ascii="Cambria" w:eastAsia="Cambria" w:hAnsi="Cambria" w:cs="Cambria"/>
          <w:sz w:val="20"/>
          <w:szCs w:val="20"/>
        </w:rPr>
      </w:pPr>
      <w:r w:rsidRPr="00CF794C">
        <w:rPr>
          <w:rFonts w:ascii="Cambria" w:eastAsia="Cambria" w:hAnsi="Cambria" w:cs="Cambria"/>
          <w:sz w:val="20"/>
          <w:szCs w:val="20"/>
        </w:rPr>
        <w:t>Based on the results obtained from the analysis of the RTAI, it is classifiably found that there are classes of the tectonic activity presented in the area of study that is high tectonic activity, medium tectonic activity, and low tectonic activity. According to Hamimu et al., (2022), the high activity of tectonic at the Lainea geothermal site covering two watersheds with total area of ± 20.5 km</w:t>
      </w:r>
      <w:r w:rsidRPr="00CF794C">
        <w:rPr>
          <w:rFonts w:ascii="Cambria" w:eastAsia="Cambria" w:hAnsi="Cambria" w:cs="Cambria"/>
          <w:sz w:val="20"/>
          <w:szCs w:val="20"/>
          <w:vertAlign w:val="superscript"/>
          <w:lang w:val="id-ID"/>
        </w:rPr>
        <w:t>2</w:t>
      </w:r>
      <w:r w:rsidRPr="00CF794C">
        <w:rPr>
          <w:rFonts w:ascii="Cambria" w:eastAsia="Cambria" w:hAnsi="Cambria" w:cs="Cambria"/>
          <w:sz w:val="20"/>
          <w:szCs w:val="20"/>
        </w:rPr>
        <w:t>. The medium tectonic and low tectonic activities are respectively covering five watersheds with total area of ± 40.9 km</w:t>
      </w:r>
      <w:r w:rsidRPr="00CF794C">
        <w:rPr>
          <w:rFonts w:ascii="Cambria" w:eastAsia="Cambria" w:hAnsi="Cambria" w:cs="Cambria"/>
          <w:sz w:val="20"/>
          <w:szCs w:val="20"/>
          <w:vertAlign w:val="superscript"/>
        </w:rPr>
        <w:t>2</w:t>
      </w:r>
      <w:r w:rsidRPr="00CF794C">
        <w:rPr>
          <w:rFonts w:ascii="Cambria" w:eastAsia="Cambria" w:hAnsi="Cambria" w:cs="Cambria"/>
          <w:sz w:val="20"/>
          <w:szCs w:val="20"/>
        </w:rPr>
        <w:t xml:space="preserve"> and two watersheds with total area of ± 12.8 km</w:t>
      </w:r>
      <w:r w:rsidRPr="00CF794C">
        <w:rPr>
          <w:rFonts w:ascii="Cambria" w:eastAsia="Cambria" w:hAnsi="Cambria" w:cs="Cambria"/>
          <w:sz w:val="20"/>
          <w:szCs w:val="20"/>
          <w:vertAlign w:val="superscript"/>
        </w:rPr>
        <w:t>2</w:t>
      </w:r>
      <w:r w:rsidRPr="00CF794C">
        <w:rPr>
          <w:rFonts w:ascii="Cambria" w:eastAsia="Cambria" w:hAnsi="Cambria" w:cs="Cambria"/>
          <w:sz w:val="20"/>
          <w:szCs w:val="20"/>
        </w:rPr>
        <w:t>. Basically, the tectonic locations having a class of high activity should certainly generate the high possibility of seismic hazards due to the propagation of the geological structures</w:t>
      </w:r>
      <w:r>
        <w:rPr>
          <w:rFonts w:ascii="Cambria" w:eastAsia="Cambria" w:hAnsi="Cambria" w:cs="Cambria"/>
          <w:sz w:val="20"/>
          <w:szCs w:val="20"/>
        </w:rPr>
        <w:t xml:space="preserve">. </w:t>
      </w:r>
    </w:p>
    <w:p w14:paraId="5F1BEE1D" w14:textId="77777777" w:rsidR="001402E9" w:rsidRDefault="001402E9">
      <w:pPr>
        <w:spacing w:line="218" w:lineRule="exact"/>
        <w:rPr>
          <w:sz w:val="24"/>
          <w:szCs w:val="24"/>
        </w:rPr>
      </w:pPr>
    </w:p>
    <w:p w14:paraId="5DAC028D" w14:textId="4BFC5CF3" w:rsidR="001402E9" w:rsidRDefault="0003312B" w:rsidP="00BF10D1">
      <w:pPr>
        <w:ind w:left="6"/>
        <w:rPr>
          <w:sz w:val="24"/>
          <w:szCs w:val="24"/>
        </w:rPr>
      </w:pPr>
      <w:r>
        <w:rPr>
          <w:rFonts w:ascii="Cambria" w:eastAsia="Cambria" w:hAnsi="Cambria" w:cs="Cambria"/>
          <w:b/>
          <w:bCs/>
          <w:sz w:val="20"/>
          <w:szCs w:val="20"/>
        </w:rPr>
        <w:t xml:space="preserve">2. </w:t>
      </w:r>
      <w:r w:rsidR="00BF10D1" w:rsidRPr="00BF10D1">
        <w:rPr>
          <w:rFonts w:ascii="Cambria" w:eastAsia="Cambria" w:hAnsi="Cambria" w:cs="Cambria"/>
          <w:b/>
          <w:bCs/>
          <w:sz w:val="20"/>
          <w:szCs w:val="20"/>
        </w:rPr>
        <w:t>Brief Review of the Geology of Research Area</w:t>
      </w:r>
    </w:p>
    <w:p w14:paraId="4DD30E96" w14:textId="77777777" w:rsidR="00761ADB" w:rsidRDefault="00BF10D1" w:rsidP="00BF10D1">
      <w:pPr>
        <w:spacing w:line="222" w:lineRule="auto"/>
        <w:ind w:left="6" w:right="20"/>
        <w:jc w:val="both"/>
        <w:rPr>
          <w:rFonts w:ascii="Cambria" w:eastAsia="Cambria" w:hAnsi="Cambria" w:cs="Cambria"/>
          <w:sz w:val="20"/>
          <w:szCs w:val="20"/>
        </w:rPr>
      </w:pPr>
      <w:r w:rsidRPr="00BF10D1">
        <w:rPr>
          <w:rFonts w:ascii="Cambria" w:eastAsia="Cambria" w:hAnsi="Cambria" w:cs="Cambria"/>
          <w:sz w:val="20"/>
          <w:szCs w:val="20"/>
        </w:rPr>
        <w:t xml:space="preserve">Research area in this study is the part of Southeast arm of Sulawesi composed of several types of rock. The distribution of rocks in this study area is shown in </w:t>
      </w:r>
      <w:r w:rsidRPr="005E39D2">
        <w:rPr>
          <w:rFonts w:ascii="Cambria" w:eastAsia="Cambria" w:hAnsi="Cambria" w:cs="Cambria"/>
          <w:b/>
          <w:bCs/>
          <w:sz w:val="20"/>
          <w:szCs w:val="20"/>
        </w:rPr>
        <w:t>Fig</w:t>
      </w:r>
      <w:r w:rsidR="00761ADB" w:rsidRPr="005E39D2">
        <w:rPr>
          <w:rFonts w:ascii="Cambria" w:eastAsia="Cambria" w:hAnsi="Cambria" w:cs="Cambria"/>
          <w:b/>
          <w:bCs/>
          <w:sz w:val="20"/>
          <w:szCs w:val="20"/>
        </w:rPr>
        <w:t xml:space="preserve">. </w:t>
      </w:r>
      <w:r w:rsidRPr="005E39D2">
        <w:rPr>
          <w:rFonts w:ascii="Cambria" w:eastAsia="Cambria" w:hAnsi="Cambria" w:cs="Cambria"/>
          <w:b/>
          <w:bCs/>
          <w:sz w:val="20"/>
          <w:szCs w:val="20"/>
        </w:rPr>
        <w:t>1.</w:t>
      </w:r>
      <w:r w:rsidRPr="00BF10D1">
        <w:rPr>
          <w:rFonts w:ascii="Cambria" w:eastAsia="Cambria" w:hAnsi="Cambria" w:cs="Cambria"/>
          <w:sz w:val="20"/>
          <w:szCs w:val="20"/>
        </w:rPr>
        <w:t xml:space="preserve">  </w:t>
      </w:r>
    </w:p>
    <w:p w14:paraId="32C0E135" w14:textId="77777777" w:rsidR="005E39D2" w:rsidRDefault="005E39D2" w:rsidP="00BF10D1">
      <w:pPr>
        <w:spacing w:line="222" w:lineRule="auto"/>
        <w:ind w:left="6" w:right="20"/>
        <w:jc w:val="both"/>
        <w:rPr>
          <w:rFonts w:ascii="Cambria" w:eastAsia="Cambria" w:hAnsi="Cambria" w:cs="Cambria"/>
          <w:sz w:val="20"/>
          <w:szCs w:val="20"/>
        </w:rPr>
      </w:pPr>
    </w:p>
    <w:p w14:paraId="21D3FC25" w14:textId="46E7C71C" w:rsidR="00761ADB" w:rsidRDefault="00761ADB" w:rsidP="00BF10D1">
      <w:pPr>
        <w:spacing w:line="222" w:lineRule="auto"/>
        <w:ind w:left="6" w:right="20"/>
        <w:jc w:val="both"/>
        <w:rPr>
          <w:rFonts w:ascii="Cambria" w:eastAsia="Cambria" w:hAnsi="Cambria" w:cs="Cambria"/>
          <w:sz w:val="20"/>
          <w:szCs w:val="20"/>
        </w:rPr>
      </w:pPr>
      <w:r>
        <w:rPr>
          <w:rFonts w:ascii="Gulliver-Regular" w:hAnsi="Gulliver-Regular"/>
          <w:noProof/>
          <w:sz w:val="18"/>
          <w:szCs w:val="18"/>
        </w:rPr>
        <w:drawing>
          <wp:inline distT="0" distB="0" distL="0" distR="0" wp14:anchorId="44CE5211" wp14:editId="23FB222F">
            <wp:extent cx="2789555" cy="2175286"/>
            <wp:effectExtent l="0" t="0" r="0" b="0"/>
            <wp:docPr id="970764525" name="Picture 97076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2" cstate="print">
                      <a:extLst>
                        <a:ext uri="{28A0092B-C50C-407E-A947-70E740481C1C}">
                          <a14:useLocalDpi xmlns:a14="http://schemas.microsoft.com/office/drawing/2010/main" val="0"/>
                        </a:ext>
                      </a:extLst>
                    </a:blip>
                    <a:srcRect l="5131" r="4212"/>
                    <a:stretch/>
                  </pic:blipFill>
                  <pic:spPr bwMode="auto">
                    <a:xfrm>
                      <a:off x="0" y="0"/>
                      <a:ext cx="2789555" cy="2175286"/>
                    </a:xfrm>
                    <a:prstGeom prst="rect">
                      <a:avLst/>
                    </a:prstGeom>
                    <a:ln>
                      <a:noFill/>
                    </a:ln>
                    <a:extLst>
                      <a:ext uri="{53640926-AAD7-44D8-BBD7-CCE9431645EC}">
                        <a14:shadowObscured xmlns:a14="http://schemas.microsoft.com/office/drawing/2010/main"/>
                      </a:ext>
                    </a:extLst>
                  </pic:spPr>
                </pic:pic>
              </a:graphicData>
            </a:graphic>
          </wp:inline>
        </w:drawing>
      </w:r>
    </w:p>
    <w:p w14:paraId="73131A88" w14:textId="16C24A7E" w:rsidR="00761ADB" w:rsidRDefault="00761ADB" w:rsidP="00BF10D1">
      <w:pPr>
        <w:spacing w:line="222" w:lineRule="auto"/>
        <w:ind w:left="6" w:right="20"/>
        <w:jc w:val="both"/>
        <w:rPr>
          <w:rFonts w:ascii="Cambria" w:eastAsia="Calibri" w:hAnsi="Cambria" w:cs="Arial"/>
          <w:sz w:val="18"/>
          <w:szCs w:val="18"/>
          <w:lang w:val="id-ID" w:eastAsia="en-US"/>
        </w:rPr>
      </w:pPr>
      <w:r w:rsidRPr="005E39D2">
        <w:rPr>
          <w:rFonts w:ascii="Cambria" w:eastAsia="Cambria" w:hAnsi="Cambria" w:cs="Cambria"/>
          <w:b/>
          <w:bCs/>
          <w:sz w:val="18"/>
          <w:szCs w:val="18"/>
        </w:rPr>
        <w:t>Fig. 1</w:t>
      </w:r>
      <w:r w:rsidRPr="00761ADB">
        <w:rPr>
          <w:rFonts w:ascii="Cambria" w:eastAsia="Cambria" w:hAnsi="Cambria" w:cs="Cambria"/>
          <w:sz w:val="18"/>
          <w:szCs w:val="18"/>
        </w:rPr>
        <w:t xml:space="preserve"> </w:t>
      </w:r>
      <w:r w:rsidRPr="00761ADB">
        <w:rPr>
          <w:rFonts w:ascii="Cambria" w:eastAsia="Calibri" w:hAnsi="Cambria" w:cs="Arial"/>
          <w:sz w:val="18"/>
          <w:szCs w:val="18"/>
          <w:lang w:val="id-ID" w:eastAsia="en-US"/>
        </w:rPr>
        <w:t>Regional geological map consisting of Metamorphic Rock Unit (Trm), Meta-Limestone Unit (Trmbg), Meta-Sandstone Unit (Trmbp), Non-carbonate Sandstone Unit (Tbpn), Limestone Sandstone Units (Tbpg), Conglomerate Rock Unit (Qkg) ) and Alluvium deposits (Qal). ([10]).</w:t>
      </w:r>
    </w:p>
    <w:p w14:paraId="239BF16E" w14:textId="77777777" w:rsidR="005E39D2" w:rsidRPr="00761ADB" w:rsidRDefault="005E39D2" w:rsidP="00BF10D1">
      <w:pPr>
        <w:spacing w:line="222" w:lineRule="auto"/>
        <w:ind w:left="6" w:right="20"/>
        <w:jc w:val="both"/>
        <w:rPr>
          <w:rFonts w:ascii="Cambria" w:eastAsia="Cambria" w:hAnsi="Cambria" w:cs="Cambria"/>
          <w:sz w:val="18"/>
          <w:szCs w:val="18"/>
        </w:rPr>
      </w:pPr>
    </w:p>
    <w:p w14:paraId="1C37F053" w14:textId="77777777" w:rsidR="00CF794C" w:rsidRPr="00CF794C" w:rsidRDefault="00CF794C" w:rsidP="00CF794C">
      <w:pPr>
        <w:spacing w:line="234" w:lineRule="auto"/>
        <w:ind w:left="6" w:right="20" w:firstLine="284"/>
        <w:jc w:val="both"/>
        <w:rPr>
          <w:rFonts w:ascii="Cambria" w:eastAsia="Cambria" w:hAnsi="Cambria" w:cs="Cambria"/>
          <w:sz w:val="20"/>
          <w:szCs w:val="20"/>
        </w:rPr>
      </w:pPr>
      <w:r w:rsidRPr="00CF794C">
        <w:rPr>
          <w:rFonts w:ascii="Cambria" w:eastAsia="Cambria" w:hAnsi="Cambria" w:cs="Cambria"/>
          <w:sz w:val="20"/>
          <w:szCs w:val="20"/>
        </w:rPr>
        <w:t>As can be seen in this figure, there are a number of rock unit can be found in this region ([10]), that is</w:t>
      </w:r>
    </w:p>
    <w:p w14:paraId="290B701A"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metamorphic (</w:t>
      </w:r>
      <w:proofErr w:type="spellStart"/>
      <w:r w:rsidRPr="00CF794C">
        <w:rPr>
          <w:rFonts w:ascii="Cambria" w:eastAsia="Cambria" w:hAnsi="Cambria" w:cs="Cambria"/>
          <w:sz w:val="20"/>
          <w:szCs w:val="20"/>
        </w:rPr>
        <w:t>Trm</w:t>
      </w:r>
      <w:proofErr w:type="spellEnd"/>
      <w:r w:rsidRPr="00CF794C">
        <w:rPr>
          <w:rFonts w:ascii="Cambria" w:eastAsia="Cambria" w:hAnsi="Cambria" w:cs="Cambria"/>
          <w:sz w:val="20"/>
          <w:szCs w:val="20"/>
        </w:rPr>
        <w:t>) consist of several types of lithology that is quartzite, up rock, schist and phyllite.</w:t>
      </w:r>
    </w:p>
    <w:p w14:paraId="36D86804"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meta-limestone (</w:t>
      </w:r>
      <w:proofErr w:type="spellStart"/>
      <w:r w:rsidRPr="00CF794C">
        <w:rPr>
          <w:rFonts w:ascii="Cambria" w:eastAsia="Cambria" w:hAnsi="Cambria" w:cs="Cambria"/>
          <w:sz w:val="20"/>
          <w:szCs w:val="20"/>
        </w:rPr>
        <w:t>Trmbg</w:t>
      </w:r>
      <w:proofErr w:type="spellEnd"/>
      <w:r w:rsidRPr="00CF794C">
        <w:rPr>
          <w:rFonts w:ascii="Cambria" w:eastAsia="Cambria" w:hAnsi="Cambria" w:cs="Cambria"/>
          <w:sz w:val="20"/>
          <w:szCs w:val="20"/>
        </w:rPr>
        <w:t xml:space="preserve">) located around the sloping area. The rock unit at this sloping is typically classified as the metamorphic limestone. </w:t>
      </w:r>
    </w:p>
    <w:p w14:paraId="271B41BD"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meta-sandstone (</w:t>
      </w:r>
      <w:proofErr w:type="spellStart"/>
      <w:r w:rsidRPr="00CF794C">
        <w:rPr>
          <w:rFonts w:ascii="Cambria" w:eastAsia="Cambria" w:hAnsi="Cambria" w:cs="Cambria"/>
          <w:sz w:val="20"/>
          <w:szCs w:val="20"/>
        </w:rPr>
        <w:t>Trmbp</w:t>
      </w:r>
      <w:proofErr w:type="spellEnd"/>
      <w:r w:rsidRPr="00CF794C">
        <w:rPr>
          <w:rFonts w:ascii="Cambria" w:eastAsia="Cambria" w:hAnsi="Cambria" w:cs="Cambria"/>
          <w:sz w:val="20"/>
          <w:szCs w:val="20"/>
        </w:rPr>
        <w:t xml:space="preserve">) distributed in the southern part of the metamorphic unit, good-naturedly layered with the quartzite type insertion. </w:t>
      </w:r>
    </w:p>
    <w:p w14:paraId="5BB5B2CB"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non-carbonate sandstone (</w:t>
      </w:r>
      <w:proofErr w:type="spellStart"/>
      <w:r w:rsidRPr="00CF794C">
        <w:rPr>
          <w:rFonts w:ascii="Cambria" w:eastAsia="Cambria" w:hAnsi="Cambria" w:cs="Cambria"/>
          <w:sz w:val="20"/>
          <w:szCs w:val="20"/>
        </w:rPr>
        <w:t>Tbpn</w:t>
      </w:r>
      <w:proofErr w:type="spellEnd"/>
      <w:r w:rsidRPr="00CF794C">
        <w:rPr>
          <w:rFonts w:ascii="Cambria" w:eastAsia="Cambria" w:hAnsi="Cambria" w:cs="Cambria"/>
          <w:sz w:val="20"/>
          <w:szCs w:val="20"/>
        </w:rPr>
        <w:t>) with a lithological type of the sandstones. This type is characterized by the inserted black claystone.</w:t>
      </w:r>
    </w:p>
    <w:p w14:paraId="64990C5B"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the limestone-sandstones (</w:t>
      </w:r>
      <w:proofErr w:type="spellStart"/>
      <w:r w:rsidRPr="00CF794C">
        <w:rPr>
          <w:rFonts w:ascii="Cambria" w:eastAsia="Cambria" w:hAnsi="Cambria" w:cs="Cambria"/>
          <w:sz w:val="20"/>
          <w:szCs w:val="20"/>
        </w:rPr>
        <w:t>Tbpg</w:t>
      </w:r>
      <w:proofErr w:type="spellEnd"/>
      <w:r w:rsidRPr="00CF794C">
        <w:rPr>
          <w:rFonts w:ascii="Cambria" w:eastAsia="Cambria" w:hAnsi="Cambria" w:cs="Cambria"/>
          <w:sz w:val="20"/>
          <w:szCs w:val="20"/>
        </w:rPr>
        <w:t xml:space="preserve">) consists of interchanging of the coarse sandstone with fine sandstone and contains the Mollusca fossils. </w:t>
      </w:r>
    </w:p>
    <w:p w14:paraId="5E7BED80"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 of the conglomerate (</w:t>
      </w:r>
      <w:proofErr w:type="spellStart"/>
      <w:r w:rsidRPr="00CF794C">
        <w:rPr>
          <w:rFonts w:ascii="Cambria" w:eastAsia="Cambria" w:hAnsi="Cambria" w:cs="Cambria"/>
          <w:sz w:val="20"/>
          <w:szCs w:val="20"/>
        </w:rPr>
        <w:t>Qkg</w:t>
      </w:r>
      <w:proofErr w:type="spellEnd"/>
      <w:r w:rsidRPr="00CF794C">
        <w:rPr>
          <w:rFonts w:ascii="Cambria" w:eastAsia="Cambria" w:hAnsi="Cambria" w:cs="Cambria"/>
          <w:sz w:val="20"/>
          <w:szCs w:val="20"/>
        </w:rPr>
        <w:t>) composed on the conglomerate and sandstone. In particularly, the grain size of the composition is in form the boulder-crust.</w:t>
      </w:r>
    </w:p>
    <w:p w14:paraId="53533DA9" w14:textId="77777777" w:rsidR="00CF794C" w:rsidRPr="00CF794C" w:rsidRDefault="00CF794C" w:rsidP="00CF794C">
      <w:pPr>
        <w:numPr>
          <w:ilvl w:val="0"/>
          <w:numId w:val="9"/>
        </w:numPr>
        <w:spacing w:line="235" w:lineRule="auto"/>
        <w:ind w:left="284" w:hanging="284"/>
        <w:jc w:val="both"/>
        <w:rPr>
          <w:rFonts w:ascii="Cambria" w:eastAsia="Cambria" w:hAnsi="Cambria" w:cs="Cambria"/>
          <w:sz w:val="20"/>
          <w:szCs w:val="20"/>
        </w:rPr>
      </w:pPr>
      <w:r w:rsidRPr="00CF794C">
        <w:rPr>
          <w:rFonts w:ascii="Cambria" w:eastAsia="Cambria" w:hAnsi="Cambria" w:cs="Cambria"/>
          <w:sz w:val="20"/>
          <w:szCs w:val="20"/>
        </w:rPr>
        <w:t>Rock units of Alluvium are composed of the clay, gravel, blocks, and sand.</w:t>
      </w:r>
    </w:p>
    <w:p w14:paraId="163BFF44" w14:textId="77777777" w:rsidR="00BF10D1" w:rsidRPr="00BF10D1" w:rsidRDefault="00BF10D1" w:rsidP="00BF10D1">
      <w:pPr>
        <w:spacing w:line="222" w:lineRule="auto"/>
        <w:ind w:left="6" w:right="20"/>
        <w:jc w:val="both"/>
        <w:rPr>
          <w:rFonts w:ascii="Cambria" w:eastAsia="Cambria" w:hAnsi="Cambria" w:cs="Cambria"/>
          <w:sz w:val="20"/>
          <w:szCs w:val="20"/>
        </w:rPr>
      </w:pPr>
      <w:r w:rsidRPr="00BF10D1">
        <w:rPr>
          <w:rFonts w:ascii="Cambria" w:eastAsia="Cambria" w:hAnsi="Cambria" w:cs="Cambria"/>
          <w:sz w:val="20"/>
          <w:szCs w:val="20"/>
        </w:rPr>
        <w:t>At the Lainea research area, it is also can be found the geothermal potential trending southeast around the structure zone. In term of the geological structure, the research area has three groups of faults.  According to the brief review of Hamimu et al., (2022), based on their direction, the main groups of faults presented in this area namely:</w:t>
      </w:r>
    </w:p>
    <w:p w14:paraId="16BC8B74" w14:textId="77777777" w:rsidR="00BF10D1" w:rsidRPr="00BF10D1" w:rsidRDefault="00BF10D1" w:rsidP="00BF10D1">
      <w:pPr>
        <w:numPr>
          <w:ilvl w:val="0"/>
          <w:numId w:val="10"/>
        </w:numPr>
        <w:spacing w:line="223" w:lineRule="auto"/>
        <w:ind w:left="284" w:hanging="284"/>
        <w:jc w:val="both"/>
        <w:rPr>
          <w:rFonts w:ascii="Cambria" w:eastAsia="Cambria" w:hAnsi="Cambria" w:cs="Cambria"/>
          <w:sz w:val="20"/>
          <w:szCs w:val="20"/>
          <w:lang w:val="sq-AL"/>
        </w:rPr>
      </w:pPr>
      <w:r w:rsidRPr="00BF10D1">
        <w:rPr>
          <w:rFonts w:ascii="Cambria" w:eastAsia="Cambria" w:hAnsi="Cambria" w:cs="Cambria"/>
          <w:sz w:val="20"/>
          <w:szCs w:val="20"/>
          <w:lang w:val="sq-AL"/>
        </w:rPr>
        <w:t xml:space="preserve">The faults of Boro-boro, Aonope, Andinete, Putemata, and Sibingguru that is grouped in the faults trend of northwest-southeast (NW-SE) . </w:t>
      </w:r>
    </w:p>
    <w:p w14:paraId="62824D76" w14:textId="77777777" w:rsidR="00CF794C" w:rsidRDefault="00BF10D1" w:rsidP="00CF794C">
      <w:pPr>
        <w:numPr>
          <w:ilvl w:val="0"/>
          <w:numId w:val="10"/>
        </w:numPr>
        <w:spacing w:line="223" w:lineRule="auto"/>
        <w:ind w:left="284" w:hanging="284"/>
        <w:jc w:val="both"/>
        <w:rPr>
          <w:rFonts w:ascii="Cambria" w:eastAsia="Cambria" w:hAnsi="Cambria" w:cs="Cambria"/>
          <w:sz w:val="20"/>
          <w:szCs w:val="20"/>
        </w:rPr>
      </w:pPr>
      <w:r w:rsidRPr="00BF10D1">
        <w:rPr>
          <w:rFonts w:ascii="Cambria" w:eastAsia="Cambria" w:hAnsi="Cambria" w:cs="Cambria"/>
          <w:sz w:val="20"/>
          <w:szCs w:val="20"/>
        </w:rPr>
        <w:t xml:space="preserve">The faults of the Windo, </w:t>
      </w:r>
      <w:proofErr w:type="spellStart"/>
      <w:r w:rsidRPr="00BF10D1">
        <w:rPr>
          <w:rFonts w:ascii="Cambria" w:eastAsia="Cambria" w:hAnsi="Cambria" w:cs="Cambria"/>
          <w:sz w:val="20"/>
          <w:szCs w:val="20"/>
        </w:rPr>
        <w:t>Wolasi</w:t>
      </w:r>
      <w:proofErr w:type="spellEnd"/>
      <w:r w:rsidRPr="00BF10D1">
        <w:rPr>
          <w:rFonts w:ascii="Cambria" w:eastAsia="Cambria" w:hAnsi="Cambria" w:cs="Cambria"/>
          <w:sz w:val="20"/>
          <w:szCs w:val="20"/>
        </w:rPr>
        <w:t xml:space="preserve">, Hariri, Demba, </w:t>
      </w:r>
      <w:proofErr w:type="spellStart"/>
      <w:r w:rsidRPr="00BF10D1">
        <w:rPr>
          <w:rFonts w:ascii="Cambria" w:eastAsia="Cambria" w:hAnsi="Cambria" w:cs="Cambria"/>
          <w:sz w:val="20"/>
          <w:szCs w:val="20"/>
        </w:rPr>
        <w:t>Kaindi</w:t>
      </w:r>
      <w:proofErr w:type="spellEnd"/>
      <w:r w:rsidRPr="00BF10D1">
        <w:rPr>
          <w:rFonts w:ascii="Cambria" w:eastAsia="Cambria" w:hAnsi="Cambria" w:cs="Cambria"/>
          <w:sz w:val="20"/>
          <w:szCs w:val="20"/>
        </w:rPr>
        <w:t xml:space="preserve">, and </w:t>
      </w:r>
      <w:proofErr w:type="spellStart"/>
      <w:r w:rsidRPr="00BF10D1">
        <w:rPr>
          <w:rFonts w:ascii="Cambria" w:eastAsia="Cambria" w:hAnsi="Cambria" w:cs="Cambria"/>
          <w:sz w:val="20"/>
          <w:szCs w:val="20"/>
        </w:rPr>
        <w:t>Anggowila</w:t>
      </w:r>
      <w:proofErr w:type="spellEnd"/>
      <w:r w:rsidRPr="00BF10D1">
        <w:rPr>
          <w:rFonts w:ascii="Cambria" w:eastAsia="Cambria" w:hAnsi="Cambria" w:cs="Cambria"/>
          <w:sz w:val="20"/>
          <w:szCs w:val="20"/>
        </w:rPr>
        <w:t xml:space="preserve"> that is classified in the faults trend of southwest-northeast (SW-NE).</w:t>
      </w:r>
    </w:p>
    <w:p w14:paraId="4118B516" w14:textId="27AAE790" w:rsidR="001402E9" w:rsidRPr="00CF794C" w:rsidRDefault="00BF10D1" w:rsidP="00CF794C">
      <w:pPr>
        <w:numPr>
          <w:ilvl w:val="0"/>
          <w:numId w:val="10"/>
        </w:numPr>
        <w:spacing w:line="223" w:lineRule="auto"/>
        <w:ind w:left="284" w:hanging="284"/>
        <w:jc w:val="both"/>
        <w:rPr>
          <w:rFonts w:ascii="Cambria" w:eastAsia="Cambria" w:hAnsi="Cambria" w:cs="Cambria"/>
          <w:sz w:val="20"/>
          <w:szCs w:val="20"/>
        </w:rPr>
      </w:pPr>
      <w:r w:rsidRPr="00CF794C">
        <w:rPr>
          <w:rFonts w:ascii="Cambria" w:eastAsia="Cambria" w:hAnsi="Cambria" w:cs="Cambria"/>
          <w:sz w:val="20"/>
          <w:szCs w:val="20"/>
        </w:rPr>
        <w:lastRenderedPageBreak/>
        <w:t xml:space="preserve">The faults of Lainea, Rara, and </w:t>
      </w:r>
      <w:proofErr w:type="spellStart"/>
      <w:r w:rsidRPr="00CF794C">
        <w:rPr>
          <w:rFonts w:ascii="Cambria" w:eastAsia="Cambria" w:hAnsi="Cambria" w:cs="Cambria"/>
          <w:sz w:val="20"/>
          <w:szCs w:val="20"/>
        </w:rPr>
        <w:t>Landai</w:t>
      </w:r>
      <w:proofErr w:type="spellEnd"/>
      <w:r w:rsidRPr="00CF794C">
        <w:rPr>
          <w:rFonts w:ascii="Cambria" w:eastAsia="Cambria" w:hAnsi="Cambria" w:cs="Cambria"/>
          <w:sz w:val="20"/>
          <w:szCs w:val="20"/>
        </w:rPr>
        <w:t xml:space="preserve"> that is classed in the north-south (N-S) fault direction. </w:t>
      </w:r>
    </w:p>
    <w:p w14:paraId="6BE7F3CB" w14:textId="77777777" w:rsidR="001402E9" w:rsidRDefault="001402E9">
      <w:pPr>
        <w:spacing w:line="251" w:lineRule="exact"/>
        <w:rPr>
          <w:sz w:val="24"/>
          <w:szCs w:val="24"/>
        </w:rPr>
      </w:pPr>
    </w:p>
    <w:p w14:paraId="3C80A024" w14:textId="62F377F0" w:rsidR="001402E9" w:rsidRDefault="0003312B">
      <w:pPr>
        <w:ind w:left="6"/>
        <w:rPr>
          <w:sz w:val="20"/>
          <w:szCs w:val="20"/>
        </w:rPr>
      </w:pPr>
      <w:r>
        <w:rPr>
          <w:rFonts w:ascii="Cambria" w:eastAsia="Cambria" w:hAnsi="Cambria" w:cs="Cambria"/>
          <w:b/>
          <w:bCs/>
          <w:sz w:val="20"/>
          <w:szCs w:val="20"/>
        </w:rPr>
        <w:t xml:space="preserve">3. </w:t>
      </w:r>
      <w:r w:rsidR="00A06E10">
        <w:rPr>
          <w:rFonts w:ascii="Cambria" w:eastAsia="Cambria" w:hAnsi="Cambria" w:cs="Cambria"/>
          <w:b/>
          <w:bCs/>
          <w:sz w:val="20"/>
          <w:szCs w:val="20"/>
        </w:rPr>
        <w:t>Method</w:t>
      </w:r>
    </w:p>
    <w:p w14:paraId="2D8C6669" w14:textId="77777777" w:rsidR="001402E9" w:rsidRDefault="001402E9">
      <w:pPr>
        <w:spacing w:line="53" w:lineRule="exact"/>
        <w:rPr>
          <w:sz w:val="24"/>
          <w:szCs w:val="24"/>
        </w:rPr>
      </w:pPr>
    </w:p>
    <w:p w14:paraId="53761F69" w14:textId="7A7D3312" w:rsidR="00A06E10" w:rsidRPr="00CF794C" w:rsidRDefault="00A06E10" w:rsidP="005117D8">
      <w:pPr>
        <w:rPr>
          <w:lang w:eastAsia="en-US"/>
        </w:rPr>
      </w:pPr>
      <w:r w:rsidRPr="00CF794C">
        <w:rPr>
          <w:lang w:eastAsia="en-US"/>
        </w:rPr>
        <w:t>3.1. Magnetic Data</w:t>
      </w:r>
    </w:p>
    <w:p w14:paraId="54FA8AF9" w14:textId="77777777" w:rsidR="00CF794C" w:rsidRPr="00CF794C" w:rsidRDefault="00A06E10" w:rsidP="00CF794C">
      <w:pPr>
        <w:jc w:val="both"/>
        <w:rPr>
          <w:rFonts w:ascii="Cambria" w:eastAsia="Calibri" w:hAnsi="Cambria" w:cs="Arial"/>
          <w:sz w:val="20"/>
          <w:szCs w:val="20"/>
          <w:lang w:eastAsia="en-US"/>
        </w:rPr>
      </w:pPr>
      <w:r w:rsidRPr="00A06E10">
        <w:rPr>
          <w:rFonts w:ascii="Cambria" w:eastAsia="Calibri" w:hAnsi="Cambria" w:cs="Arial"/>
          <w:sz w:val="20"/>
          <w:szCs w:val="20"/>
          <w:lang w:eastAsia="en-US"/>
        </w:rPr>
        <w:t xml:space="preserve">Magnetic ground survey is carried out at the site of Lainea geothermal in November 2020. The measurement of field data used two instruments of Proton Precession Magnetometer 19-T with a resolution of 0.1 </w:t>
      </w:r>
      <w:proofErr w:type="spellStart"/>
      <w:r w:rsidRPr="00A06E10">
        <w:rPr>
          <w:rFonts w:ascii="Cambria" w:eastAsia="Calibri" w:hAnsi="Cambria" w:cs="Arial"/>
          <w:sz w:val="20"/>
          <w:szCs w:val="20"/>
          <w:lang w:eastAsia="en-US"/>
        </w:rPr>
        <w:t>nT.</w:t>
      </w:r>
      <w:proofErr w:type="spellEnd"/>
      <w:r w:rsidRPr="00A06E10">
        <w:rPr>
          <w:rFonts w:ascii="Cambria" w:eastAsia="Calibri" w:hAnsi="Cambria" w:cs="Arial"/>
          <w:sz w:val="20"/>
          <w:szCs w:val="20"/>
          <w:lang w:eastAsia="en-US"/>
        </w:rPr>
        <w:t xml:space="preserve"> The first instrument is operated to measure the magnetic field at base station that could be used to calculate the temporal variation of the magnetic field. The last instrument is employed to measure the magnetic field at the observation point.  Furthermore, the data resulted from measurement at field are corrected from temporal variation or diurnal correction with aim of calculating total magnetic intensity (TMI). </w:t>
      </w:r>
    </w:p>
    <w:p w14:paraId="759FE3C5" w14:textId="650391BA" w:rsidR="00A06E10" w:rsidRPr="00A06E10" w:rsidRDefault="00A06E10" w:rsidP="00CF794C">
      <w:pPr>
        <w:spacing w:line="234" w:lineRule="auto"/>
        <w:ind w:left="6" w:right="20" w:firstLine="284"/>
        <w:jc w:val="both"/>
        <w:rPr>
          <w:rFonts w:ascii="Cambria" w:eastAsia="Calibri" w:hAnsi="Cambria" w:cs="Arial"/>
          <w:sz w:val="20"/>
          <w:szCs w:val="20"/>
          <w:lang w:eastAsia="en-US"/>
        </w:rPr>
      </w:pPr>
      <w:r w:rsidRPr="00A06E10">
        <w:rPr>
          <w:rFonts w:ascii="Cambria" w:eastAsia="Calibri" w:hAnsi="Cambria" w:cs="Arial"/>
          <w:sz w:val="20"/>
          <w:szCs w:val="20"/>
          <w:lang w:eastAsia="en-US"/>
        </w:rPr>
        <w:t xml:space="preserve">The TMI anomaly is then obtained by applying the reduction of theoretical magnetic field. This reduction is generally based on  the international geomagnetic reference field or IGRF ([11]). In </w:t>
      </w:r>
      <w:r w:rsidRPr="00A06E10">
        <w:rPr>
          <w:rFonts w:ascii="Cambria" w:eastAsia="Calibri" w:hAnsi="Cambria" w:cs="Arial"/>
          <w:color w:val="000000"/>
          <w:sz w:val="20"/>
          <w:szCs w:val="20"/>
          <w:lang w:eastAsia="en-US"/>
        </w:rPr>
        <w:t>addition</w:t>
      </w:r>
      <w:r w:rsidRPr="00A06E10">
        <w:rPr>
          <w:rFonts w:ascii="Cambria" w:eastAsia="Calibri" w:hAnsi="Cambria" w:cs="Arial"/>
          <w:sz w:val="20"/>
          <w:szCs w:val="20"/>
          <w:lang w:eastAsia="en-US"/>
        </w:rPr>
        <w:t xml:space="preserve">, the implementation of the reduced to pole (RTP) technique is carried out by using the Oasis </w:t>
      </w:r>
      <w:proofErr w:type="spellStart"/>
      <w:r w:rsidRPr="00A06E10">
        <w:rPr>
          <w:rFonts w:ascii="Cambria" w:eastAsia="Calibri" w:hAnsi="Cambria" w:cs="Arial"/>
          <w:sz w:val="20"/>
          <w:szCs w:val="20"/>
          <w:lang w:eastAsia="en-US"/>
        </w:rPr>
        <w:t>Montaj’s</w:t>
      </w:r>
      <w:proofErr w:type="spellEnd"/>
      <w:r w:rsidRPr="00A06E10">
        <w:rPr>
          <w:rFonts w:ascii="Cambria" w:eastAsia="Calibri" w:hAnsi="Cambria" w:cs="Arial"/>
          <w:sz w:val="20"/>
          <w:szCs w:val="20"/>
          <w:lang w:eastAsia="en-US"/>
        </w:rPr>
        <w:t xml:space="preserve"> software ([12]). The last process is applied to produce the position correction of TMI anomaly so that it is accurately above the anomaly ([1]).  </w:t>
      </w:r>
    </w:p>
    <w:p w14:paraId="11F1FA99" w14:textId="77777777" w:rsidR="00A06E10" w:rsidRPr="00A06E10" w:rsidRDefault="00A06E10" w:rsidP="00A06E10">
      <w:pPr>
        <w:ind w:firstLine="284"/>
        <w:jc w:val="both"/>
        <w:rPr>
          <w:rFonts w:ascii="Cambria" w:eastAsia="Calibri" w:hAnsi="Cambria" w:cs="Arial"/>
          <w:color w:val="FF0000"/>
          <w:sz w:val="20"/>
          <w:szCs w:val="20"/>
          <w:lang w:eastAsia="en-US"/>
        </w:rPr>
      </w:pPr>
    </w:p>
    <w:p w14:paraId="0B278724" w14:textId="77777777" w:rsidR="00A06E10" w:rsidRPr="00A06E10" w:rsidRDefault="00A06E10" w:rsidP="005117D8">
      <w:pPr>
        <w:jc w:val="both"/>
        <w:rPr>
          <w:lang w:eastAsia="en-US"/>
        </w:rPr>
      </w:pPr>
      <w:r w:rsidRPr="00A06E10">
        <w:rPr>
          <w:lang w:eastAsia="en-US"/>
        </w:rPr>
        <w:t xml:space="preserve">3.2. Separation of the Residual-Regional Using Upward continuation.  </w:t>
      </w:r>
    </w:p>
    <w:p w14:paraId="06783577" w14:textId="5B006FB5" w:rsidR="00A06E10" w:rsidRPr="00CF794C" w:rsidRDefault="00A06E10" w:rsidP="00A06E10">
      <w:pPr>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 xml:space="preserve">Upward continuation technique is applied on the TMI anomaly RTP to filter the shallow source that is produced from deeply source or regional source. This technique is most frequently applied in analyzing the magnetic anomaly ([2]).  Procedure of the Upward continuation is accomplished up to altitude of 1000 m. In this </w:t>
      </w:r>
      <w:r w:rsidRPr="00A06E10">
        <w:rPr>
          <w:rFonts w:ascii="Cambria" w:eastAsia="Calibri" w:hAnsi="Cambria" w:cs="Arial"/>
          <w:sz w:val="20"/>
          <w:szCs w:val="20"/>
          <w:lang w:eastAsia="en-US"/>
        </w:rPr>
        <w:t>altitude</w:t>
      </w:r>
      <w:r w:rsidRPr="00A06E10">
        <w:rPr>
          <w:rFonts w:ascii="Cambria" w:eastAsia="Calibri" w:hAnsi="Cambria" w:cs="Arial"/>
          <w:color w:val="000000"/>
          <w:sz w:val="20"/>
          <w:szCs w:val="20"/>
          <w:lang w:eastAsia="en-US"/>
        </w:rPr>
        <w:t>, the trend of anomaly map is relatively not modified. Here, the Geosoft program ([12]) is utilize for visualizing the map of upward continuation</w:t>
      </w:r>
      <w:r w:rsidR="00CF794C" w:rsidRPr="00CF794C">
        <w:rPr>
          <w:rFonts w:ascii="Cambria" w:eastAsia="Calibri" w:hAnsi="Cambria" w:cs="Arial"/>
          <w:color w:val="000000"/>
          <w:sz w:val="20"/>
          <w:szCs w:val="20"/>
          <w:lang w:eastAsia="en-US"/>
        </w:rPr>
        <w:t xml:space="preserve">. </w:t>
      </w:r>
      <w:r w:rsidRPr="00A06E10">
        <w:rPr>
          <w:rFonts w:ascii="Cambria" w:eastAsia="Calibri" w:hAnsi="Cambria" w:cs="Arial"/>
          <w:color w:val="000000"/>
          <w:sz w:val="20"/>
          <w:szCs w:val="20"/>
          <w:lang w:eastAsia="en-US"/>
        </w:rPr>
        <w:t xml:space="preserve">Thereafter, this map is straightforward employed to extract the residual map from the TMI anomaly map. </w:t>
      </w:r>
    </w:p>
    <w:p w14:paraId="4CA7D159" w14:textId="77777777" w:rsidR="00A06E10" w:rsidRPr="00A06E10" w:rsidRDefault="00A06E10" w:rsidP="00A06E10">
      <w:pPr>
        <w:ind w:firstLine="284"/>
        <w:jc w:val="both"/>
        <w:rPr>
          <w:rFonts w:ascii="Cambria" w:eastAsia="Calibri" w:hAnsi="Cambria" w:cs="Arial"/>
          <w:color w:val="000000"/>
          <w:sz w:val="20"/>
          <w:szCs w:val="20"/>
          <w:lang w:eastAsia="en-US"/>
        </w:rPr>
      </w:pPr>
    </w:p>
    <w:p w14:paraId="5D17293C" w14:textId="77777777" w:rsidR="00A06E10" w:rsidRPr="00A06E10" w:rsidRDefault="00A06E10" w:rsidP="005117D8">
      <w:pPr>
        <w:rPr>
          <w:color w:val="000000"/>
          <w:lang w:eastAsia="en-US"/>
        </w:rPr>
      </w:pPr>
      <w:r w:rsidRPr="00A06E10">
        <w:rPr>
          <w:lang w:eastAsia="en-US"/>
        </w:rPr>
        <w:t>3.3. Horizontal Gradient Magnitude (HGM)</w:t>
      </w:r>
    </w:p>
    <w:p w14:paraId="5C95BDD5" w14:textId="77777777" w:rsidR="00A06E10" w:rsidRPr="00A06E10" w:rsidRDefault="00A06E10" w:rsidP="00A06E10">
      <w:pPr>
        <w:jc w:val="both"/>
        <w:rPr>
          <w:rFonts w:ascii="Cambria" w:eastAsia="Calibri" w:hAnsi="Cambria" w:cs="Arial"/>
          <w:strike/>
          <w:color w:val="EE0000"/>
          <w:sz w:val="20"/>
          <w:szCs w:val="20"/>
          <w:lang w:eastAsia="en-US"/>
        </w:rPr>
      </w:pPr>
      <w:r w:rsidRPr="00A06E10">
        <w:rPr>
          <w:rFonts w:ascii="Cambria" w:eastAsia="Calibri" w:hAnsi="Cambria" w:cs="Arial"/>
          <w:color w:val="000000"/>
          <w:sz w:val="20"/>
          <w:szCs w:val="20"/>
          <w:lang w:eastAsia="en-US"/>
        </w:rPr>
        <w:t>Horizontal Gradient Magnitude (HGM) is one of computational approach that is very useful for mapping a fault location ([5]). Principally, HGM define strongly interaction of two types of rock having the magnetization different ([13]). This method generates the highly anomaly and reflects the location from anomaly source. HGM(</w:t>
      </w:r>
      <w:proofErr w:type="spellStart"/>
      <w:r w:rsidRPr="00A06E10">
        <w:rPr>
          <w:rFonts w:ascii="Cambria" w:eastAsia="Calibri" w:hAnsi="Cambria" w:cs="Arial"/>
          <w:color w:val="000000"/>
          <w:sz w:val="20"/>
          <w:szCs w:val="20"/>
          <w:lang w:eastAsia="en-US"/>
        </w:rPr>
        <w:t>x,y</w:t>
      </w:r>
      <w:proofErr w:type="spellEnd"/>
      <w:r w:rsidRPr="00A06E10">
        <w:rPr>
          <w:rFonts w:ascii="Cambria" w:eastAsia="Calibri" w:hAnsi="Cambria" w:cs="Arial"/>
          <w:color w:val="000000"/>
          <w:sz w:val="20"/>
          <w:szCs w:val="20"/>
          <w:lang w:eastAsia="en-US"/>
        </w:rPr>
        <w:t>) from a magnetic field M(</w:t>
      </w:r>
      <w:proofErr w:type="spellStart"/>
      <w:r w:rsidRPr="00A06E10">
        <w:rPr>
          <w:rFonts w:ascii="Cambria" w:eastAsia="Calibri" w:hAnsi="Cambria" w:cs="Arial"/>
          <w:color w:val="000000"/>
          <w:sz w:val="20"/>
          <w:szCs w:val="20"/>
          <w:lang w:eastAsia="en-US"/>
        </w:rPr>
        <w:t>x,y</w:t>
      </w:r>
      <w:proofErr w:type="spellEnd"/>
      <w:r w:rsidRPr="00A06E10">
        <w:rPr>
          <w:rFonts w:ascii="Cambria" w:eastAsia="Calibri" w:hAnsi="Cambria" w:cs="Arial"/>
          <w:color w:val="000000"/>
          <w:sz w:val="20"/>
          <w:szCs w:val="20"/>
          <w:lang w:eastAsia="en-US"/>
        </w:rPr>
        <w:t xml:space="preserve">) is empirically formulated as follow ([14]) </w:t>
      </w:r>
    </w:p>
    <w:p w14:paraId="77A088D0" w14:textId="00A4E8FE" w:rsidR="00A06E10" w:rsidRPr="00A06E10" w:rsidRDefault="00A06E10" w:rsidP="00A06E10">
      <w:pPr>
        <w:jc w:val="center"/>
        <w:rPr>
          <w:rFonts w:ascii="Cambria" w:eastAsia="Calibri" w:hAnsi="Cambria" w:cs="Arial"/>
          <w:sz w:val="20"/>
          <w:szCs w:val="20"/>
          <w:lang w:val="id-ID" w:eastAsia="en-US"/>
        </w:rPr>
      </w:pPr>
      <m:oMathPara>
        <m:oMathParaPr>
          <m:jc m:val="left"/>
        </m:oMathParaPr>
        <m:oMath>
          <m:r>
            <m:rPr>
              <m:nor/>
            </m:rPr>
            <w:rPr>
              <w:rFonts w:ascii="Cambria" w:eastAsia="Calibri" w:hAnsi="Cambria" w:cs="Arial"/>
              <w:color w:val="000000"/>
              <w:sz w:val="20"/>
              <w:szCs w:val="20"/>
              <w:lang w:eastAsia="en-US"/>
            </w:rPr>
            <m:t>HGM</m:t>
          </m:r>
          <m:d>
            <m:dPr>
              <m:ctrlPr>
                <w:rPr>
                  <w:rFonts w:ascii="Cambria Math" w:eastAsia="Calibri" w:hAnsi="Cambria Math" w:cs="Arial"/>
                  <w:i/>
                  <w:color w:val="000000"/>
                  <w:sz w:val="20"/>
                  <w:szCs w:val="20"/>
                  <w:lang w:eastAsia="en-US"/>
                </w:rPr>
              </m:ctrlPr>
            </m:dPr>
            <m:e>
              <m:r>
                <m:rPr>
                  <m:nor/>
                </m:rPr>
                <w:rPr>
                  <w:rFonts w:ascii="Cambria" w:eastAsia="Calibri" w:hAnsi="Cambria" w:cs="Arial"/>
                  <w:color w:val="000000"/>
                  <w:sz w:val="20"/>
                  <w:szCs w:val="20"/>
                  <w:lang w:eastAsia="en-US"/>
                </w:rPr>
                <m:t>x,y</m:t>
              </m:r>
            </m:e>
          </m:d>
          <m:r>
            <m:rPr>
              <m:nor/>
            </m:rPr>
            <w:rPr>
              <w:rFonts w:ascii="Cambria" w:eastAsia="Calibri" w:hAnsi="Cambria" w:cs="Arial"/>
              <w:color w:val="000000"/>
              <w:sz w:val="20"/>
              <w:szCs w:val="20"/>
              <w:lang w:eastAsia="en-US"/>
            </w:rPr>
            <m:t>=</m:t>
          </m:r>
          <m:rad>
            <m:radPr>
              <m:degHide m:val="1"/>
              <m:ctrlPr>
                <w:rPr>
                  <w:rFonts w:ascii="Cambria Math" w:eastAsia="Calibri" w:hAnsi="Cambria Math" w:cs="Arial"/>
                  <w:i/>
                  <w:color w:val="000000"/>
                  <w:sz w:val="20"/>
                  <w:szCs w:val="20"/>
                  <w:lang w:eastAsia="en-US"/>
                </w:rPr>
              </m:ctrlPr>
            </m:radPr>
            <m:deg/>
            <m:e>
              <m:sSup>
                <m:sSupPr>
                  <m:ctrlPr>
                    <w:rPr>
                      <w:rFonts w:ascii="Cambria Math" w:eastAsia="Calibri" w:hAnsi="Cambria Math" w:cs="Arial"/>
                      <w:i/>
                      <w:color w:val="000000"/>
                      <w:sz w:val="20"/>
                      <w:szCs w:val="20"/>
                      <w:lang w:eastAsia="en-US"/>
                    </w:rPr>
                  </m:ctrlPr>
                </m:sSupPr>
                <m:e>
                  <m:d>
                    <m:dPr>
                      <m:ctrlPr>
                        <w:rPr>
                          <w:rFonts w:ascii="Cambria Math" w:eastAsia="Calibri" w:hAnsi="Cambria Math" w:cs="Arial"/>
                          <w:i/>
                          <w:color w:val="000000"/>
                          <w:sz w:val="20"/>
                          <w:szCs w:val="20"/>
                          <w:lang w:eastAsia="en-US"/>
                        </w:rPr>
                      </m:ctrlPr>
                    </m:dPr>
                    <m:e>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∂x</m:t>
                          </m:r>
                        </m:den>
                      </m:f>
                    </m:e>
                  </m:d>
                </m:e>
                <m:sup>
                  <m:r>
                    <m:rPr>
                      <m:nor/>
                    </m:rPr>
                    <w:rPr>
                      <w:rFonts w:ascii="Cambria" w:eastAsia="Calibri" w:hAnsi="Cambria" w:cs="Arial"/>
                      <w:color w:val="000000"/>
                      <w:sz w:val="20"/>
                      <w:szCs w:val="20"/>
                      <w:lang w:eastAsia="en-US"/>
                    </w:rPr>
                    <m:t>2</m:t>
                  </m:r>
                </m:sup>
              </m:sSup>
              <m:r>
                <m:rPr>
                  <m:nor/>
                </m:rPr>
                <w:rPr>
                  <w:rFonts w:ascii="Cambria" w:eastAsia="Calibri" w:hAnsi="Cambria" w:cs="Arial"/>
                  <w:color w:val="000000"/>
                  <w:sz w:val="20"/>
                  <w:szCs w:val="20"/>
                  <w:lang w:eastAsia="en-US"/>
                </w:rPr>
                <m:t>+</m:t>
              </m:r>
              <m:sSup>
                <m:sSupPr>
                  <m:ctrlPr>
                    <w:rPr>
                      <w:rFonts w:ascii="Cambria Math" w:eastAsia="Calibri" w:hAnsi="Cambria Math" w:cs="Arial"/>
                      <w:i/>
                      <w:color w:val="000000"/>
                      <w:sz w:val="20"/>
                      <w:szCs w:val="20"/>
                      <w:lang w:eastAsia="en-US"/>
                    </w:rPr>
                  </m:ctrlPr>
                </m:sSupPr>
                <m:e>
                  <m:d>
                    <m:dPr>
                      <m:ctrlPr>
                        <w:rPr>
                          <w:rFonts w:ascii="Cambria Math" w:eastAsia="Calibri" w:hAnsi="Cambria Math" w:cs="Arial"/>
                          <w:i/>
                          <w:color w:val="000000"/>
                          <w:sz w:val="20"/>
                          <w:szCs w:val="20"/>
                          <w:lang w:eastAsia="en-US"/>
                        </w:rPr>
                      </m:ctrlPr>
                    </m:dPr>
                    <m:e>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∂y</m:t>
                          </m:r>
                        </m:den>
                      </m:f>
                    </m:e>
                  </m:d>
                </m:e>
                <m:sup>
                  <m:r>
                    <m:rPr>
                      <m:nor/>
                    </m:rPr>
                    <w:rPr>
                      <w:rFonts w:ascii="Cambria" w:eastAsia="Calibri" w:hAnsi="Cambria" w:cs="Arial"/>
                      <w:color w:val="000000"/>
                      <w:sz w:val="20"/>
                      <w:szCs w:val="20"/>
                      <w:lang w:eastAsia="en-US"/>
                    </w:rPr>
                    <m:t>2</m:t>
                  </m:r>
                </m:sup>
              </m:sSup>
            </m:e>
          </m:rad>
          <m:r>
            <m:rPr>
              <m:nor/>
            </m:rPr>
            <w:rPr>
              <w:rFonts w:ascii="Cambria" w:eastAsia="Calibri" w:hAnsi="Cambria" w:cs="Arial"/>
              <w:color w:val="000000"/>
              <w:sz w:val="20"/>
              <w:szCs w:val="20"/>
              <w:lang w:eastAsia="en-US"/>
            </w:rPr>
            <m:t xml:space="preserve">                                       (1)</m:t>
          </m:r>
        </m:oMath>
      </m:oMathPara>
    </w:p>
    <w:p w14:paraId="64AD9E1A" w14:textId="77777777" w:rsidR="00A06E10" w:rsidRPr="00A06E10" w:rsidRDefault="00A06E10" w:rsidP="00A06E10">
      <w:pPr>
        <w:ind w:firstLine="284"/>
        <w:jc w:val="both"/>
        <w:rPr>
          <w:rFonts w:ascii="Cambria" w:eastAsia="Calibri" w:hAnsi="Cambria" w:cs="Arial"/>
          <w:color w:val="000000"/>
          <w:sz w:val="20"/>
          <w:szCs w:val="20"/>
          <w:lang w:eastAsia="en-US"/>
        </w:rPr>
      </w:pPr>
    </w:p>
    <w:p w14:paraId="7397461A" w14:textId="77777777" w:rsidR="00A06E10" w:rsidRPr="00A06E10" w:rsidRDefault="00A06E10" w:rsidP="00A06E10">
      <w:pPr>
        <w:jc w:val="both"/>
        <w:rPr>
          <w:rFonts w:ascii="Cambria" w:eastAsia="Times New Roman" w:hAnsi="Cambria" w:cs="Arial"/>
          <w:color w:val="000000"/>
          <w:sz w:val="20"/>
          <w:szCs w:val="20"/>
          <w:lang w:eastAsia="en-US"/>
        </w:rPr>
      </w:pPr>
      <w:r w:rsidRPr="00A06E10">
        <w:rPr>
          <w:rFonts w:ascii="Cambria" w:eastAsia="Calibri" w:hAnsi="Cambria" w:cs="Arial"/>
          <w:color w:val="000000"/>
          <w:sz w:val="20"/>
          <w:szCs w:val="20"/>
          <w:lang w:eastAsia="en-US"/>
        </w:rPr>
        <w:t xml:space="preserve">where </w:t>
      </w:r>
      <m:oMath>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∂x</m:t>
            </m:r>
          </m:den>
        </m:f>
      </m:oMath>
      <w:r w:rsidRPr="00A06E10">
        <w:rPr>
          <w:rFonts w:ascii="Cambria" w:eastAsia="Times New Roman" w:hAnsi="Cambria" w:cs="Arial"/>
          <w:color w:val="000000"/>
          <w:sz w:val="20"/>
          <w:szCs w:val="20"/>
          <w:lang w:eastAsia="en-US"/>
        </w:rPr>
        <w:t xml:space="preserve"> and </w:t>
      </w:r>
      <m:oMath>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∂y</m:t>
            </m:r>
          </m:den>
        </m:f>
      </m:oMath>
      <w:r w:rsidRPr="00A06E10">
        <w:rPr>
          <w:rFonts w:ascii="Cambria" w:eastAsia="Times New Roman" w:hAnsi="Cambria" w:cs="Arial"/>
          <w:color w:val="000000"/>
          <w:sz w:val="20"/>
          <w:szCs w:val="20"/>
          <w:lang w:eastAsia="en-US"/>
        </w:rPr>
        <w:t xml:space="preserve"> are the first derivative of magnetic field toward variable of x and y axes, respectively. The asymptotic function of HGM peaked on magnetic contact with three assumptions that is </w:t>
      </w:r>
      <w:r w:rsidRPr="00A06E10">
        <w:rPr>
          <w:rFonts w:ascii="Cambria" w:eastAsia="Times New Roman" w:hAnsi="Cambria" w:cs="Arial"/>
          <w:color w:val="000000"/>
          <w:sz w:val="20"/>
          <w:szCs w:val="20"/>
          <w:lang w:eastAsia="en-US"/>
        </w:rPr>
        <w:fldChar w:fldCharType="begin"/>
      </w:r>
      <w:r w:rsidRPr="00A06E10">
        <w:rPr>
          <w:rFonts w:ascii="Cambria" w:eastAsia="Times New Roman" w:hAnsi="Cambria" w:cs="Arial"/>
          <w:color w:val="000000"/>
          <w:sz w:val="20"/>
          <w:szCs w:val="20"/>
          <w:lang w:eastAsia="en-US"/>
        </w:rPr>
        <w:instrText xml:space="preserve"> ADDIN EN.CITE &lt;EndNote&gt;&lt;Cite&gt;&lt;Author&gt;Ngoh&lt;/Author&gt;&lt;Year&gt;2017&lt;/Year&gt;&lt;RecNum&gt;27&lt;/RecNum&gt;&lt;DisplayText&gt;(Ngoh et al., 2017)&lt;/DisplayText&gt;&lt;record&gt;&lt;rec-number&gt;27&lt;/rec-number&gt;&lt;foreign-keys&gt;&lt;key app="EN" db-id="xse090551v0rtge2wpexvarktexrfras2z0v" timestamp="1675711041" guid="51f50ab9-d348-4ed5-a767-4e8d1933edb1"&gt;27&lt;/key&gt;&lt;/foreign-keys&gt;&lt;ref-type name="Journal Article"&gt;17&lt;/ref-type&gt;&lt;contributors&gt;&lt;authors&gt;&lt;author&gt;Ngoh, Jean Daniel&lt;/author&gt;&lt;author&gt;Mbarga, Théophile Ndougsa&lt;/author&gt;&lt;author&gt;Assembe, Stéphane Patrick&lt;/author&gt;&lt;author&gt;Meying, Arsène&lt;/author&gt;&lt;author&gt;Owono, Olivier Ulrich&lt;/author&gt;&lt;author&gt;Tabod, Tabod Charles&lt;/author&gt;&lt;/authors&gt;&lt;/contributors&gt;&lt;titles&gt;&lt;title&gt;Evidence of structural facts inferred from aeromagnetic data analysis over the Guider-Maroua Area (Northern Cameroon)&lt;/title&gt;&lt;secondary-title&gt;International Journal of Geosciences&lt;/secondary-title&gt;&lt;/titles&gt;&lt;periodical&gt;&lt;full-title&gt;International Journal of Geosciences&lt;/full-title&gt;&lt;/periodical&gt;&lt;pages&gt;781&lt;/pages&gt;&lt;volume&gt;8&lt;/volume&gt;&lt;number&gt;06&lt;/number&gt;&lt;dates&gt;&lt;year&gt;2017&lt;/year&gt;&lt;/dates&gt;&lt;urls&gt;&lt;/urls&gt;&lt;/record&gt;&lt;/Cite&gt;&lt;/EndNote&gt;</w:instrText>
      </w:r>
      <w:r w:rsidRPr="00A06E10">
        <w:rPr>
          <w:rFonts w:ascii="Cambria" w:eastAsia="Times New Roman" w:hAnsi="Cambria" w:cs="Arial"/>
          <w:color w:val="000000"/>
          <w:sz w:val="20"/>
          <w:szCs w:val="20"/>
          <w:lang w:eastAsia="en-US"/>
        </w:rPr>
        <w:fldChar w:fldCharType="separate"/>
      </w:r>
      <w:r w:rsidRPr="00A06E10">
        <w:rPr>
          <w:rFonts w:ascii="Cambria" w:eastAsia="Times New Roman" w:hAnsi="Cambria" w:cs="Arial"/>
          <w:noProof/>
          <w:color w:val="000000"/>
          <w:sz w:val="20"/>
          <w:szCs w:val="20"/>
          <w:lang w:eastAsia="en-US"/>
        </w:rPr>
        <w:t>(Ngoh et al., 2017)</w:t>
      </w:r>
      <w:r w:rsidRPr="00A06E10">
        <w:rPr>
          <w:rFonts w:ascii="Cambria" w:eastAsia="Times New Roman" w:hAnsi="Cambria" w:cs="Arial"/>
          <w:color w:val="000000"/>
          <w:sz w:val="20"/>
          <w:szCs w:val="20"/>
          <w:lang w:eastAsia="en-US"/>
        </w:rPr>
        <w:fldChar w:fldCharType="end"/>
      </w:r>
      <w:r w:rsidRPr="00A06E10">
        <w:rPr>
          <w:rFonts w:ascii="Cambria" w:eastAsia="Times New Roman" w:hAnsi="Cambria" w:cs="Arial"/>
          <w:color w:val="000000"/>
          <w:sz w:val="20"/>
          <w:szCs w:val="20"/>
          <w:lang w:eastAsia="en-US"/>
        </w:rPr>
        <w:t>:</w:t>
      </w:r>
    </w:p>
    <w:p w14:paraId="0D693A8D" w14:textId="77777777" w:rsidR="00A06E10" w:rsidRPr="00A06E10" w:rsidRDefault="00A06E10" w:rsidP="00A06E10">
      <w:pPr>
        <w:numPr>
          <w:ilvl w:val="0"/>
          <w:numId w:val="11"/>
        </w:numPr>
        <w:spacing w:after="160" w:line="259" w:lineRule="auto"/>
        <w:ind w:left="284" w:hanging="284"/>
        <w:contextualSpacing/>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The Magnetic field and the source of magnetization are in vertical direction</w:t>
      </w:r>
    </w:p>
    <w:p w14:paraId="18F7E44E" w14:textId="77777777" w:rsidR="00A06E10" w:rsidRPr="00A06E10" w:rsidRDefault="00A06E10" w:rsidP="00A06E10">
      <w:pPr>
        <w:numPr>
          <w:ilvl w:val="0"/>
          <w:numId w:val="11"/>
        </w:numPr>
        <w:spacing w:after="160" w:line="259" w:lineRule="auto"/>
        <w:ind w:left="284" w:hanging="284"/>
        <w:contextualSpacing/>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The magnetic contact is a vertical contact</w:t>
      </w:r>
    </w:p>
    <w:p w14:paraId="78FE36D6" w14:textId="77777777" w:rsidR="00A06E10" w:rsidRPr="00A06E10" w:rsidRDefault="00A06E10" w:rsidP="00A06E10">
      <w:pPr>
        <w:numPr>
          <w:ilvl w:val="0"/>
          <w:numId w:val="11"/>
        </w:numPr>
        <w:spacing w:after="160" w:line="259" w:lineRule="auto"/>
        <w:ind w:left="284" w:hanging="284"/>
        <w:contextualSpacing/>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Having the thick coating</w:t>
      </w:r>
    </w:p>
    <w:p w14:paraId="4B8A99EA" w14:textId="77777777" w:rsidR="00A06E10" w:rsidRPr="00A06E10" w:rsidRDefault="00A06E10" w:rsidP="00A06E10">
      <w:pPr>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 xml:space="preserve">To prevent the multiple phenomena from thin body, this method should be applied on the RTP magnetic field ([5]). </w:t>
      </w:r>
      <w:r w:rsidRPr="00A06E10">
        <w:rPr>
          <w:rFonts w:ascii="Cambria" w:eastAsia="Times New Roman" w:hAnsi="Cambria" w:cs="Arial"/>
          <w:color w:val="000000"/>
          <w:sz w:val="20"/>
          <w:szCs w:val="20"/>
          <w:lang w:eastAsia="en-US"/>
        </w:rPr>
        <w:t xml:space="preserve">Moreover, Geosoft program ([12]) </w:t>
      </w:r>
      <w:r w:rsidRPr="00A06E10">
        <w:rPr>
          <w:rFonts w:ascii="Cambria" w:eastAsia="Calibri" w:hAnsi="Cambria" w:cs="Arial"/>
          <w:color w:val="000000"/>
          <w:sz w:val="20"/>
          <w:szCs w:val="20"/>
          <w:lang w:eastAsia="en-US"/>
        </w:rPr>
        <w:t>is used to calculate the first derivative using equation (1) produced from the map of RTP total magnetic intensity RTP.</w:t>
      </w:r>
    </w:p>
    <w:p w14:paraId="1F3F8EAF" w14:textId="77777777" w:rsidR="00A06E10" w:rsidRPr="00A06E10" w:rsidRDefault="00A06E10" w:rsidP="00A06E10">
      <w:pPr>
        <w:ind w:firstLine="284"/>
        <w:jc w:val="both"/>
        <w:rPr>
          <w:rFonts w:ascii="Cambria" w:eastAsia="Times New Roman" w:hAnsi="Cambria" w:cs="Arial"/>
          <w:color w:val="000000"/>
          <w:sz w:val="20"/>
          <w:szCs w:val="20"/>
          <w:lang w:eastAsia="en-US"/>
        </w:rPr>
      </w:pPr>
    </w:p>
    <w:p w14:paraId="64519FE5" w14:textId="56533679" w:rsidR="00A06E10" w:rsidRPr="00CF794C" w:rsidRDefault="00A06E10" w:rsidP="005117D8">
      <w:pPr>
        <w:rPr>
          <w:lang w:eastAsia="en-US"/>
        </w:rPr>
      </w:pPr>
      <w:r w:rsidRPr="00A06E10">
        <w:rPr>
          <w:lang w:eastAsia="en-US"/>
        </w:rPr>
        <w:t>3.</w:t>
      </w:r>
      <w:r w:rsidRPr="00CF794C">
        <w:rPr>
          <w:lang w:eastAsia="en-US"/>
        </w:rPr>
        <w:t>4</w:t>
      </w:r>
      <w:r w:rsidRPr="00A06E10">
        <w:rPr>
          <w:lang w:eastAsia="en-US"/>
        </w:rPr>
        <w:t>. Tilt Angel Derivative (TDR)</w:t>
      </w:r>
    </w:p>
    <w:p w14:paraId="2069B935" w14:textId="77777777" w:rsidR="00A06E10" w:rsidRPr="00A06E10" w:rsidRDefault="00A06E10" w:rsidP="00A06E10">
      <w:pPr>
        <w:jc w:val="both"/>
        <w:rPr>
          <w:rFonts w:ascii="Cambria" w:eastAsia="Times New Roman" w:hAnsi="Cambria" w:cs="Arial"/>
          <w:color w:val="000000"/>
          <w:sz w:val="20"/>
          <w:szCs w:val="20"/>
          <w:lang w:eastAsia="en-US"/>
        </w:rPr>
      </w:pPr>
      <w:r w:rsidRPr="00A06E10">
        <w:rPr>
          <w:rFonts w:ascii="Cambria" w:eastAsia="Times New Roman" w:hAnsi="Cambria" w:cs="Arial"/>
          <w:color w:val="000000"/>
          <w:sz w:val="20"/>
          <w:szCs w:val="20"/>
          <w:lang w:eastAsia="en-US"/>
        </w:rPr>
        <w:t>Improvement of the signal analysis method to determine the location and vertical magnetic contact without a priori information can be perfectly carried out by using the first horizontal amplitude gradient from the angle of inclination ([15], [16]). This method is very interesting to use because it is fundamental and practical to be implemented ([2]). The tilt angel derivative (TDR) or tilt angle of a magnetic field M(</w:t>
      </w:r>
      <w:proofErr w:type="spellStart"/>
      <w:r w:rsidRPr="00A06E10">
        <w:rPr>
          <w:rFonts w:ascii="Cambria" w:eastAsia="Times New Roman" w:hAnsi="Cambria" w:cs="Arial"/>
          <w:color w:val="000000"/>
          <w:sz w:val="20"/>
          <w:szCs w:val="20"/>
          <w:lang w:eastAsia="en-US"/>
        </w:rPr>
        <w:t>x,y</w:t>
      </w:r>
      <w:proofErr w:type="spellEnd"/>
      <w:r w:rsidRPr="00A06E10">
        <w:rPr>
          <w:rFonts w:ascii="Cambria" w:eastAsia="Times New Roman" w:hAnsi="Cambria" w:cs="Arial"/>
          <w:color w:val="000000"/>
          <w:sz w:val="20"/>
          <w:szCs w:val="20"/>
          <w:lang w:eastAsia="en-US"/>
        </w:rPr>
        <w:t>) of Miller and Singh (1994)  is formulated as follows:</w:t>
      </w:r>
    </w:p>
    <w:p w14:paraId="12F2F96D" w14:textId="2C5B31EE" w:rsidR="00A06E10" w:rsidRPr="00A06E10" w:rsidRDefault="00A06E10" w:rsidP="00A06E10">
      <w:pPr>
        <w:ind w:firstLine="284"/>
        <w:jc w:val="center"/>
        <w:rPr>
          <w:rFonts w:ascii="Cambria" w:eastAsia="Calibri" w:hAnsi="Cambria" w:cs="Arial"/>
          <w:sz w:val="20"/>
          <w:szCs w:val="20"/>
          <w:lang w:eastAsia="en-US"/>
        </w:rPr>
      </w:pPr>
      <m:oMathPara>
        <m:oMathParaPr>
          <m:jc m:val="left"/>
        </m:oMathParaPr>
        <m:oMath>
          <m:r>
            <m:rPr>
              <m:nor/>
            </m:rPr>
            <w:rPr>
              <w:rFonts w:ascii="Cambria" w:eastAsia="Calibri" w:hAnsi="Cambria" w:cs="Cambria"/>
              <w:iCs/>
              <w:sz w:val="20"/>
              <w:szCs w:val="20"/>
              <w:lang w:eastAsia="en-US"/>
            </w:rPr>
            <m:t>θ</m:t>
          </m:r>
          <m:r>
            <m:rPr>
              <m:nor/>
            </m:rPr>
            <w:rPr>
              <w:rFonts w:ascii="Cambria" w:eastAsia="Calibri" w:hAnsi="Cambria" w:cs="Arial"/>
              <w:iCs/>
              <w:sz w:val="20"/>
              <w:szCs w:val="20"/>
              <w:lang w:eastAsia="en-US"/>
            </w:rPr>
            <m:t>=</m:t>
          </m:r>
          <m:sSup>
            <m:sSupPr>
              <m:ctrlPr>
                <w:rPr>
                  <w:rFonts w:ascii="Cambria Math" w:eastAsia="Calibri" w:hAnsi="Cambria Math" w:cs="Arial"/>
                  <w:iCs/>
                  <w:sz w:val="20"/>
                  <w:szCs w:val="20"/>
                  <w:lang w:eastAsia="en-US"/>
                </w:rPr>
              </m:ctrlPr>
            </m:sSupPr>
            <m:e>
              <m:r>
                <m:rPr>
                  <m:nor/>
                </m:rPr>
                <w:rPr>
                  <w:rFonts w:ascii="Cambria" w:eastAsia="Calibri" w:hAnsi="Cambria" w:cs="Arial"/>
                  <w:iCs/>
                  <w:sz w:val="20"/>
                  <w:szCs w:val="20"/>
                  <w:lang w:eastAsia="en-US"/>
                </w:rPr>
                <m:t>tan</m:t>
              </m:r>
            </m:e>
            <m:sup>
              <m:r>
                <m:rPr>
                  <m:nor/>
                </m:rPr>
                <w:rPr>
                  <w:rFonts w:ascii="Cambria" w:eastAsia="Calibri" w:hAnsi="Cambria" w:cs="Arial"/>
                  <w:iCs/>
                  <w:sz w:val="20"/>
                  <w:szCs w:val="20"/>
                  <w:lang w:eastAsia="en-US"/>
                </w:rPr>
                <m:t>-1</m:t>
              </m:r>
            </m:sup>
          </m:sSup>
          <m:d>
            <m:dPr>
              <m:begChr m:val="["/>
              <m:endChr m:val="]"/>
              <m:ctrlPr>
                <w:rPr>
                  <w:rFonts w:ascii="Cambria Math" w:eastAsia="Calibri" w:hAnsi="Cambria Math" w:cs="Arial"/>
                  <w:i/>
                  <w:iCs/>
                  <w:sz w:val="20"/>
                  <w:szCs w:val="20"/>
                  <w:lang w:eastAsia="en-US"/>
                </w:rPr>
              </m:ctrlPr>
            </m:dPr>
            <m:e>
              <m:f>
                <m:fPr>
                  <m:type m:val="lin"/>
                  <m:ctrlPr>
                    <w:rPr>
                      <w:rFonts w:ascii="Cambria Math" w:eastAsia="Calibri" w:hAnsi="Cambria Math" w:cs="Arial"/>
                      <w:i/>
                      <w:iCs/>
                      <w:sz w:val="20"/>
                      <w:szCs w:val="20"/>
                      <w:lang w:eastAsia="en-US"/>
                    </w:rPr>
                  </m:ctrlPr>
                </m:fPr>
                <m:num>
                  <m:f>
                    <m:fPr>
                      <m:ctrlPr>
                        <w:rPr>
                          <w:rFonts w:ascii="Cambria Math" w:eastAsia="Calibri" w:hAnsi="Cambria Math" w:cs="Arial"/>
                          <w:iCs/>
                          <w:color w:val="000000"/>
                          <w:sz w:val="20"/>
                          <w:szCs w:val="20"/>
                          <w:lang w:eastAsia="en-US"/>
                        </w:rPr>
                      </m:ctrlPr>
                    </m:fPr>
                    <m:num>
                      <m:r>
                        <m:rPr>
                          <m:nor/>
                        </m:rPr>
                        <w:rPr>
                          <w:rFonts w:ascii="Cambria" w:eastAsia="Calibri" w:hAnsi="Cambria" w:cs="Arial"/>
                          <w:iCs/>
                          <w:color w:val="000000"/>
                          <w:sz w:val="20"/>
                          <w:szCs w:val="20"/>
                          <w:lang w:eastAsia="en-US"/>
                        </w:rPr>
                        <m:t>∂M</m:t>
                      </m:r>
                    </m:num>
                    <m:den>
                      <m:r>
                        <m:rPr>
                          <m:nor/>
                        </m:rPr>
                        <w:rPr>
                          <w:rFonts w:ascii="Cambria" w:eastAsia="Calibri" w:hAnsi="Cambria" w:cs="Arial"/>
                          <w:iCs/>
                          <w:color w:val="000000"/>
                          <w:sz w:val="20"/>
                          <w:szCs w:val="20"/>
                          <w:lang w:eastAsia="en-US"/>
                        </w:rPr>
                        <m:t>∂z</m:t>
                      </m:r>
                    </m:den>
                  </m:f>
                </m:num>
                <m:den>
                  <m:f>
                    <m:fPr>
                      <m:ctrlPr>
                        <w:rPr>
                          <w:rFonts w:ascii="Cambria Math" w:eastAsia="Calibri" w:hAnsi="Cambria Math" w:cs="Arial"/>
                          <w:iCs/>
                          <w:color w:val="000000"/>
                          <w:sz w:val="20"/>
                          <w:szCs w:val="20"/>
                          <w:lang w:eastAsia="en-US"/>
                        </w:rPr>
                      </m:ctrlPr>
                    </m:fPr>
                    <m:num>
                      <m:r>
                        <m:rPr>
                          <m:nor/>
                        </m:rPr>
                        <w:rPr>
                          <w:rFonts w:ascii="Cambria" w:eastAsia="Calibri" w:hAnsi="Cambria" w:cs="Arial"/>
                          <w:iCs/>
                          <w:color w:val="000000"/>
                          <w:sz w:val="20"/>
                          <w:szCs w:val="20"/>
                          <w:lang w:eastAsia="en-US"/>
                        </w:rPr>
                        <m:t>∂M</m:t>
                      </m:r>
                    </m:num>
                    <m:den>
                      <m:r>
                        <m:rPr>
                          <m:nor/>
                        </m:rPr>
                        <w:rPr>
                          <w:rFonts w:ascii="Cambria" w:eastAsia="Calibri" w:hAnsi="Cambria" w:cs="Arial"/>
                          <w:iCs/>
                          <w:color w:val="000000"/>
                          <w:sz w:val="20"/>
                          <w:szCs w:val="20"/>
                          <w:lang w:eastAsia="en-US"/>
                        </w:rPr>
                        <m:t>∂h</m:t>
                      </m:r>
                    </m:den>
                  </m:f>
                </m:den>
              </m:f>
            </m:e>
          </m:d>
          <m:r>
            <m:rPr>
              <m:nor/>
            </m:rPr>
            <w:rPr>
              <w:rFonts w:ascii="Cambria" w:eastAsia="Calibri" w:hAnsi="Cambria" w:cs="Arial"/>
              <w:iCs/>
              <w:sz w:val="20"/>
              <w:szCs w:val="20"/>
              <w:lang w:eastAsia="en-US"/>
            </w:rPr>
            <m:t xml:space="preserve">                                                             (2)</m:t>
          </m:r>
        </m:oMath>
      </m:oMathPara>
    </w:p>
    <w:p w14:paraId="0E5795E7" w14:textId="77777777" w:rsidR="00A06E10" w:rsidRPr="00A06E10" w:rsidRDefault="00A06E10" w:rsidP="00A06E10">
      <w:pPr>
        <w:jc w:val="both"/>
        <w:rPr>
          <w:rFonts w:ascii="Cambria" w:eastAsia="Times New Roman" w:hAnsi="Cambria" w:cs="Arial"/>
          <w:color w:val="000000"/>
          <w:sz w:val="20"/>
          <w:szCs w:val="20"/>
          <w:lang w:eastAsia="en-US"/>
        </w:rPr>
      </w:pPr>
      <w:r w:rsidRPr="00A06E10">
        <w:rPr>
          <w:rFonts w:ascii="Cambria" w:eastAsia="Times New Roman" w:hAnsi="Cambria" w:cs="Arial"/>
          <w:color w:val="000000"/>
          <w:sz w:val="20"/>
          <w:szCs w:val="20"/>
          <w:lang w:eastAsia="en-US"/>
        </w:rPr>
        <w:t xml:space="preserve">where </w:t>
      </w:r>
      <m:oMath>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∂z</m:t>
            </m:r>
          </m:den>
        </m:f>
      </m:oMath>
      <w:r w:rsidRPr="00A06E10">
        <w:rPr>
          <w:rFonts w:ascii="Cambria" w:eastAsia="Times New Roman" w:hAnsi="Cambria" w:cs="Arial"/>
          <w:color w:val="000000"/>
          <w:sz w:val="20"/>
          <w:szCs w:val="20"/>
          <w:lang w:eastAsia="en-US"/>
        </w:rPr>
        <w:t xml:space="preserve"> is the first derivative of magnetic field toward variable of z axes and </w:t>
      </w:r>
      <m:oMath>
        <m:f>
          <m:fPr>
            <m:ctrlPr>
              <w:rPr>
                <w:rFonts w:ascii="Cambria Math" w:eastAsia="Calibri" w:hAnsi="Cambria Math" w:cs="Arial"/>
                <w:i/>
                <w:color w:val="000000"/>
                <w:sz w:val="20"/>
                <w:szCs w:val="20"/>
                <w:lang w:eastAsia="en-US"/>
              </w:rPr>
            </m:ctrlPr>
          </m:fPr>
          <m:num>
            <m:r>
              <m:rPr>
                <m:nor/>
              </m:rPr>
              <w:rPr>
                <w:rFonts w:ascii="Cambria" w:eastAsia="Calibri" w:hAnsi="Cambria" w:cs="Arial"/>
                <w:color w:val="000000"/>
                <w:sz w:val="20"/>
                <w:szCs w:val="20"/>
                <w:lang w:eastAsia="en-US"/>
              </w:rPr>
              <m:t>∂M</m:t>
            </m:r>
          </m:num>
          <m:den>
            <m:r>
              <m:rPr>
                <m:nor/>
              </m:rPr>
              <w:rPr>
                <w:rFonts w:ascii="Cambria" w:eastAsia="Calibri" w:hAnsi="Cambria" w:cs="Arial"/>
                <w:color w:val="000000"/>
                <w:sz w:val="20"/>
                <w:szCs w:val="20"/>
                <w:lang w:eastAsia="en-US"/>
              </w:rPr>
              <m:t>∂h</m:t>
            </m:r>
          </m:den>
        </m:f>
      </m:oMath>
      <w:r w:rsidRPr="00A06E10">
        <w:rPr>
          <w:rFonts w:ascii="Cambria" w:eastAsia="Times New Roman" w:hAnsi="Cambria" w:cs="Arial"/>
          <w:color w:val="000000"/>
          <w:sz w:val="20"/>
          <w:szCs w:val="20"/>
          <w:lang w:eastAsia="en-US"/>
        </w:rPr>
        <w:t xml:space="preserve"> is the HGM(</w:t>
      </w:r>
      <w:proofErr w:type="spellStart"/>
      <w:r w:rsidRPr="00A06E10">
        <w:rPr>
          <w:rFonts w:ascii="Cambria" w:eastAsia="Times New Roman" w:hAnsi="Cambria" w:cs="Arial"/>
          <w:color w:val="000000"/>
          <w:sz w:val="20"/>
          <w:szCs w:val="20"/>
          <w:lang w:eastAsia="en-US"/>
        </w:rPr>
        <w:t>x,y</w:t>
      </w:r>
      <w:proofErr w:type="spellEnd"/>
      <w:r w:rsidRPr="00A06E10">
        <w:rPr>
          <w:rFonts w:ascii="Cambria" w:eastAsia="Times New Roman" w:hAnsi="Cambria" w:cs="Arial"/>
          <w:color w:val="000000"/>
          <w:sz w:val="20"/>
          <w:szCs w:val="20"/>
          <w:lang w:eastAsia="en-US"/>
        </w:rPr>
        <w:t xml:space="preserve">). </w:t>
      </w:r>
    </w:p>
    <w:p w14:paraId="511E8773" w14:textId="2053E29E" w:rsidR="00A06E10" w:rsidRPr="00A06E10" w:rsidRDefault="00A06E10" w:rsidP="00A06E10">
      <w:pPr>
        <w:jc w:val="both"/>
        <w:rPr>
          <w:rFonts w:ascii="Gulliver-Regular" w:eastAsia="Times New Roman" w:hAnsi="Gulliver-Regular" w:cs="Arial"/>
          <w:strike/>
          <w:color w:val="EE0000"/>
          <w:sz w:val="18"/>
          <w:szCs w:val="18"/>
          <w:lang w:eastAsia="en-US"/>
        </w:rPr>
      </w:pPr>
      <w:r w:rsidRPr="00A06E10">
        <w:rPr>
          <w:rFonts w:ascii="Cambria" w:eastAsia="Times New Roman" w:hAnsi="Cambria" w:cs="Arial"/>
          <w:color w:val="000000"/>
          <w:sz w:val="20"/>
          <w:szCs w:val="20"/>
          <w:lang w:eastAsia="en-US"/>
        </w:rPr>
        <w:t xml:space="preserve">The average distance between contour angles of 0° and angles of +45° or -45° is the depth of the anomaly </w:t>
      </w:r>
      <w:r w:rsidRPr="00CF794C">
        <w:rPr>
          <w:rFonts w:ascii="Cambria" w:eastAsia="Times New Roman" w:hAnsi="Cambria" w:cs="Arial"/>
          <w:color w:val="000000"/>
          <w:sz w:val="20"/>
          <w:szCs w:val="20"/>
          <w:lang w:eastAsia="en-US"/>
        </w:rPr>
        <w:t xml:space="preserve">([7]). </w:t>
      </w:r>
      <w:r w:rsidRPr="00A06E10">
        <w:rPr>
          <w:rFonts w:ascii="Cambria" w:eastAsia="Times New Roman" w:hAnsi="Cambria" w:cs="Arial"/>
          <w:color w:val="000000"/>
          <w:sz w:val="20"/>
          <w:szCs w:val="20"/>
          <w:lang w:eastAsia="en-US"/>
        </w:rPr>
        <w:t>The results of the TDR technique can point out the location of the source of TMI anomaly as well as make equal the contrast for high and low anomalies ([16]). Tilt angel derivative yielding a zero value (it means close or exactly to the anomaly source)</w:t>
      </w:r>
      <w:r w:rsidRPr="00A06E10">
        <w:rPr>
          <w:rFonts w:ascii="Gulliver-Regular" w:eastAsia="Times New Roman" w:hAnsi="Gulliver-Regular" w:cs="Arial"/>
          <w:color w:val="000000"/>
          <w:sz w:val="18"/>
          <w:szCs w:val="18"/>
          <w:lang w:eastAsia="en-US"/>
        </w:rPr>
        <w:t xml:space="preserve"> can be used to detect the edge of the source ([15]) Process of the tilt derivative is carried out using the Geosoft program ([12]). </w:t>
      </w:r>
    </w:p>
    <w:p w14:paraId="1B3F1A06" w14:textId="77777777" w:rsidR="00A06E10" w:rsidRPr="00A06E10" w:rsidRDefault="00A06E10" w:rsidP="00A06E10">
      <w:pPr>
        <w:jc w:val="both"/>
        <w:rPr>
          <w:rFonts w:ascii="Cambria" w:eastAsia="Calibri" w:hAnsi="Cambria" w:cs="Arial"/>
          <w:color w:val="000000"/>
          <w:sz w:val="20"/>
          <w:szCs w:val="20"/>
          <w:lang w:eastAsia="en-US"/>
        </w:rPr>
      </w:pPr>
    </w:p>
    <w:p w14:paraId="5ED62A73" w14:textId="00DE1230" w:rsidR="00A06E10" w:rsidRPr="00A06E10" w:rsidRDefault="00A06E10" w:rsidP="005117D8">
      <w:pPr>
        <w:rPr>
          <w:lang w:eastAsia="en-US"/>
        </w:rPr>
      </w:pPr>
      <w:r w:rsidRPr="00A06E10">
        <w:rPr>
          <w:lang w:eastAsia="en-US"/>
        </w:rPr>
        <w:t>3.</w:t>
      </w:r>
      <w:r w:rsidRPr="00474B5C">
        <w:rPr>
          <w:lang w:eastAsia="en-US"/>
        </w:rPr>
        <w:t>5</w:t>
      </w:r>
      <w:r w:rsidRPr="00A06E10">
        <w:rPr>
          <w:lang w:eastAsia="en-US"/>
        </w:rPr>
        <w:t>. Euler Deconvolution</w:t>
      </w:r>
    </w:p>
    <w:p w14:paraId="5927688D" w14:textId="77777777" w:rsidR="00A06E10" w:rsidRPr="00A06E10" w:rsidRDefault="00A06E10" w:rsidP="00A06E10">
      <w:pPr>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 xml:space="preserve">The Euler deconvolution is one of techniques that can be used to interpret magnetic data automatically and fast ([4]). This technique is applied to calculate the depth of anomaly object ([2]).  This Calculations using the GMsys-3D program ([12]). The technique of Euler deconvolution is based on the equation of the Euler homogeneity. </w:t>
      </w:r>
    </w:p>
    <w:p w14:paraId="70756364" w14:textId="77777777" w:rsidR="005E39D2" w:rsidRPr="00474B5C" w:rsidRDefault="00A06E10" w:rsidP="005E39D2">
      <w:pPr>
        <w:ind w:firstLine="284"/>
        <w:jc w:val="both"/>
        <w:rPr>
          <w:rFonts w:ascii="Cambria" w:eastAsia="Calibri" w:hAnsi="Cambria" w:cs="Arial"/>
          <w:color w:val="000000"/>
          <w:sz w:val="20"/>
          <w:szCs w:val="20"/>
          <w:lang w:eastAsia="en-US"/>
        </w:rPr>
      </w:pPr>
      <w:r w:rsidRPr="00A06E10">
        <w:rPr>
          <w:rFonts w:ascii="Cambria" w:eastAsia="Calibri" w:hAnsi="Cambria" w:cs="Arial"/>
          <w:color w:val="000000"/>
          <w:sz w:val="20"/>
          <w:szCs w:val="20"/>
          <w:lang w:eastAsia="en-US"/>
        </w:rPr>
        <w:t>This homogeneity equation relates the magnetic field and its gradient components for the source location, with the degree of homogeneity N being considered as a structural index ([17]).  The structural index is a rating measure of the change in the field with distance. The magnetic field which is the interface and contact has a structural index N = 0 ([2], [4]). In this study the Euler deconvolution technique was applied to calculate the depth of anomaly objects with windows size 10. The depth solution is estimated in the range of 750-1500m with a depth tolerance of 15%.</w:t>
      </w:r>
    </w:p>
    <w:p w14:paraId="7F1FE2DA" w14:textId="77777777" w:rsidR="005E39D2" w:rsidRDefault="005E39D2" w:rsidP="005E39D2">
      <w:pPr>
        <w:jc w:val="both"/>
        <w:rPr>
          <w:rFonts w:ascii="Gulliver-Regular" w:eastAsia="Calibri" w:hAnsi="Gulliver-Regular" w:cs="Arial"/>
          <w:color w:val="000000"/>
          <w:sz w:val="18"/>
          <w:szCs w:val="18"/>
          <w:lang w:eastAsia="en-US"/>
        </w:rPr>
      </w:pPr>
    </w:p>
    <w:p w14:paraId="2FCA3808" w14:textId="77777777" w:rsidR="00474B5C" w:rsidRDefault="00474B5C" w:rsidP="005E39D2">
      <w:pPr>
        <w:jc w:val="both"/>
        <w:rPr>
          <w:rFonts w:ascii="Gulliver-Regular" w:eastAsia="Calibri" w:hAnsi="Gulliver-Regular" w:cs="Arial"/>
          <w:color w:val="000000"/>
          <w:sz w:val="18"/>
          <w:szCs w:val="18"/>
          <w:lang w:eastAsia="en-US"/>
        </w:rPr>
      </w:pPr>
    </w:p>
    <w:p w14:paraId="1A69B042" w14:textId="77777777" w:rsidR="00474B5C" w:rsidRDefault="00474B5C" w:rsidP="005E39D2">
      <w:pPr>
        <w:jc w:val="both"/>
        <w:rPr>
          <w:rFonts w:ascii="Gulliver-Regular" w:eastAsia="Calibri" w:hAnsi="Gulliver-Regular" w:cs="Arial"/>
          <w:color w:val="000000"/>
          <w:sz w:val="18"/>
          <w:szCs w:val="18"/>
          <w:lang w:eastAsia="en-US"/>
        </w:rPr>
      </w:pPr>
    </w:p>
    <w:p w14:paraId="5FE4C79B" w14:textId="77777777" w:rsidR="00474B5C" w:rsidRDefault="00474B5C" w:rsidP="005E39D2">
      <w:pPr>
        <w:jc w:val="both"/>
        <w:rPr>
          <w:rFonts w:ascii="Gulliver-Regular" w:eastAsia="Calibri" w:hAnsi="Gulliver-Regular" w:cs="Arial"/>
          <w:color w:val="000000"/>
          <w:sz w:val="18"/>
          <w:szCs w:val="18"/>
          <w:lang w:eastAsia="en-US"/>
        </w:rPr>
      </w:pPr>
    </w:p>
    <w:p w14:paraId="017CCE02" w14:textId="77777777" w:rsidR="00474B5C" w:rsidRPr="00474B5C" w:rsidRDefault="00474B5C" w:rsidP="00474B5C">
      <w:pPr>
        <w:jc w:val="both"/>
        <w:rPr>
          <w:rFonts w:ascii="Cambria" w:eastAsia="Calibri" w:hAnsi="Cambria" w:cs="Arial"/>
          <w:b/>
          <w:bCs/>
          <w:color w:val="000000"/>
          <w:sz w:val="20"/>
          <w:szCs w:val="20"/>
          <w:lang w:eastAsia="en-US"/>
        </w:rPr>
      </w:pPr>
      <w:r w:rsidRPr="00474B5C">
        <w:rPr>
          <w:rFonts w:ascii="Cambria" w:eastAsia="Calibri" w:hAnsi="Cambria" w:cs="Arial"/>
          <w:b/>
          <w:bCs/>
          <w:color w:val="000000"/>
          <w:sz w:val="20"/>
          <w:szCs w:val="20"/>
          <w:lang w:eastAsia="en-US"/>
        </w:rPr>
        <w:lastRenderedPageBreak/>
        <w:t>4</w:t>
      </w:r>
      <w:r w:rsidRPr="00474B5C">
        <w:rPr>
          <w:rFonts w:ascii="Cambria" w:eastAsia="Calibri" w:hAnsi="Cambria" w:cs="Arial"/>
          <w:b/>
          <w:bCs/>
          <w:color w:val="000000"/>
          <w:sz w:val="20"/>
          <w:szCs w:val="20"/>
          <w:lang w:val="id-ID" w:eastAsia="en-US"/>
        </w:rPr>
        <w:t xml:space="preserve">. </w:t>
      </w:r>
      <w:r w:rsidRPr="00474B5C">
        <w:rPr>
          <w:rFonts w:ascii="Cambria" w:eastAsia="Calibri" w:hAnsi="Cambria" w:cs="Arial"/>
          <w:b/>
          <w:bCs/>
          <w:color w:val="000000"/>
          <w:sz w:val="20"/>
          <w:szCs w:val="20"/>
          <w:lang w:eastAsia="en-US"/>
        </w:rPr>
        <w:t>RESULTS AND DISCUSSION</w:t>
      </w:r>
    </w:p>
    <w:p w14:paraId="105D4DDD" w14:textId="77777777" w:rsidR="00474B5C" w:rsidRDefault="00474B5C" w:rsidP="00474B5C">
      <w:pPr>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 xml:space="preserve">The RTP map of the total magnetic intensity anomaly shows the negative and positive of magnetic magnitudes ranging from -117 </w:t>
      </w:r>
      <w:proofErr w:type="spellStart"/>
      <w:r w:rsidRPr="00474B5C">
        <w:rPr>
          <w:rFonts w:ascii="Cambria" w:eastAsia="Calibri" w:hAnsi="Cambria" w:cs="Arial"/>
          <w:color w:val="000000"/>
          <w:sz w:val="20"/>
          <w:szCs w:val="20"/>
          <w:lang w:eastAsia="en-US"/>
        </w:rPr>
        <w:t>nT</w:t>
      </w:r>
      <w:proofErr w:type="spellEnd"/>
      <w:r w:rsidRPr="00474B5C">
        <w:rPr>
          <w:rFonts w:ascii="Cambria" w:eastAsia="Calibri" w:hAnsi="Cambria" w:cs="Arial"/>
          <w:color w:val="000000"/>
          <w:sz w:val="20"/>
          <w:szCs w:val="20"/>
          <w:lang w:eastAsia="en-US"/>
        </w:rPr>
        <w:t xml:space="preserve"> to 47 </w:t>
      </w:r>
      <w:proofErr w:type="spellStart"/>
      <w:r w:rsidRPr="00474B5C">
        <w:rPr>
          <w:rFonts w:ascii="Cambria" w:eastAsia="Calibri" w:hAnsi="Cambria" w:cs="Arial"/>
          <w:color w:val="000000"/>
          <w:sz w:val="20"/>
          <w:szCs w:val="20"/>
          <w:lang w:eastAsia="en-US"/>
        </w:rPr>
        <w:t>nT</w:t>
      </w:r>
      <w:proofErr w:type="spellEnd"/>
      <w:r w:rsidRPr="00474B5C">
        <w:rPr>
          <w:rFonts w:ascii="Cambria" w:eastAsia="Calibri" w:hAnsi="Cambria" w:cs="Arial"/>
          <w:color w:val="000000"/>
          <w:sz w:val="20"/>
          <w:szCs w:val="20"/>
          <w:lang w:eastAsia="en-US"/>
        </w:rPr>
        <w:t xml:space="preserve"> (</w:t>
      </w:r>
      <w:r w:rsidRPr="00474B5C">
        <w:rPr>
          <w:rFonts w:ascii="Cambria" w:eastAsia="Calibri" w:hAnsi="Cambria" w:cs="Arial"/>
          <w:b/>
          <w:bCs/>
          <w:color w:val="000000"/>
          <w:sz w:val="20"/>
          <w:szCs w:val="20"/>
          <w:lang w:eastAsia="en-US"/>
        </w:rPr>
        <w:t>Fig. 2</w:t>
      </w:r>
      <w:r w:rsidRPr="00474B5C">
        <w:rPr>
          <w:rFonts w:ascii="Cambria" w:eastAsia="Calibri" w:hAnsi="Cambria" w:cs="Arial"/>
          <w:color w:val="000000"/>
          <w:sz w:val="20"/>
          <w:szCs w:val="20"/>
          <w:lang w:eastAsia="en-US"/>
        </w:rPr>
        <w:t xml:space="preserve">). </w:t>
      </w:r>
    </w:p>
    <w:p w14:paraId="7420A155" w14:textId="77777777" w:rsidR="00474B5C" w:rsidRDefault="00474B5C" w:rsidP="00474B5C">
      <w:pPr>
        <w:jc w:val="both"/>
        <w:rPr>
          <w:rFonts w:ascii="Cambria" w:eastAsia="Calibri" w:hAnsi="Cambria" w:cs="Arial"/>
          <w:color w:val="000000"/>
          <w:sz w:val="20"/>
          <w:szCs w:val="20"/>
          <w:lang w:eastAsia="en-US"/>
        </w:rPr>
      </w:pPr>
    </w:p>
    <w:p w14:paraId="4C70B2BE" w14:textId="001AF362" w:rsidR="00474B5C" w:rsidRDefault="00474B5C" w:rsidP="00474B5C">
      <w:pPr>
        <w:jc w:val="both"/>
        <w:rPr>
          <w:rFonts w:ascii="Cambria" w:eastAsia="Calibri" w:hAnsi="Cambria" w:cs="Arial"/>
          <w:color w:val="000000"/>
          <w:sz w:val="20"/>
          <w:szCs w:val="20"/>
          <w:lang w:eastAsia="en-US"/>
        </w:rPr>
      </w:pPr>
      <w:r w:rsidRPr="00474B5C">
        <w:rPr>
          <w:rFonts w:ascii="Gulliver-Regular" w:eastAsia="Calibri" w:hAnsi="Gulliver-Regular" w:cs="Arial"/>
          <w:noProof/>
          <w:sz w:val="16"/>
          <w:szCs w:val="16"/>
          <w:lang w:val="id-ID" w:eastAsia="en-US"/>
        </w:rPr>
        <w:drawing>
          <wp:inline distT="0" distB="0" distL="0" distR="0" wp14:anchorId="24F7B039" wp14:editId="0652754F">
            <wp:extent cx="2880360" cy="2261601"/>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3" cstate="print">
                      <a:extLst>
                        <a:ext uri="{28A0092B-C50C-407E-A947-70E740481C1C}">
                          <a14:useLocalDpi xmlns:a14="http://schemas.microsoft.com/office/drawing/2010/main" val="0"/>
                        </a:ext>
                      </a:extLst>
                    </a:blip>
                    <a:srcRect l="4666" r="5301"/>
                    <a:stretch/>
                  </pic:blipFill>
                  <pic:spPr bwMode="auto">
                    <a:xfrm>
                      <a:off x="0" y="0"/>
                      <a:ext cx="2880360" cy="2261601"/>
                    </a:xfrm>
                    <a:prstGeom prst="rect">
                      <a:avLst/>
                    </a:prstGeom>
                    <a:ln>
                      <a:noFill/>
                    </a:ln>
                    <a:extLst>
                      <a:ext uri="{53640926-AAD7-44D8-BBD7-CCE9431645EC}">
                        <a14:shadowObscured xmlns:a14="http://schemas.microsoft.com/office/drawing/2010/main"/>
                      </a:ext>
                    </a:extLst>
                  </pic:spPr>
                </pic:pic>
              </a:graphicData>
            </a:graphic>
          </wp:inline>
        </w:drawing>
      </w:r>
    </w:p>
    <w:p w14:paraId="0FAA8567" w14:textId="77777777" w:rsidR="00474B5C" w:rsidRPr="00474B5C" w:rsidRDefault="00474B5C" w:rsidP="00474B5C">
      <w:pPr>
        <w:ind w:left="142"/>
        <w:jc w:val="both"/>
        <w:rPr>
          <w:rFonts w:ascii="Cambria" w:hAnsi="Cambria"/>
          <w:sz w:val="18"/>
          <w:szCs w:val="18"/>
        </w:rPr>
      </w:pPr>
      <w:r w:rsidRPr="00474B5C">
        <w:rPr>
          <w:rFonts w:ascii="Cambria" w:hAnsi="Cambria"/>
          <w:b/>
          <w:bCs/>
          <w:sz w:val="18"/>
          <w:szCs w:val="18"/>
        </w:rPr>
        <w:t>Fig. 2.</w:t>
      </w:r>
      <w:r w:rsidRPr="00474B5C">
        <w:rPr>
          <w:rFonts w:ascii="Cambria" w:hAnsi="Cambria"/>
          <w:sz w:val="18"/>
          <w:szCs w:val="18"/>
        </w:rPr>
        <w:t xml:space="preserve"> The RTP map from the total magnetic intensity anomaly of the Lainea. The color gradation shows the magnitude of TMI (</w:t>
      </w:r>
      <w:proofErr w:type="spellStart"/>
      <w:r w:rsidRPr="00474B5C">
        <w:rPr>
          <w:rFonts w:ascii="Cambria" w:hAnsi="Cambria"/>
          <w:sz w:val="18"/>
          <w:szCs w:val="18"/>
        </w:rPr>
        <w:t>nT</w:t>
      </w:r>
      <w:proofErr w:type="spellEnd"/>
      <w:r w:rsidRPr="00474B5C">
        <w:rPr>
          <w:rFonts w:ascii="Cambria" w:hAnsi="Cambria"/>
          <w:sz w:val="18"/>
          <w:szCs w:val="18"/>
        </w:rPr>
        <w:t xml:space="preserve">) and the black line shows faults. </w:t>
      </w:r>
    </w:p>
    <w:p w14:paraId="0074EE21" w14:textId="77777777" w:rsidR="00474B5C" w:rsidRPr="00474B5C" w:rsidRDefault="00474B5C" w:rsidP="00474B5C">
      <w:pPr>
        <w:jc w:val="both"/>
        <w:rPr>
          <w:rFonts w:ascii="Cambria" w:eastAsia="Calibri" w:hAnsi="Cambria" w:cs="Arial"/>
          <w:color w:val="000000"/>
          <w:sz w:val="20"/>
          <w:szCs w:val="20"/>
          <w:lang w:eastAsia="en-US"/>
        </w:rPr>
      </w:pPr>
    </w:p>
    <w:p w14:paraId="2BF7C2A6" w14:textId="442B7A15" w:rsidR="00474B5C" w:rsidRPr="00474B5C"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The part of the positive anomaly is observed in the lower area trending in the NW - SE direction and in the upper right area trending in the N-S direction. These areas correspond to the distribution of Quaternary rock unit, namely Conglomerate Rock Units (</w:t>
      </w:r>
      <w:proofErr w:type="spellStart"/>
      <w:r w:rsidRPr="00474B5C">
        <w:rPr>
          <w:rFonts w:ascii="Cambria" w:eastAsia="Calibri" w:hAnsi="Cambria" w:cs="Arial"/>
          <w:color w:val="000000"/>
          <w:sz w:val="20"/>
          <w:szCs w:val="20"/>
          <w:lang w:eastAsia="en-US"/>
        </w:rPr>
        <w:t>Qkg</w:t>
      </w:r>
      <w:proofErr w:type="spellEnd"/>
      <w:r w:rsidRPr="00474B5C">
        <w:rPr>
          <w:rFonts w:ascii="Cambria" w:eastAsia="Calibri" w:hAnsi="Cambria" w:cs="Arial"/>
          <w:color w:val="000000"/>
          <w:sz w:val="20"/>
          <w:szCs w:val="20"/>
          <w:lang w:eastAsia="en-US"/>
        </w:rPr>
        <w:t>) and Alluvium Deposits (</w:t>
      </w:r>
      <w:proofErr w:type="spellStart"/>
      <w:r w:rsidRPr="00474B5C">
        <w:rPr>
          <w:rFonts w:ascii="Cambria" w:eastAsia="Calibri" w:hAnsi="Cambria" w:cs="Arial"/>
          <w:color w:val="000000"/>
          <w:sz w:val="20"/>
          <w:szCs w:val="20"/>
          <w:lang w:eastAsia="en-US"/>
        </w:rPr>
        <w:t>Qal</w:t>
      </w:r>
      <w:proofErr w:type="spellEnd"/>
      <w:r w:rsidRPr="00474B5C">
        <w:rPr>
          <w:rFonts w:ascii="Cambria" w:eastAsia="Calibri" w:hAnsi="Cambria" w:cs="Arial"/>
          <w:color w:val="000000"/>
          <w:sz w:val="20"/>
          <w:szCs w:val="20"/>
          <w:lang w:eastAsia="en-US"/>
        </w:rPr>
        <w:t>). In contrast, the negative or low anomaly area shows the distribution of Metamorphic rock unit (</w:t>
      </w:r>
      <w:proofErr w:type="spellStart"/>
      <w:r w:rsidRPr="00474B5C">
        <w:rPr>
          <w:rFonts w:ascii="Cambria" w:eastAsia="Calibri" w:hAnsi="Cambria" w:cs="Arial"/>
          <w:color w:val="000000"/>
          <w:sz w:val="20"/>
          <w:szCs w:val="20"/>
          <w:lang w:eastAsia="en-US"/>
        </w:rPr>
        <w:t>Trm</w:t>
      </w:r>
      <w:proofErr w:type="spellEnd"/>
      <w:r w:rsidRPr="00474B5C">
        <w:rPr>
          <w:rFonts w:ascii="Cambria" w:eastAsia="Calibri" w:hAnsi="Cambria" w:cs="Arial"/>
          <w:color w:val="000000"/>
          <w:sz w:val="20"/>
          <w:szCs w:val="20"/>
          <w:lang w:eastAsia="en-US"/>
        </w:rPr>
        <w:t>).  This area shows correspondingly the boundary lineation of high and low anomalies which be consistent to the Boro-</w:t>
      </w:r>
      <w:proofErr w:type="spellStart"/>
      <w:r w:rsidRPr="00474B5C">
        <w:rPr>
          <w:rFonts w:ascii="Cambria" w:eastAsia="Calibri" w:hAnsi="Cambria" w:cs="Arial"/>
          <w:color w:val="000000"/>
          <w:sz w:val="20"/>
          <w:szCs w:val="20"/>
          <w:lang w:eastAsia="en-US"/>
        </w:rPr>
        <w:t>boro</w:t>
      </w:r>
      <w:proofErr w:type="spellEnd"/>
      <w:r w:rsidRPr="00474B5C">
        <w:rPr>
          <w:rFonts w:ascii="Cambria" w:eastAsia="Calibri" w:hAnsi="Cambria" w:cs="Arial"/>
          <w:color w:val="000000"/>
          <w:sz w:val="20"/>
          <w:szCs w:val="20"/>
          <w:lang w:eastAsia="en-US"/>
        </w:rPr>
        <w:t xml:space="preserve"> fault, the Lainea fault and the Demba fault. Around this lineation, there are three areas having low anomaly closure. The first area is located in the center part with hot springs enclosing the appearance point of the hot spring. In this area, coming out of the hot spring manifestation (</w:t>
      </w:r>
      <w:proofErr w:type="spellStart"/>
      <w:r w:rsidRPr="00474B5C">
        <w:rPr>
          <w:rFonts w:ascii="Cambria" w:eastAsia="Calibri" w:hAnsi="Cambria" w:cs="Arial"/>
          <w:color w:val="000000"/>
          <w:sz w:val="20"/>
          <w:szCs w:val="20"/>
          <w:lang w:eastAsia="en-US"/>
        </w:rPr>
        <w:t>Kaendi</w:t>
      </w:r>
      <w:proofErr w:type="spellEnd"/>
      <w:r w:rsidRPr="00474B5C">
        <w:rPr>
          <w:rFonts w:ascii="Cambria" w:eastAsia="Calibri" w:hAnsi="Cambria" w:cs="Arial"/>
          <w:color w:val="000000"/>
          <w:sz w:val="20"/>
          <w:szCs w:val="20"/>
          <w:lang w:eastAsia="en-US"/>
        </w:rPr>
        <w:t xml:space="preserve">, </w:t>
      </w:r>
      <w:proofErr w:type="spellStart"/>
      <w:r w:rsidRPr="00474B5C">
        <w:rPr>
          <w:rFonts w:ascii="Cambria" w:eastAsia="Calibri" w:hAnsi="Cambria" w:cs="Arial"/>
          <w:color w:val="000000"/>
          <w:sz w:val="20"/>
          <w:szCs w:val="20"/>
          <w:lang w:eastAsia="en-US"/>
        </w:rPr>
        <w:t>Awomolo</w:t>
      </w:r>
      <w:proofErr w:type="spellEnd"/>
      <w:r w:rsidRPr="00474B5C">
        <w:rPr>
          <w:rFonts w:ascii="Cambria" w:eastAsia="Calibri" w:hAnsi="Cambria" w:cs="Arial"/>
          <w:color w:val="000000"/>
          <w:sz w:val="20"/>
          <w:szCs w:val="20"/>
          <w:lang w:eastAsia="en-US"/>
        </w:rPr>
        <w:t xml:space="preserve">, Rampant and Lainea) is a geothermal reservoir zone ([8]).  This could indicate that the two low anomaly closure areas located in the slightly center part to the north direction should be interpreted as the altered rock zones. Further analysis of this anomaly is investigated using continuation technique and the magnetic derivative analysis.   </w:t>
      </w:r>
    </w:p>
    <w:p w14:paraId="5AF31C51" w14:textId="52ACEAAD" w:rsidR="00474B5C"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The results of the upward continuation at an altitude of 1000m indicate a regional anomaly map (</w:t>
      </w:r>
      <w:r w:rsidRPr="00474B5C">
        <w:rPr>
          <w:rFonts w:ascii="Cambria" w:eastAsia="Calibri" w:hAnsi="Cambria" w:cs="Arial"/>
          <w:b/>
          <w:bCs/>
          <w:color w:val="000000"/>
          <w:sz w:val="20"/>
          <w:szCs w:val="20"/>
          <w:lang w:eastAsia="en-US"/>
        </w:rPr>
        <w:t>Fig. 3</w:t>
      </w:r>
      <w:r w:rsidRPr="00474B5C">
        <w:rPr>
          <w:rFonts w:ascii="Cambria" w:eastAsia="Calibri" w:hAnsi="Cambria" w:cs="Arial"/>
          <w:color w:val="000000"/>
          <w:sz w:val="20"/>
          <w:szCs w:val="20"/>
          <w:lang w:eastAsia="en-US"/>
        </w:rPr>
        <w:t xml:space="preserve">) which is a source of deep anomalies. The lifting height of 1000m is correspondingly expected as regional depth. The altered rock zone is no longer visible at this depth. The trend of positive and negative anomalies corresponds to the direction of the main fault in the study area. The map in the </w:t>
      </w:r>
      <w:r w:rsidRPr="00474B5C">
        <w:rPr>
          <w:rFonts w:ascii="Cambria" w:eastAsia="Calibri" w:hAnsi="Cambria" w:cs="Arial"/>
          <w:b/>
          <w:bCs/>
          <w:color w:val="000000"/>
          <w:sz w:val="20"/>
          <w:szCs w:val="20"/>
          <w:lang w:eastAsia="en-US"/>
        </w:rPr>
        <w:t>Fig. 3</w:t>
      </w:r>
      <w:r w:rsidRPr="00474B5C">
        <w:rPr>
          <w:rFonts w:ascii="Cambria" w:eastAsia="Calibri" w:hAnsi="Cambria" w:cs="Arial"/>
          <w:color w:val="000000"/>
          <w:sz w:val="20"/>
          <w:szCs w:val="20"/>
          <w:lang w:eastAsia="en-US"/>
        </w:rPr>
        <w:t xml:space="preserve"> is then subtracted from the map of RTP to produce a map of shallow source as illustrated in </w:t>
      </w:r>
      <w:r w:rsidRPr="00474B5C">
        <w:rPr>
          <w:rFonts w:ascii="Cambria" w:eastAsia="Calibri" w:hAnsi="Cambria" w:cs="Arial"/>
          <w:b/>
          <w:bCs/>
          <w:color w:val="000000"/>
          <w:sz w:val="20"/>
          <w:szCs w:val="20"/>
          <w:lang w:eastAsia="en-US"/>
        </w:rPr>
        <w:t>Fig. 4</w:t>
      </w:r>
      <w:r w:rsidRPr="00474B5C">
        <w:rPr>
          <w:rFonts w:ascii="Cambria" w:eastAsia="Calibri" w:hAnsi="Cambria" w:cs="Arial"/>
          <w:color w:val="000000"/>
          <w:sz w:val="20"/>
          <w:szCs w:val="20"/>
          <w:lang w:eastAsia="en-US"/>
        </w:rPr>
        <w:t>. The residual map shows more evidently three altered rock zones close to the main fault in the research area.</w:t>
      </w:r>
    </w:p>
    <w:p w14:paraId="65DE4ECD" w14:textId="77777777" w:rsidR="00474B5C" w:rsidRDefault="00474B5C" w:rsidP="00474B5C">
      <w:pPr>
        <w:jc w:val="both"/>
        <w:rPr>
          <w:rFonts w:ascii="Cambria" w:eastAsia="Calibri" w:hAnsi="Cambria" w:cs="Arial"/>
          <w:color w:val="000000"/>
          <w:sz w:val="20"/>
          <w:szCs w:val="20"/>
          <w:lang w:eastAsia="en-US"/>
        </w:rPr>
      </w:pPr>
    </w:p>
    <w:p w14:paraId="41355A27" w14:textId="77777777" w:rsidR="00474B5C" w:rsidRDefault="00474B5C" w:rsidP="00474B5C">
      <w:pPr>
        <w:jc w:val="both"/>
        <w:rPr>
          <w:rFonts w:ascii="Cambria" w:eastAsia="Calibri" w:hAnsi="Cambria" w:cs="Arial"/>
          <w:color w:val="000000"/>
          <w:sz w:val="20"/>
          <w:szCs w:val="20"/>
          <w:lang w:eastAsia="en-US"/>
        </w:rPr>
      </w:pPr>
    </w:p>
    <w:p w14:paraId="750681F9" w14:textId="77777777" w:rsidR="00474B5C" w:rsidRDefault="00474B5C" w:rsidP="00474B5C">
      <w:pPr>
        <w:jc w:val="both"/>
        <w:rPr>
          <w:rFonts w:ascii="Cambria" w:eastAsia="Calibri" w:hAnsi="Cambria" w:cs="Arial"/>
          <w:color w:val="000000"/>
          <w:sz w:val="20"/>
          <w:szCs w:val="20"/>
          <w:lang w:eastAsia="en-US"/>
        </w:rPr>
      </w:pPr>
    </w:p>
    <w:p w14:paraId="5EE28964" w14:textId="348F51B4" w:rsidR="00474B5C" w:rsidRDefault="00474B5C" w:rsidP="00474B5C">
      <w:pPr>
        <w:jc w:val="both"/>
        <w:rPr>
          <w:rFonts w:ascii="Cambria" w:eastAsia="Calibri" w:hAnsi="Cambria" w:cs="Arial"/>
          <w:color w:val="000000"/>
          <w:sz w:val="20"/>
          <w:szCs w:val="20"/>
          <w:lang w:eastAsia="en-US"/>
        </w:rPr>
      </w:pPr>
      <w:r w:rsidRPr="00474B5C">
        <w:rPr>
          <w:rFonts w:ascii="Gulliver-Regular" w:eastAsia="Calibri" w:hAnsi="Gulliver-Regular" w:cs="Arial"/>
          <w:noProof/>
          <w:sz w:val="16"/>
          <w:szCs w:val="16"/>
          <w:lang w:val="id-ID" w:eastAsia="en-US"/>
        </w:rPr>
        <w:drawing>
          <wp:inline distT="0" distB="0" distL="0" distR="0" wp14:anchorId="793E477F" wp14:editId="0A69579A">
            <wp:extent cx="2880360" cy="228117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4" cstate="print">
                      <a:extLst>
                        <a:ext uri="{28A0092B-C50C-407E-A947-70E740481C1C}">
                          <a14:useLocalDpi xmlns:a14="http://schemas.microsoft.com/office/drawing/2010/main" val="0"/>
                        </a:ext>
                      </a:extLst>
                    </a:blip>
                    <a:srcRect l="5239" r="5494"/>
                    <a:stretch/>
                  </pic:blipFill>
                  <pic:spPr bwMode="auto">
                    <a:xfrm>
                      <a:off x="0" y="0"/>
                      <a:ext cx="2880360" cy="2281176"/>
                    </a:xfrm>
                    <a:prstGeom prst="rect">
                      <a:avLst/>
                    </a:prstGeom>
                    <a:ln>
                      <a:noFill/>
                    </a:ln>
                    <a:extLst>
                      <a:ext uri="{53640926-AAD7-44D8-BBD7-CCE9431645EC}">
                        <a14:shadowObscured xmlns:a14="http://schemas.microsoft.com/office/drawing/2010/main"/>
                      </a:ext>
                    </a:extLst>
                  </pic:spPr>
                </pic:pic>
              </a:graphicData>
            </a:graphic>
          </wp:inline>
        </w:drawing>
      </w:r>
    </w:p>
    <w:p w14:paraId="69DC2891" w14:textId="77777777" w:rsidR="00474B5C" w:rsidRPr="00474B5C" w:rsidRDefault="00474B5C" w:rsidP="00474B5C">
      <w:pPr>
        <w:jc w:val="both"/>
        <w:rPr>
          <w:rFonts w:ascii="Cambria" w:eastAsia="Calibri" w:hAnsi="Cambria" w:cs="Arial"/>
          <w:sz w:val="18"/>
          <w:szCs w:val="18"/>
          <w:lang w:eastAsia="en-US"/>
        </w:rPr>
      </w:pPr>
      <w:r w:rsidRPr="00474B5C">
        <w:rPr>
          <w:rFonts w:ascii="Cambria" w:eastAsia="Calibri" w:hAnsi="Cambria" w:cs="Arial"/>
          <w:b/>
          <w:bCs/>
          <w:sz w:val="18"/>
          <w:szCs w:val="18"/>
          <w:lang w:eastAsia="en-US"/>
        </w:rPr>
        <w:t>Fig. 3.</w:t>
      </w:r>
      <w:r w:rsidRPr="00474B5C">
        <w:rPr>
          <w:rFonts w:ascii="Cambria" w:eastAsia="Calibri" w:hAnsi="Cambria" w:cs="Arial"/>
          <w:sz w:val="18"/>
          <w:szCs w:val="18"/>
          <w:lang w:eastAsia="en-US"/>
        </w:rPr>
        <w:t xml:space="preserve">  Map of the upward continuation of the total magnetic intensity at altitude of 1000m. The color gradation shows the magnitude of TMI (</w:t>
      </w:r>
      <w:proofErr w:type="spellStart"/>
      <w:r w:rsidRPr="00474B5C">
        <w:rPr>
          <w:rFonts w:ascii="Cambria" w:eastAsia="Calibri" w:hAnsi="Cambria" w:cs="Arial"/>
          <w:sz w:val="18"/>
          <w:szCs w:val="18"/>
          <w:lang w:eastAsia="en-US"/>
        </w:rPr>
        <w:t>nT</w:t>
      </w:r>
      <w:proofErr w:type="spellEnd"/>
      <w:r w:rsidRPr="00474B5C">
        <w:rPr>
          <w:rFonts w:ascii="Cambria" w:eastAsia="Calibri" w:hAnsi="Cambria" w:cs="Arial"/>
          <w:sz w:val="18"/>
          <w:szCs w:val="18"/>
          <w:lang w:eastAsia="en-US"/>
        </w:rPr>
        <w:t xml:space="preserve">) and the white polygon shows the altered zone. </w:t>
      </w:r>
    </w:p>
    <w:p w14:paraId="6F0E67E6" w14:textId="77777777" w:rsidR="00474B5C" w:rsidRPr="00474B5C" w:rsidRDefault="00474B5C" w:rsidP="00474B5C">
      <w:pPr>
        <w:jc w:val="both"/>
        <w:rPr>
          <w:rFonts w:ascii="Cambria" w:eastAsia="Calibri" w:hAnsi="Cambria" w:cs="Arial"/>
          <w:color w:val="000000"/>
          <w:sz w:val="20"/>
          <w:szCs w:val="20"/>
          <w:lang w:eastAsia="en-US"/>
        </w:rPr>
      </w:pPr>
    </w:p>
    <w:p w14:paraId="0BD133FA" w14:textId="66992140" w:rsidR="00474B5C" w:rsidRDefault="00474B5C" w:rsidP="00474B5C">
      <w:pPr>
        <w:jc w:val="both"/>
        <w:rPr>
          <w:rFonts w:ascii="Cambria" w:eastAsia="Calibri" w:hAnsi="Cambria" w:cs="Arial"/>
          <w:color w:val="000000"/>
          <w:sz w:val="20"/>
          <w:szCs w:val="20"/>
          <w:lang w:eastAsia="en-US"/>
        </w:rPr>
      </w:pPr>
      <w:r w:rsidRPr="00474B5C">
        <w:rPr>
          <w:rFonts w:ascii="Gulliver-Regular" w:eastAsia="Calibri" w:hAnsi="Gulliver-Regular" w:cs="Arial"/>
          <w:noProof/>
          <w:sz w:val="16"/>
          <w:szCs w:val="16"/>
          <w:lang w:val="id-ID" w:eastAsia="en-US"/>
        </w:rPr>
        <w:drawing>
          <wp:inline distT="0" distB="0" distL="0" distR="0" wp14:anchorId="1B9D7702" wp14:editId="6FBB95A9">
            <wp:extent cx="2880360" cy="22382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5" cstate="print">
                      <a:extLst>
                        <a:ext uri="{28A0092B-C50C-407E-A947-70E740481C1C}">
                          <a14:useLocalDpi xmlns:a14="http://schemas.microsoft.com/office/drawing/2010/main" val="0"/>
                        </a:ext>
                      </a:extLst>
                    </a:blip>
                    <a:srcRect l="4597" r="4426"/>
                    <a:stretch/>
                  </pic:blipFill>
                  <pic:spPr bwMode="auto">
                    <a:xfrm>
                      <a:off x="0" y="0"/>
                      <a:ext cx="2880360" cy="2238287"/>
                    </a:xfrm>
                    <a:prstGeom prst="rect">
                      <a:avLst/>
                    </a:prstGeom>
                    <a:ln>
                      <a:noFill/>
                    </a:ln>
                    <a:extLst>
                      <a:ext uri="{53640926-AAD7-44D8-BBD7-CCE9431645EC}">
                        <a14:shadowObscured xmlns:a14="http://schemas.microsoft.com/office/drawing/2010/main"/>
                      </a:ext>
                    </a:extLst>
                  </pic:spPr>
                </pic:pic>
              </a:graphicData>
            </a:graphic>
          </wp:inline>
        </w:drawing>
      </w:r>
    </w:p>
    <w:p w14:paraId="5DC836F5" w14:textId="3146446B" w:rsidR="00474B5C" w:rsidRPr="00474B5C" w:rsidRDefault="00474B5C" w:rsidP="00474B5C">
      <w:pPr>
        <w:jc w:val="both"/>
        <w:rPr>
          <w:rFonts w:ascii="Cambria" w:eastAsia="Calibri" w:hAnsi="Cambria" w:cs="Arial"/>
          <w:color w:val="000000"/>
          <w:sz w:val="18"/>
          <w:szCs w:val="18"/>
          <w:lang w:eastAsia="en-US"/>
        </w:rPr>
      </w:pPr>
      <w:r w:rsidRPr="009435DD">
        <w:rPr>
          <w:rFonts w:ascii="Cambria" w:eastAsia="Calibri" w:hAnsi="Cambria" w:cs="Arial"/>
          <w:b/>
          <w:bCs/>
          <w:color w:val="000000"/>
          <w:sz w:val="18"/>
          <w:szCs w:val="18"/>
          <w:lang w:eastAsia="en-US"/>
        </w:rPr>
        <w:t>Fig. 4</w:t>
      </w:r>
      <w:r w:rsidRPr="00474B5C">
        <w:rPr>
          <w:rFonts w:ascii="Cambria" w:eastAsia="Calibri" w:hAnsi="Cambria" w:cs="Arial"/>
          <w:color w:val="000000"/>
          <w:sz w:val="18"/>
          <w:szCs w:val="18"/>
          <w:lang w:eastAsia="en-US"/>
        </w:rPr>
        <w:t xml:space="preserve">. </w:t>
      </w:r>
      <w:r w:rsidRPr="00474B5C">
        <w:rPr>
          <w:rFonts w:ascii="Cambria" w:eastAsia="Calibri" w:hAnsi="Cambria" w:cs="Arial"/>
          <w:sz w:val="18"/>
          <w:szCs w:val="18"/>
          <w:lang w:eastAsia="en-US"/>
        </w:rPr>
        <w:t>The map of total magnetic intensity residual. The color gradation shows the magnitude of TMI (</w:t>
      </w:r>
      <w:proofErr w:type="spellStart"/>
      <w:r w:rsidRPr="00474B5C">
        <w:rPr>
          <w:rFonts w:ascii="Cambria" w:eastAsia="Calibri" w:hAnsi="Cambria" w:cs="Arial"/>
          <w:sz w:val="18"/>
          <w:szCs w:val="18"/>
          <w:lang w:eastAsia="en-US"/>
        </w:rPr>
        <w:t>nT</w:t>
      </w:r>
      <w:proofErr w:type="spellEnd"/>
      <w:r w:rsidRPr="00474B5C">
        <w:rPr>
          <w:rFonts w:ascii="Cambria" w:eastAsia="Calibri" w:hAnsi="Cambria" w:cs="Arial"/>
          <w:sz w:val="18"/>
          <w:szCs w:val="18"/>
          <w:lang w:eastAsia="en-US"/>
        </w:rPr>
        <w:t>) and the white polygon shows the altered zone</w:t>
      </w:r>
      <w:r>
        <w:rPr>
          <w:rFonts w:ascii="Cambria" w:eastAsia="Calibri" w:hAnsi="Cambria" w:cs="Arial"/>
          <w:sz w:val="18"/>
          <w:szCs w:val="18"/>
          <w:lang w:eastAsia="en-US"/>
        </w:rPr>
        <w:t>.</w:t>
      </w:r>
    </w:p>
    <w:p w14:paraId="16F77F9B" w14:textId="77777777" w:rsidR="00474B5C" w:rsidRDefault="00474B5C" w:rsidP="00474B5C">
      <w:pPr>
        <w:jc w:val="both"/>
        <w:rPr>
          <w:rFonts w:ascii="Cambria" w:eastAsia="Calibri" w:hAnsi="Cambria" w:cs="Arial"/>
          <w:color w:val="000000"/>
          <w:sz w:val="20"/>
          <w:szCs w:val="20"/>
          <w:lang w:eastAsia="en-US"/>
        </w:rPr>
      </w:pPr>
    </w:p>
    <w:p w14:paraId="0F1CC9EC" w14:textId="77777777" w:rsidR="009435DD"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 xml:space="preserve">The edges of the altered rock zone shown on the HGM map (Fig. 5) are more obviously than those on the RTP map of total magnetic intensity.  </w:t>
      </w:r>
    </w:p>
    <w:p w14:paraId="74D84AE0" w14:textId="77777777" w:rsidR="009435DD" w:rsidRDefault="009435DD" w:rsidP="00474B5C">
      <w:pPr>
        <w:jc w:val="both"/>
        <w:rPr>
          <w:rFonts w:ascii="Cambria" w:eastAsia="Calibri" w:hAnsi="Cambria" w:cs="Arial"/>
          <w:color w:val="000000"/>
          <w:sz w:val="20"/>
          <w:szCs w:val="20"/>
          <w:lang w:eastAsia="en-US"/>
        </w:rPr>
      </w:pPr>
    </w:p>
    <w:p w14:paraId="330187F0" w14:textId="00C328BC" w:rsidR="009435DD" w:rsidRDefault="009435DD" w:rsidP="00474B5C">
      <w:pPr>
        <w:jc w:val="both"/>
        <w:rPr>
          <w:rFonts w:ascii="Cambria" w:eastAsia="Calibri" w:hAnsi="Cambria" w:cs="Arial"/>
          <w:color w:val="000000"/>
          <w:sz w:val="20"/>
          <w:szCs w:val="20"/>
          <w:lang w:eastAsia="en-US"/>
        </w:rPr>
      </w:pPr>
      <w:r w:rsidRPr="009435DD">
        <w:rPr>
          <w:rFonts w:ascii="Gulliver-Regular" w:eastAsia="Calibri" w:hAnsi="Gulliver-Regular" w:cs="Arial"/>
          <w:noProof/>
          <w:sz w:val="18"/>
          <w:szCs w:val="18"/>
          <w:lang w:val="id-ID" w:eastAsia="en-US"/>
        </w:rPr>
        <w:drawing>
          <wp:inline distT="0" distB="0" distL="0" distR="0" wp14:anchorId="59FE5BEF" wp14:editId="6ABB3CFB">
            <wp:extent cx="2880360" cy="203632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2036329"/>
                    </a:xfrm>
                    <a:prstGeom prst="rect">
                      <a:avLst/>
                    </a:prstGeom>
                  </pic:spPr>
                </pic:pic>
              </a:graphicData>
            </a:graphic>
          </wp:inline>
        </w:drawing>
      </w:r>
    </w:p>
    <w:p w14:paraId="05791723" w14:textId="162D131D" w:rsidR="009435DD" w:rsidRPr="009435DD" w:rsidRDefault="009435DD" w:rsidP="00474B5C">
      <w:pPr>
        <w:jc w:val="both"/>
        <w:rPr>
          <w:rFonts w:ascii="Cambria" w:eastAsia="Calibri" w:hAnsi="Cambria" w:cs="Arial"/>
          <w:color w:val="000000"/>
          <w:sz w:val="18"/>
          <w:szCs w:val="18"/>
          <w:lang w:eastAsia="en-US"/>
        </w:rPr>
      </w:pPr>
      <w:r w:rsidRPr="009435DD">
        <w:rPr>
          <w:rFonts w:ascii="Cambria" w:eastAsia="Calibri" w:hAnsi="Cambria" w:cs="Arial"/>
          <w:b/>
          <w:bCs/>
          <w:color w:val="000000"/>
          <w:sz w:val="18"/>
          <w:szCs w:val="18"/>
          <w:lang w:eastAsia="en-US"/>
        </w:rPr>
        <w:t>Fig. 5.</w:t>
      </w:r>
      <w:r w:rsidRPr="009435DD">
        <w:rPr>
          <w:rFonts w:ascii="Cambria" w:eastAsia="Calibri" w:hAnsi="Cambria" w:cs="Arial"/>
          <w:color w:val="000000"/>
          <w:sz w:val="18"/>
          <w:szCs w:val="18"/>
          <w:lang w:eastAsia="en-US"/>
        </w:rPr>
        <w:t xml:space="preserve"> </w:t>
      </w:r>
      <w:r w:rsidRPr="009435DD">
        <w:rPr>
          <w:rFonts w:ascii="Cambria" w:eastAsia="Calibri" w:hAnsi="Cambria" w:cs="Arial"/>
          <w:sz w:val="18"/>
          <w:szCs w:val="18"/>
          <w:lang w:eastAsia="en-US"/>
        </w:rPr>
        <w:t>The map of Horizontal Gradient Magnitude (HGM).  The white line shows the peak magnitude of the HGM and the black line shows the fault</w:t>
      </w:r>
      <w:r>
        <w:rPr>
          <w:rFonts w:ascii="Cambria" w:eastAsia="Calibri" w:hAnsi="Cambria" w:cs="Arial"/>
          <w:sz w:val="18"/>
          <w:szCs w:val="18"/>
          <w:lang w:eastAsia="en-US"/>
        </w:rPr>
        <w:t>.</w:t>
      </w:r>
    </w:p>
    <w:p w14:paraId="1DF349A5" w14:textId="77777777" w:rsidR="009435DD" w:rsidRDefault="009435DD" w:rsidP="00474B5C">
      <w:pPr>
        <w:jc w:val="both"/>
        <w:rPr>
          <w:rFonts w:ascii="Cambria" w:eastAsia="Calibri" w:hAnsi="Cambria" w:cs="Arial"/>
          <w:color w:val="000000"/>
          <w:sz w:val="20"/>
          <w:szCs w:val="20"/>
          <w:lang w:eastAsia="en-US"/>
        </w:rPr>
      </w:pPr>
    </w:p>
    <w:p w14:paraId="1E53DE78" w14:textId="77777777" w:rsidR="009435DD" w:rsidRDefault="009435DD" w:rsidP="00474B5C">
      <w:pPr>
        <w:jc w:val="both"/>
        <w:rPr>
          <w:rFonts w:ascii="Cambria" w:eastAsia="Calibri" w:hAnsi="Cambria" w:cs="Arial"/>
          <w:color w:val="000000"/>
          <w:sz w:val="20"/>
          <w:szCs w:val="20"/>
          <w:lang w:eastAsia="en-US"/>
        </w:rPr>
      </w:pPr>
    </w:p>
    <w:p w14:paraId="5F954938" w14:textId="77777777" w:rsidR="009435DD" w:rsidRDefault="009435DD" w:rsidP="00474B5C">
      <w:pPr>
        <w:jc w:val="both"/>
        <w:rPr>
          <w:rFonts w:ascii="Cambria" w:eastAsia="Calibri" w:hAnsi="Cambria" w:cs="Arial"/>
          <w:color w:val="000000"/>
          <w:sz w:val="20"/>
          <w:szCs w:val="20"/>
          <w:lang w:eastAsia="en-US"/>
        </w:rPr>
      </w:pPr>
    </w:p>
    <w:p w14:paraId="3B9235BE" w14:textId="178C696A" w:rsidR="00474B5C" w:rsidRPr="00474B5C" w:rsidRDefault="00474B5C" w:rsidP="00474B5C">
      <w:pPr>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lastRenderedPageBreak/>
        <w:t>Here, the peak magnitude shows several anomalies denoting the altered rock and fault zones. In the middle part of the map, the closure peak magnitude indicates an altered rock contact edge. This indication is only observed on the eastern part and is not visible on the two altered rock zones as shown on the residual RTP map (</w:t>
      </w:r>
      <w:r w:rsidRPr="00474B5C">
        <w:rPr>
          <w:rFonts w:ascii="Cambria" w:eastAsia="Calibri" w:hAnsi="Cambria" w:cs="Arial"/>
          <w:b/>
          <w:bCs/>
          <w:color w:val="000000"/>
          <w:sz w:val="20"/>
          <w:szCs w:val="20"/>
          <w:lang w:eastAsia="en-US"/>
        </w:rPr>
        <w:t>Fig. 4</w:t>
      </w:r>
      <w:r w:rsidRPr="00474B5C">
        <w:rPr>
          <w:rFonts w:ascii="Cambria" w:eastAsia="Calibri" w:hAnsi="Cambria" w:cs="Arial"/>
          <w:color w:val="000000"/>
          <w:sz w:val="20"/>
          <w:szCs w:val="20"/>
          <w:lang w:eastAsia="en-US"/>
        </w:rPr>
        <w:t xml:space="preserve">). Another anomaly is a number of magnitude lineation indicating faults. The lineation is trending in the NE -SW direction (correlating to the Demba fault), the N-S trend, as well as the NW-SE trend. </w:t>
      </w:r>
    </w:p>
    <w:p w14:paraId="7E5AC16B" w14:textId="77777777" w:rsidR="009435DD"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Further analysis is carried out by joining the results of the Euler deconvolution and the tilt derivative filter solutions (</w:t>
      </w:r>
      <w:r w:rsidRPr="00474B5C">
        <w:rPr>
          <w:rFonts w:ascii="Cambria" w:eastAsia="Calibri" w:hAnsi="Cambria" w:cs="Arial"/>
          <w:b/>
          <w:bCs/>
          <w:color w:val="000000"/>
          <w:sz w:val="20"/>
          <w:szCs w:val="20"/>
          <w:lang w:eastAsia="en-US"/>
        </w:rPr>
        <w:t>Fig. 6</w:t>
      </w:r>
      <w:r w:rsidRPr="00474B5C">
        <w:rPr>
          <w:rFonts w:ascii="Cambria" w:eastAsia="Calibri" w:hAnsi="Cambria" w:cs="Arial"/>
          <w:color w:val="000000"/>
          <w:sz w:val="20"/>
          <w:szCs w:val="20"/>
          <w:lang w:eastAsia="en-US"/>
        </w:rPr>
        <w:t xml:space="preserve">). </w:t>
      </w:r>
    </w:p>
    <w:p w14:paraId="75801D60" w14:textId="77777777" w:rsidR="009435DD" w:rsidRDefault="009435DD" w:rsidP="009435DD">
      <w:pPr>
        <w:ind w:firstLine="284"/>
        <w:jc w:val="both"/>
        <w:rPr>
          <w:rFonts w:ascii="Cambria" w:eastAsia="Calibri" w:hAnsi="Cambria" w:cs="Arial"/>
          <w:color w:val="000000"/>
          <w:sz w:val="20"/>
          <w:szCs w:val="20"/>
          <w:lang w:eastAsia="en-US"/>
        </w:rPr>
      </w:pPr>
    </w:p>
    <w:p w14:paraId="7CDD2238" w14:textId="1A747583" w:rsidR="009435DD" w:rsidRDefault="009435DD" w:rsidP="009435DD">
      <w:pPr>
        <w:jc w:val="both"/>
        <w:rPr>
          <w:rFonts w:ascii="Cambria" w:eastAsia="Calibri" w:hAnsi="Cambria" w:cs="Arial"/>
          <w:color w:val="000000"/>
          <w:sz w:val="20"/>
          <w:szCs w:val="20"/>
          <w:lang w:eastAsia="en-US"/>
        </w:rPr>
      </w:pPr>
      <w:r>
        <w:rPr>
          <w:rFonts w:ascii="Gulliver-Regular" w:hAnsi="Gulliver-Regular"/>
          <w:noProof/>
          <w:sz w:val="18"/>
          <w:szCs w:val="18"/>
        </w:rPr>
        <w:drawing>
          <wp:inline distT="0" distB="0" distL="0" distR="0" wp14:anchorId="00CCD339" wp14:editId="37AFB4E3">
            <wp:extent cx="2880360" cy="22730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7" cstate="print">
                      <a:extLst>
                        <a:ext uri="{28A0092B-C50C-407E-A947-70E740481C1C}">
                          <a14:useLocalDpi xmlns:a14="http://schemas.microsoft.com/office/drawing/2010/main" val="0"/>
                        </a:ext>
                      </a:extLst>
                    </a:blip>
                    <a:srcRect l="5206" r="5206"/>
                    <a:stretch>
                      <a:fillRect/>
                    </a:stretch>
                  </pic:blipFill>
                  <pic:spPr bwMode="auto">
                    <a:xfrm>
                      <a:off x="0" y="0"/>
                      <a:ext cx="2880360" cy="2273010"/>
                    </a:xfrm>
                    <a:prstGeom prst="rect">
                      <a:avLst/>
                    </a:prstGeom>
                    <a:ln>
                      <a:noFill/>
                    </a:ln>
                    <a:extLst>
                      <a:ext uri="{53640926-AAD7-44D8-BBD7-CCE9431645EC}">
                        <a14:shadowObscured xmlns:a14="http://schemas.microsoft.com/office/drawing/2010/main"/>
                      </a:ext>
                    </a:extLst>
                  </pic:spPr>
                </pic:pic>
              </a:graphicData>
            </a:graphic>
          </wp:inline>
        </w:drawing>
      </w:r>
    </w:p>
    <w:p w14:paraId="502CD43B" w14:textId="6662E8E1" w:rsidR="009435DD" w:rsidRPr="009435DD" w:rsidRDefault="009435DD" w:rsidP="009435DD">
      <w:pPr>
        <w:jc w:val="both"/>
        <w:rPr>
          <w:rFonts w:ascii="Cambria" w:eastAsia="Calibri" w:hAnsi="Cambria" w:cs="Arial"/>
          <w:color w:val="000000"/>
          <w:sz w:val="18"/>
          <w:szCs w:val="18"/>
          <w:lang w:eastAsia="en-US"/>
        </w:rPr>
      </w:pPr>
      <w:r w:rsidRPr="009435DD">
        <w:rPr>
          <w:rFonts w:ascii="Cambria" w:eastAsia="Calibri" w:hAnsi="Cambria" w:cs="Arial"/>
          <w:b/>
          <w:bCs/>
          <w:sz w:val="18"/>
          <w:szCs w:val="18"/>
          <w:lang w:eastAsia="en-US"/>
        </w:rPr>
        <w:t>Fig. 6.</w:t>
      </w:r>
      <w:r w:rsidRPr="009435DD">
        <w:rPr>
          <w:rFonts w:ascii="Cambria" w:eastAsia="Calibri" w:hAnsi="Cambria" w:cs="Arial"/>
          <w:sz w:val="18"/>
          <w:szCs w:val="18"/>
          <w:lang w:eastAsia="en-US"/>
        </w:rPr>
        <w:t xml:space="preserve"> The map of tilt derivative of the total magnetic field of RTP and the solution of index 0 structural 3D-Euler. Color gradations show angle magnitude (rad), black lines indicate faults</w:t>
      </w:r>
    </w:p>
    <w:p w14:paraId="473F80C7" w14:textId="77777777" w:rsidR="009435DD" w:rsidRDefault="009435DD" w:rsidP="009435DD">
      <w:pPr>
        <w:ind w:firstLine="284"/>
        <w:jc w:val="both"/>
        <w:rPr>
          <w:rFonts w:ascii="Cambria" w:eastAsia="Calibri" w:hAnsi="Cambria" w:cs="Arial"/>
          <w:color w:val="000000"/>
          <w:sz w:val="20"/>
          <w:szCs w:val="20"/>
          <w:lang w:eastAsia="en-US"/>
        </w:rPr>
      </w:pPr>
    </w:p>
    <w:p w14:paraId="141F4064" w14:textId="00763A81" w:rsidR="009435DD"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 xml:space="preserve">The TDR analysis shows the availability of faults, which appear in the form of magnetic lineation, as well as the boundary edges of the anomaly sources denoted by the zero TDR contour. The zero contour is shown with a red line separating the magnetic susceptibility with a positive value marked a red-pink gradient and a negative value marked a green-blue gradient. The distribution of positive values </w:t>
      </w:r>
      <w:r w:rsidRPr="00474B5C">
        <w:rPr>
          <w:rFonts w:ascii="Cambria" w:eastAsia="Calibri" w:hAnsi="Cambria"/>
          <w:color w:val="000000"/>
          <w:sz w:val="20"/>
          <w:szCs w:val="20"/>
          <w:lang w:eastAsia="en-US"/>
        </w:rPr>
        <w:t>​​</w:t>
      </w:r>
      <w:r w:rsidRPr="00474B5C">
        <w:rPr>
          <w:rFonts w:ascii="Cambria" w:eastAsia="Calibri" w:hAnsi="Cambria" w:cs="Arial"/>
          <w:color w:val="000000"/>
          <w:sz w:val="20"/>
          <w:szCs w:val="20"/>
          <w:lang w:eastAsia="en-US"/>
        </w:rPr>
        <w:t>is exactly over the source corresponding to unaltered rock. The overlap of TDR with the Euler deconvolution solution indicates that the edge of the body anomaly between the two filters correspond to each other. In addition,</w:t>
      </w:r>
      <w:r w:rsidR="009435DD">
        <w:rPr>
          <w:rFonts w:ascii="Cambria" w:eastAsia="Calibri" w:hAnsi="Cambria" w:cs="Arial"/>
          <w:color w:val="000000"/>
          <w:sz w:val="20"/>
          <w:szCs w:val="20"/>
          <w:lang w:eastAsia="en-US"/>
        </w:rPr>
        <w:t xml:space="preserve"> t</w:t>
      </w:r>
      <w:r w:rsidRPr="00474B5C">
        <w:rPr>
          <w:rFonts w:ascii="Cambria" w:eastAsia="Calibri" w:hAnsi="Cambria" w:cs="Arial"/>
          <w:color w:val="000000"/>
          <w:sz w:val="20"/>
          <w:szCs w:val="20"/>
          <w:lang w:eastAsia="en-US"/>
        </w:rPr>
        <w:t xml:space="preserve">he TDR map shows correspondingly a distribution of negative values </w:t>
      </w:r>
      <w:r w:rsidRPr="00474B5C">
        <w:rPr>
          <w:rFonts w:ascii="Cambria" w:eastAsia="Calibri" w:hAnsi="Cambria"/>
          <w:color w:val="000000"/>
          <w:sz w:val="20"/>
          <w:szCs w:val="20"/>
          <w:lang w:eastAsia="en-US"/>
        </w:rPr>
        <w:t>​​</w:t>
      </w:r>
      <w:r w:rsidRPr="00474B5C">
        <w:rPr>
          <w:rFonts w:ascii="Cambria" w:eastAsia="Calibri" w:hAnsi="Cambria" w:cs="Arial"/>
          <w:color w:val="000000"/>
          <w:sz w:val="20"/>
          <w:szCs w:val="20"/>
          <w:lang w:eastAsia="en-US"/>
        </w:rPr>
        <w:t>indicating the distribution of the altered rock zones from a more extensive residual map (</w:t>
      </w:r>
      <w:r w:rsidRPr="00474B5C">
        <w:rPr>
          <w:rFonts w:ascii="Cambria" w:eastAsia="Calibri" w:hAnsi="Cambria" w:cs="Arial"/>
          <w:b/>
          <w:bCs/>
          <w:color w:val="000000"/>
          <w:sz w:val="20"/>
          <w:szCs w:val="20"/>
          <w:lang w:eastAsia="en-US"/>
        </w:rPr>
        <w:t>Fig. 4</w:t>
      </w:r>
      <w:r w:rsidRPr="00474B5C">
        <w:rPr>
          <w:rFonts w:ascii="Cambria" w:eastAsia="Calibri" w:hAnsi="Cambria" w:cs="Arial"/>
          <w:color w:val="000000"/>
          <w:sz w:val="20"/>
          <w:szCs w:val="20"/>
          <w:lang w:eastAsia="en-US"/>
        </w:rPr>
        <w:t>). These zones can be specifically found at around the faults of Boro-</w:t>
      </w:r>
      <w:proofErr w:type="spellStart"/>
      <w:r w:rsidRPr="00474B5C">
        <w:rPr>
          <w:rFonts w:ascii="Cambria" w:eastAsia="Calibri" w:hAnsi="Cambria" w:cs="Arial"/>
          <w:color w:val="000000"/>
          <w:sz w:val="20"/>
          <w:szCs w:val="20"/>
          <w:lang w:eastAsia="en-US"/>
        </w:rPr>
        <w:t>boro</w:t>
      </w:r>
      <w:proofErr w:type="spellEnd"/>
      <w:r w:rsidRPr="00474B5C">
        <w:rPr>
          <w:rFonts w:ascii="Cambria" w:eastAsia="Calibri" w:hAnsi="Cambria" w:cs="Arial"/>
          <w:color w:val="000000"/>
          <w:sz w:val="20"/>
          <w:szCs w:val="20"/>
          <w:lang w:eastAsia="en-US"/>
        </w:rPr>
        <w:t xml:space="preserve">, Windo, </w:t>
      </w:r>
      <w:proofErr w:type="spellStart"/>
      <w:r w:rsidRPr="00474B5C">
        <w:rPr>
          <w:rFonts w:ascii="Cambria" w:eastAsia="Calibri" w:hAnsi="Cambria" w:cs="Arial"/>
          <w:color w:val="000000"/>
          <w:sz w:val="20"/>
          <w:szCs w:val="20"/>
          <w:lang w:eastAsia="en-US"/>
        </w:rPr>
        <w:t>Kaindi</w:t>
      </w:r>
      <w:proofErr w:type="spellEnd"/>
      <w:r w:rsidRPr="00474B5C">
        <w:rPr>
          <w:rFonts w:ascii="Cambria" w:eastAsia="Calibri" w:hAnsi="Cambria" w:cs="Arial"/>
          <w:color w:val="000000"/>
          <w:sz w:val="20"/>
          <w:szCs w:val="20"/>
          <w:lang w:eastAsia="en-US"/>
        </w:rPr>
        <w:t xml:space="preserve">, </w:t>
      </w:r>
      <w:proofErr w:type="spellStart"/>
      <w:r w:rsidRPr="00474B5C">
        <w:rPr>
          <w:rFonts w:ascii="Cambria" w:eastAsia="Calibri" w:hAnsi="Cambria" w:cs="Arial"/>
          <w:color w:val="000000"/>
          <w:sz w:val="20"/>
          <w:szCs w:val="20"/>
          <w:lang w:eastAsia="en-US"/>
        </w:rPr>
        <w:t>Laindi</w:t>
      </w:r>
      <w:proofErr w:type="spellEnd"/>
      <w:r w:rsidRPr="00474B5C">
        <w:rPr>
          <w:rFonts w:ascii="Cambria" w:eastAsia="Calibri" w:hAnsi="Cambria" w:cs="Arial"/>
          <w:color w:val="000000"/>
          <w:sz w:val="20"/>
          <w:szCs w:val="20"/>
          <w:lang w:eastAsia="en-US"/>
        </w:rPr>
        <w:t xml:space="preserve"> as well as the Lainea fault. In general, the correlation with the Euler deconvolution solution for the structure index 0 shows that there is a contact anomaly indicating the rock intrusion. This intrusion can prospectively produce the altered rock zone at a depth of 1300-1500m. </w:t>
      </w:r>
    </w:p>
    <w:p w14:paraId="732481CD" w14:textId="1BE0A4CE" w:rsidR="00474B5C" w:rsidRDefault="00474B5C" w:rsidP="009435DD">
      <w:pPr>
        <w:ind w:firstLine="284"/>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 xml:space="preserve">Finally, the results of magnetic anomaly data analysis obtained from this study can consistently confirm the manifestation of the geothermal system at Lainea. The hot spring source at the Lainea’s </w:t>
      </w:r>
      <w:r w:rsidRPr="00474B5C">
        <w:rPr>
          <w:rFonts w:ascii="Cambria" w:eastAsia="Calibri" w:hAnsi="Cambria" w:cs="Arial"/>
          <w:color w:val="000000"/>
          <w:sz w:val="20"/>
          <w:szCs w:val="20"/>
          <w:lang w:eastAsia="en-US"/>
        </w:rPr>
        <w:t xml:space="preserve">geothermal system has an intrusive or plutonic rock characteristics with the depth estimation of 1250-1500 meters ([8]). </w:t>
      </w:r>
    </w:p>
    <w:p w14:paraId="2EFAA3A3" w14:textId="77777777" w:rsidR="009435DD" w:rsidRPr="00474B5C" w:rsidRDefault="009435DD" w:rsidP="009435DD">
      <w:pPr>
        <w:ind w:firstLine="284"/>
        <w:jc w:val="both"/>
        <w:rPr>
          <w:rFonts w:ascii="Cambria" w:eastAsia="Calibri" w:hAnsi="Cambria" w:cs="Arial"/>
          <w:color w:val="000000"/>
          <w:sz w:val="20"/>
          <w:szCs w:val="20"/>
          <w:lang w:eastAsia="en-US"/>
        </w:rPr>
      </w:pPr>
    </w:p>
    <w:p w14:paraId="5A949620" w14:textId="0AD18A6D" w:rsidR="00474B5C" w:rsidRPr="00474B5C" w:rsidRDefault="009435DD" w:rsidP="009435DD">
      <w:pPr>
        <w:jc w:val="both"/>
        <w:rPr>
          <w:rFonts w:ascii="Cambria" w:eastAsia="Calibri" w:hAnsi="Cambria" w:cs="Arial"/>
          <w:b/>
          <w:bCs/>
          <w:color w:val="000000"/>
          <w:sz w:val="20"/>
          <w:szCs w:val="20"/>
          <w:lang w:eastAsia="en-US"/>
        </w:rPr>
      </w:pPr>
      <w:r>
        <w:rPr>
          <w:rFonts w:ascii="Cambria" w:eastAsia="Calibri" w:hAnsi="Cambria" w:cs="Arial"/>
          <w:b/>
          <w:bCs/>
          <w:color w:val="000000"/>
          <w:sz w:val="20"/>
          <w:szCs w:val="20"/>
          <w:lang w:val="id-ID" w:eastAsia="en-US"/>
        </w:rPr>
        <w:t>5</w:t>
      </w:r>
      <w:r w:rsidR="00474B5C" w:rsidRPr="00474B5C">
        <w:rPr>
          <w:rFonts w:ascii="Cambria" w:eastAsia="Calibri" w:hAnsi="Cambria" w:cs="Arial"/>
          <w:b/>
          <w:bCs/>
          <w:color w:val="000000"/>
          <w:sz w:val="20"/>
          <w:szCs w:val="20"/>
          <w:lang w:val="id-ID" w:eastAsia="en-US"/>
        </w:rPr>
        <w:t xml:space="preserve">. </w:t>
      </w:r>
      <w:r w:rsidR="00474B5C" w:rsidRPr="00474B5C">
        <w:rPr>
          <w:rFonts w:ascii="Cambria" w:eastAsia="Calibri" w:hAnsi="Cambria" w:cs="Arial"/>
          <w:b/>
          <w:bCs/>
          <w:color w:val="000000"/>
          <w:sz w:val="20"/>
          <w:szCs w:val="20"/>
          <w:lang w:eastAsia="en-US"/>
        </w:rPr>
        <w:t>Conclusion</w:t>
      </w:r>
    </w:p>
    <w:p w14:paraId="11501ED2" w14:textId="77777777" w:rsidR="00474B5C" w:rsidRPr="00474B5C" w:rsidRDefault="00474B5C" w:rsidP="009435DD">
      <w:pPr>
        <w:jc w:val="both"/>
        <w:rPr>
          <w:rFonts w:ascii="Cambria" w:eastAsia="Calibri" w:hAnsi="Cambria" w:cs="Arial"/>
          <w:color w:val="000000"/>
          <w:sz w:val="20"/>
          <w:szCs w:val="20"/>
          <w:lang w:eastAsia="en-US"/>
        </w:rPr>
      </w:pPr>
      <w:bookmarkStart w:id="1" w:name="_Hlk127443669"/>
      <w:r w:rsidRPr="00474B5C">
        <w:rPr>
          <w:rFonts w:ascii="Cambria" w:eastAsia="Calibri" w:hAnsi="Cambria" w:cs="Arial"/>
          <w:color w:val="000000"/>
          <w:sz w:val="20"/>
          <w:szCs w:val="20"/>
          <w:lang w:eastAsia="en-US"/>
        </w:rPr>
        <w:t>Application of the signal analysis method and Euler deconvolution was effectively and efficiently in analyzing the magnetic anomaly data. The main fault and the distribution of formation is properly confirmed by using an analysis the positive anomaly trend obtained from TMI map. The HGM implementation can completely verify the edge detection of the body anomaly in the form of the altered rock and there are several magnetic lineation paths trending in the N-S, NE-SW, and NW-SE directions. The join results of TDR and Euler deconvolution can show the detection of edge and depth of the anomaly. In particular, the altered rock zones can be specifically found at Boro-</w:t>
      </w:r>
      <w:proofErr w:type="spellStart"/>
      <w:r w:rsidRPr="00474B5C">
        <w:rPr>
          <w:rFonts w:ascii="Cambria" w:eastAsia="Calibri" w:hAnsi="Cambria" w:cs="Arial"/>
          <w:color w:val="000000"/>
          <w:sz w:val="20"/>
          <w:szCs w:val="20"/>
          <w:lang w:eastAsia="en-US"/>
        </w:rPr>
        <w:t>boro</w:t>
      </w:r>
      <w:proofErr w:type="spellEnd"/>
      <w:r w:rsidRPr="00474B5C">
        <w:rPr>
          <w:rFonts w:ascii="Cambria" w:eastAsia="Calibri" w:hAnsi="Cambria" w:cs="Arial"/>
          <w:color w:val="000000"/>
          <w:sz w:val="20"/>
          <w:szCs w:val="20"/>
          <w:lang w:eastAsia="en-US"/>
        </w:rPr>
        <w:t xml:space="preserve"> fault, Windo fault, </w:t>
      </w:r>
      <w:proofErr w:type="spellStart"/>
      <w:r w:rsidRPr="00474B5C">
        <w:rPr>
          <w:rFonts w:ascii="Cambria" w:eastAsia="Calibri" w:hAnsi="Cambria" w:cs="Arial"/>
          <w:color w:val="000000"/>
          <w:sz w:val="20"/>
          <w:szCs w:val="20"/>
          <w:lang w:eastAsia="en-US"/>
        </w:rPr>
        <w:t>Kaindi</w:t>
      </w:r>
      <w:proofErr w:type="spellEnd"/>
      <w:r w:rsidRPr="00474B5C">
        <w:rPr>
          <w:rFonts w:ascii="Cambria" w:eastAsia="Calibri" w:hAnsi="Cambria" w:cs="Arial"/>
          <w:color w:val="000000"/>
          <w:sz w:val="20"/>
          <w:szCs w:val="20"/>
          <w:lang w:eastAsia="en-US"/>
        </w:rPr>
        <w:t xml:space="preserve"> fault, </w:t>
      </w:r>
      <w:proofErr w:type="spellStart"/>
      <w:r w:rsidRPr="00474B5C">
        <w:rPr>
          <w:rFonts w:ascii="Cambria" w:eastAsia="Calibri" w:hAnsi="Cambria" w:cs="Arial"/>
          <w:color w:val="000000"/>
          <w:sz w:val="20"/>
          <w:szCs w:val="20"/>
          <w:lang w:eastAsia="en-US"/>
        </w:rPr>
        <w:t>Laindi</w:t>
      </w:r>
      <w:proofErr w:type="spellEnd"/>
      <w:r w:rsidRPr="00474B5C">
        <w:rPr>
          <w:rFonts w:ascii="Cambria" w:eastAsia="Calibri" w:hAnsi="Cambria" w:cs="Arial"/>
          <w:color w:val="000000"/>
          <w:sz w:val="20"/>
          <w:szCs w:val="20"/>
          <w:lang w:eastAsia="en-US"/>
        </w:rPr>
        <w:t xml:space="preserve"> fault, and also Lainea fault. A contact anomaly indicating the rock intrusion can prospectively produce the altered rock zone at a depth of 1300-1500m.</w:t>
      </w:r>
    </w:p>
    <w:p w14:paraId="49BB25EC" w14:textId="77777777" w:rsidR="00474B5C" w:rsidRPr="00474B5C" w:rsidRDefault="00474B5C" w:rsidP="009435DD">
      <w:pPr>
        <w:jc w:val="both"/>
        <w:rPr>
          <w:rFonts w:ascii="Cambria" w:eastAsia="Calibri" w:hAnsi="Cambria" w:cs="Arial"/>
          <w:color w:val="000000"/>
          <w:sz w:val="20"/>
          <w:szCs w:val="20"/>
          <w:lang w:eastAsia="en-US"/>
        </w:rPr>
      </w:pPr>
    </w:p>
    <w:p w14:paraId="2BAA9B16" w14:textId="300C9940" w:rsidR="00474B5C" w:rsidRPr="00474B5C" w:rsidRDefault="00474B5C" w:rsidP="009435DD">
      <w:pPr>
        <w:jc w:val="both"/>
        <w:rPr>
          <w:rFonts w:ascii="Cambria" w:eastAsia="Calibri" w:hAnsi="Cambria" w:cs="Arial"/>
          <w:b/>
          <w:bCs/>
          <w:color w:val="000000"/>
          <w:sz w:val="20"/>
          <w:szCs w:val="20"/>
          <w:lang w:eastAsia="en-US"/>
        </w:rPr>
      </w:pPr>
      <w:r w:rsidRPr="00474B5C">
        <w:rPr>
          <w:rFonts w:ascii="Cambria" w:eastAsia="Calibri" w:hAnsi="Cambria" w:cs="Arial"/>
          <w:b/>
          <w:bCs/>
          <w:color w:val="000000"/>
          <w:sz w:val="20"/>
          <w:szCs w:val="20"/>
          <w:lang w:eastAsia="en-US"/>
        </w:rPr>
        <w:t>Acknowledgment</w:t>
      </w:r>
    </w:p>
    <w:p w14:paraId="4B0C785A" w14:textId="77777777" w:rsidR="00474B5C" w:rsidRPr="00474B5C" w:rsidRDefault="00474B5C" w:rsidP="009435DD">
      <w:pPr>
        <w:jc w:val="both"/>
        <w:rPr>
          <w:rFonts w:ascii="Cambria" w:eastAsia="Calibri" w:hAnsi="Cambria" w:cs="Arial"/>
          <w:color w:val="000000"/>
          <w:sz w:val="20"/>
          <w:szCs w:val="20"/>
          <w:lang w:eastAsia="en-US"/>
        </w:rPr>
      </w:pPr>
      <w:r w:rsidRPr="00474B5C">
        <w:rPr>
          <w:rFonts w:ascii="Cambria" w:eastAsia="Calibri" w:hAnsi="Cambria" w:cs="Arial"/>
          <w:color w:val="000000"/>
          <w:sz w:val="20"/>
          <w:szCs w:val="20"/>
          <w:lang w:eastAsia="en-US"/>
        </w:rPr>
        <w:t xml:space="preserve">We would especially like to thank the </w:t>
      </w:r>
      <w:proofErr w:type="spellStart"/>
      <w:r w:rsidRPr="00474B5C">
        <w:rPr>
          <w:rFonts w:ascii="Cambria" w:eastAsia="Calibri" w:hAnsi="Cambria" w:cs="Arial"/>
          <w:color w:val="000000"/>
          <w:sz w:val="20"/>
          <w:szCs w:val="20"/>
          <w:lang w:eastAsia="en-US"/>
        </w:rPr>
        <w:t>Halu</w:t>
      </w:r>
      <w:proofErr w:type="spellEnd"/>
      <w:r w:rsidRPr="00474B5C">
        <w:rPr>
          <w:rFonts w:ascii="Cambria" w:eastAsia="Calibri" w:hAnsi="Cambria" w:cs="Arial"/>
          <w:color w:val="000000"/>
          <w:sz w:val="20"/>
          <w:szCs w:val="20"/>
          <w:lang w:eastAsia="en-US"/>
        </w:rPr>
        <w:t xml:space="preserve"> Oleo University for supporting financial and facility. This article is fully funded by internal Basic Research Program of </w:t>
      </w:r>
      <w:proofErr w:type="spellStart"/>
      <w:r w:rsidRPr="00474B5C">
        <w:rPr>
          <w:rFonts w:ascii="Cambria" w:eastAsia="Calibri" w:hAnsi="Cambria" w:cs="Arial"/>
          <w:color w:val="000000"/>
          <w:sz w:val="20"/>
          <w:szCs w:val="20"/>
          <w:lang w:eastAsia="en-US"/>
        </w:rPr>
        <w:t>Halu</w:t>
      </w:r>
      <w:proofErr w:type="spellEnd"/>
      <w:r w:rsidRPr="00474B5C">
        <w:rPr>
          <w:rFonts w:ascii="Cambria" w:eastAsia="Calibri" w:hAnsi="Cambria" w:cs="Arial"/>
          <w:color w:val="000000"/>
          <w:sz w:val="20"/>
          <w:szCs w:val="20"/>
          <w:lang w:eastAsia="en-US"/>
        </w:rPr>
        <w:t xml:space="preserve"> Oleo University. </w:t>
      </w:r>
    </w:p>
    <w:bookmarkEnd w:id="1"/>
    <w:p w14:paraId="0A37FA51" w14:textId="77777777" w:rsidR="009435DD" w:rsidRDefault="009435DD" w:rsidP="009435DD">
      <w:pPr>
        <w:jc w:val="both"/>
        <w:rPr>
          <w:rFonts w:ascii="Cambria" w:eastAsia="Calibri" w:hAnsi="Cambria" w:cs="Arial"/>
          <w:b/>
          <w:bCs/>
          <w:color w:val="000000"/>
          <w:sz w:val="20"/>
          <w:szCs w:val="20"/>
          <w:lang w:eastAsia="en-US"/>
        </w:rPr>
      </w:pPr>
    </w:p>
    <w:p w14:paraId="02E3BFB5" w14:textId="00DBC598" w:rsidR="009435DD" w:rsidRDefault="009435DD" w:rsidP="009435DD">
      <w:pPr>
        <w:jc w:val="both"/>
        <w:rPr>
          <w:rFonts w:ascii="Cambria" w:eastAsia="Calibri" w:hAnsi="Cambria" w:cs="Arial"/>
          <w:b/>
          <w:bCs/>
          <w:color w:val="000000"/>
          <w:sz w:val="20"/>
          <w:szCs w:val="20"/>
          <w:lang w:eastAsia="en-US"/>
        </w:rPr>
      </w:pPr>
      <w:r w:rsidRPr="009435DD">
        <w:rPr>
          <w:rFonts w:ascii="Cambria" w:eastAsia="Calibri" w:hAnsi="Cambria" w:cs="Arial"/>
          <w:b/>
          <w:bCs/>
          <w:color w:val="000000"/>
          <w:sz w:val="20"/>
          <w:szCs w:val="20"/>
          <w:lang w:eastAsia="en-US"/>
        </w:rPr>
        <w:t>References</w:t>
      </w:r>
    </w:p>
    <w:p w14:paraId="6BE0612D" w14:textId="77777777" w:rsidR="00B5123C" w:rsidRPr="00CA72F1" w:rsidRDefault="00B5123C" w:rsidP="00B5123C">
      <w:pPr>
        <w:pStyle w:val="ListParagraph"/>
        <w:numPr>
          <w:ilvl w:val="0"/>
          <w:numId w:val="12"/>
        </w:numPr>
        <w:spacing w:after="20"/>
        <w:ind w:left="397" w:hanging="397"/>
        <w:jc w:val="both"/>
        <w:rPr>
          <w:rFonts w:ascii="Cambria" w:eastAsia="Calibri" w:hAnsi="Cambria" w:cs="Calibri"/>
          <w:noProof/>
          <w:sz w:val="20"/>
          <w:szCs w:val="20"/>
          <w:lang w:eastAsia="en-US"/>
        </w:rPr>
      </w:pPr>
      <w:r w:rsidRPr="00CA72F1">
        <w:rPr>
          <w:rFonts w:ascii="Cambria" w:eastAsia="Calibri" w:hAnsi="Cambria" w:cs="Calibri"/>
          <w:noProof/>
          <w:sz w:val="20"/>
          <w:szCs w:val="20"/>
          <w:lang w:eastAsia="en-US"/>
        </w:rPr>
        <w:t xml:space="preserve">Eldosouky, A. M. &amp; Saada, S. A. Source edge detection (SED) of aeromagnetic data: synthetic examples and a case study from Haimur area, south Eastern Desert, Egypt. </w:t>
      </w:r>
      <w:r w:rsidRPr="00CA72F1">
        <w:rPr>
          <w:rFonts w:ascii="Cambria" w:eastAsia="Calibri" w:hAnsi="Cambria" w:cs="Calibri"/>
          <w:iCs/>
          <w:noProof/>
          <w:sz w:val="20"/>
          <w:szCs w:val="20"/>
          <w:lang w:eastAsia="en-US"/>
        </w:rPr>
        <w:t>Arabian Journal of Geosciences</w:t>
      </w:r>
      <w:r w:rsidRPr="00CA72F1">
        <w:rPr>
          <w:rFonts w:ascii="Cambria" w:eastAsia="Calibri" w:hAnsi="Cambria" w:cs="Calibri"/>
          <w:i/>
          <w:noProof/>
          <w:sz w:val="20"/>
          <w:szCs w:val="20"/>
          <w:lang w:eastAsia="en-US"/>
        </w:rPr>
        <w:t>,</w:t>
      </w:r>
      <w:r w:rsidRPr="00CA72F1">
        <w:rPr>
          <w:rFonts w:ascii="Cambria" w:eastAsia="Calibri" w:hAnsi="Cambria" w:cs="Calibri"/>
          <w:noProof/>
          <w:sz w:val="20"/>
          <w:szCs w:val="20"/>
          <w:lang w:eastAsia="en-US"/>
        </w:rPr>
        <w:t xml:space="preserve"> </w:t>
      </w:r>
      <w:r w:rsidRPr="00CA72F1">
        <w:rPr>
          <w:rFonts w:ascii="Cambria" w:eastAsia="Calibri" w:hAnsi="Cambria" w:cs="Calibri"/>
          <w:b/>
          <w:bCs/>
          <w:noProof/>
          <w:sz w:val="20"/>
          <w:szCs w:val="20"/>
          <w:lang w:eastAsia="en-US"/>
        </w:rPr>
        <w:t>13</w:t>
      </w:r>
      <w:r w:rsidRPr="00CA72F1">
        <w:rPr>
          <w:rFonts w:ascii="Cambria" w:eastAsia="Calibri" w:hAnsi="Cambria" w:cs="Calibri"/>
          <w:b/>
          <w:noProof/>
          <w:sz w:val="20"/>
          <w:szCs w:val="20"/>
          <w:lang w:eastAsia="en-US"/>
        </w:rPr>
        <w:t>,</w:t>
      </w:r>
      <w:r w:rsidRPr="00CA72F1">
        <w:rPr>
          <w:rFonts w:ascii="Cambria" w:eastAsia="Calibri" w:hAnsi="Cambria" w:cs="Calibri"/>
          <w:noProof/>
          <w:sz w:val="20"/>
          <w:szCs w:val="20"/>
          <w:lang w:eastAsia="en-US"/>
        </w:rPr>
        <w:t xml:space="preserve"> 626 (2020).</w:t>
      </w:r>
    </w:p>
    <w:p w14:paraId="19FCFABA"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Hinze, W. J., Von Frese, R. R., Von Frese, R. &amp; Saad, A. H. </w:t>
      </w:r>
      <w:r w:rsidRPr="00CA72F1">
        <w:rPr>
          <w:rFonts w:ascii="Cambria" w:eastAsia="Calibri" w:hAnsi="Cambria" w:cs="Arial"/>
          <w:iCs/>
          <w:sz w:val="20"/>
          <w:szCs w:val="20"/>
          <w:lang w:val="id-ID" w:eastAsia="en-US"/>
        </w:rPr>
        <w:t>Gravity and magnetic exploration: Principles, practices, and applications</w:t>
      </w:r>
      <w:r w:rsidRPr="00CA72F1">
        <w:rPr>
          <w:rFonts w:ascii="Cambria" w:eastAsia="Calibri" w:hAnsi="Cambria" w:cs="Arial"/>
          <w:sz w:val="20"/>
          <w:szCs w:val="20"/>
          <w:lang w:val="id-ID" w:eastAsia="en-US"/>
        </w:rPr>
        <w:t>, Cambridge University Press. (2013).</w:t>
      </w:r>
    </w:p>
    <w:p w14:paraId="192B8352"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Hinze, W. J., Von Frese, R. R., Von Frese, R. &amp; Saad, A. H. Gravity and magnetic exploration: Principles, practices, and applications, Cambridge University Press (2013).</w:t>
      </w:r>
    </w:p>
    <w:p w14:paraId="35599AC9"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Yudistira, T. &amp; Grandis, H.  Interpretasi Gravitasi dan Magnetik Menggunakan Metode Sinyal Analitik dan Dekonvolusi Euler-3D. Prosiding HAGI, Yogyakarta (1998).</w:t>
      </w:r>
    </w:p>
    <w:p w14:paraId="4993DB20"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Saada, S. A. Edge detection and depth estimation of Galala El Bahariya Plateau, Eastern Desert-Egypt, from aeromagnetic data. Geomechanics and Geophysics for Geo-Energy and Geo-Resources, </w:t>
      </w:r>
      <w:r w:rsidRPr="00CA72F1">
        <w:rPr>
          <w:rFonts w:ascii="Cambria" w:eastAsia="Calibri" w:hAnsi="Cambria" w:cs="Arial"/>
          <w:b/>
          <w:bCs/>
          <w:sz w:val="20"/>
          <w:szCs w:val="20"/>
          <w:lang w:val="id-ID" w:eastAsia="en-US"/>
        </w:rPr>
        <w:t>2</w:t>
      </w:r>
      <w:r w:rsidRPr="00CA72F1">
        <w:rPr>
          <w:rFonts w:ascii="Cambria" w:eastAsia="Calibri" w:hAnsi="Cambria" w:cs="Arial"/>
          <w:sz w:val="20"/>
          <w:szCs w:val="20"/>
          <w:lang w:val="id-ID" w:eastAsia="en-US"/>
        </w:rPr>
        <w:t>, 25-41 (2015).</w:t>
      </w:r>
    </w:p>
    <w:p w14:paraId="484A26C1"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Grauch, V. J. S. &amp; Ruleman, C. A. 2013. Identifying Buried Segments of Active Faults in the Northern Rio Grande Rift Using Aeromagnetic, LiDAR, and Gravity Data, South-Central Colorado, USA. International Journal of Geophysics, </w:t>
      </w:r>
      <w:r w:rsidRPr="00CA72F1">
        <w:rPr>
          <w:rFonts w:ascii="Cambria" w:eastAsia="Calibri" w:hAnsi="Cambria" w:cs="Arial"/>
          <w:b/>
          <w:bCs/>
          <w:sz w:val="20"/>
          <w:szCs w:val="20"/>
          <w:lang w:val="id-ID" w:eastAsia="en-US"/>
        </w:rPr>
        <w:t>2013</w:t>
      </w:r>
      <w:r w:rsidRPr="00CA72F1">
        <w:rPr>
          <w:rFonts w:ascii="Cambria" w:eastAsia="Calibri" w:hAnsi="Cambria" w:cs="Arial"/>
          <w:sz w:val="20"/>
          <w:szCs w:val="20"/>
          <w:lang w:val="id-ID" w:eastAsia="en-US"/>
        </w:rPr>
        <w:t>, 1-26. (2013)</w:t>
      </w:r>
    </w:p>
    <w:p w14:paraId="5FBD8291"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Sultan Araffa, S. A., Monteiro Santos, F. A. &amp; Arafa-Hamed, T. Delineating active faults by using integrated geophysical data at northeastern part </w:t>
      </w:r>
      <w:r w:rsidRPr="00CA72F1">
        <w:rPr>
          <w:rFonts w:ascii="Cambria" w:eastAsia="Calibri" w:hAnsi="Cambria" w:cs="Arial"/>
          <w:sz w:val="20"/>
          <w:szCs w:val="20"/>
          <w:lang w:val="id-ID" w:eastAsia="en-US"/>
        </w:rPr>
        <w:lastRenderedPageBreak/>
        <w:t xml:space="preserve">of Cairo, Egypt. NRIAG Journal of Astronomy and Geophysics, </w:t>
      </w:r>
      <w:r w:rsidRPr="00CA72F1">
        <w:rPr>
          <w:rFonts w:ascii="Cambria" w:eastAsia="Calibri" w:hAnsi="Cambria" w:cs="Arial"/>
          <w:b/>
          <w:bCs/>
          <w:sz w:val="20"/>
          <w:szCs w:val="20"/>
          <w:lang w:val="id-ID" w:eastAsia="en-US"/>
        </w:rPr>
        <w:t>1</w:t>
      </w:r>
      <w:r w:rsidRPr="00CA72F1">
        <w:rPr>
          <w:rFonts w:ascii="Cambria" w:eastAsia="Calibri" w:hAnsi="Cambria" w:cs="Arial"/>
          <w:sz w:val="20"/>
          <w:szCs w:val="20"/>
          <w:lang w:val="id-ID" w:eastAsia="en-US"/>
        </w:rPr>
        <w:t>, 33-44 (2012).</w:t>
      </w:r>
    </w:p>
    <w:p w14:paraId="0446E752"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Lahti, I. &amp; Karinen, T. Tilt derivative multiscale edges of magnetic data. The Leading Edge, </w:t>
      </w:r>
      <w:r w:rsidRPr="00CA72F1">
        <w:rPr>
          <w:rFonts w:ascii="Cambria" w:eastAsia="Calibri" w:hAnsi="Cambria" w:cs="Arial"/>
          <w:b/>
          <w:bCs/>
          <w:sz w:val="20"/>
          <w:szCs w:val="20"/>
          <w:lang w:val="id-ID" w:eastAsia="en-US"/>
        </w:rPr>
        <w:t>29</w:t>
      </w:r>
      <w:r w:rsidRPr="00CA72F1">
        <w:rPr>
          <w:rFonts w:ascii="Cambria" w:eastAsia="Calibri" w:hAnsi="Cambria" w:cs="Arial"/>
          <w:sz w:val="20"/>
          <w:szCs w:val="20"/>
          <w:lang w:val="id-ID" w:eastAsia="en-US"/>
        </w:rPr>
        <w:t>, 24-29 (2010)</w:t>
      </w:r>
    </w:p>
    <w:p w14:paraId="2F24E4D2"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Zarkasyi. A. Survei Magnetotellurik (MT) dan Time Domain Electro Magnetic (TDEM) Daerah Panas Bumi Lainea, Provinsi Sulawesi Tenggara. In: WIDODO, S., ed. Prosiding Hasil Kegiatan Pusat Sumber Daya Geologi, Pusat Sumber Daya Geologi (2014).</w:t>
      </w:r>
    </w:p>
    <w:p w14:paraId="356B1053"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Hamimu, L., Asfar, S., Arisona, Ngkoimani, L. O., Silvara, Irawati. &amp; Rubaiyn, A. Quantitative Analysis of Relative Tectonic Activities of Geothermal Areas of Lainea, South Konawe District, Southeast Sulawesi Province, Indonesia, International Journal on Advanced Science Engineering Information Technology (IJASEIT), Vol. </w:t>
      </w:r>
      <w:r w:rsidRPr="00CA72F1">
        <w:rPr>
          <w:rFonts w:ascii="Cambria" w:eastAsia="Calibri" w:hAnsi="Cambria" w:cs="Arial"/>
          <w:b/>
          <w:bCs/>
          <w:sz w:val="20"/>
          <w:szCs w:val="20"/>
          <w:lang w:val="id-ID" w:eastAsia="en-US"/>
        </w:rPr>
        <w:t>12</w:t>
      </w:r>
      <w:r w:rsidRPr="00CA72F1">
        <w:rPr>
          <w:rFonts w:ascii="Cambria" w:eastAsia="Calibri" w:hAnsi="Cambria" w:cs="Arial"/>
          <w:sz w:val="20"/>
          <w:szCs w:val="20"/>
          <w:lang w:val="id-ID" w:eastAsia="en-US"/>
        </w:rPr>
        <w:t>, No. 5, (2022).</w:t>
      </w:r>
    </w:p>
    <w:p w14:paraId="675E174B"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Hadi, M. N., Kusniadi, D. &amp; Widodo, S. Laporan Akhir Penyelidikan Terpadu Geologi dan Geokimia Daerah Panas Bumi Lainea. Pusat Sumberdaya Geologi, Badan Geologi (2010).</w:t>
      </w:r>
    </w:p>
    <w:p w14:paraId="1FB07B9A"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Reynolds, J. M. An introduction to applied and environmental geophysics, John Wiley &amp; Sons. (2011).</w:t>
      </w:r>
    </w:p>
    <w:p w14:paraId="5082973D"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Montaj, O. Geosoft mapping and application system Inc, Suit 500, Richmond St. West Toronto, ON Canada N5SIV6 (2007).</w:t>
      </w:r>
    </w:p>
    <w:p w14:paraId="3CF0E643"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El All, E. A., Khalil, A., Rabeh, T. &amp; Osman, S. Geophysical contribution to evaluate the subsurface structural setting using magnetic and geothermal data in El-Bahariya Oasis, Western Desert, Egypt. NRIAG Journal of Astronomy and Geophysics, </w:t>
      </w:r>
      <w:r w:rsidRPr="00CA72F1">
        <w:rPr>
          <w:rFonts w:ascii="Cambria" w:eastAsia="Calibri" w:hAnsi="Cambria" w:cs="Arial"/>
          <w:b/>
          <w:bCs/>
          <w:sz w:val="20"/>
          <w:szCs w:val="20"/>
          <w:lang w:val="id-ID" w:eastAsia="en-US"/>
        </w:rPr>
        <w:t>4</w:t>
      </w:r>
      <w:r w:rsidRPr="00CA72F1">
        <w:rPr>
          <w:rFonts w:ascii="Cambria" w:eastAsia="Calibri" w:hAnsi="Cambria" w:cs="Arial"/>
          <w:sz w:val="20"/>
          <w:szCs w:val="20"/>
          <w:lang w:val="id-ID" w:eastAsia="en-US"/>
        </w:rPr>
        <w:t>, 236-248. (2015)</w:t>
      </w:r>
    </w:p>
    <w:p w14:paraId="00BE6FC9"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Cordell, L. &amp; Grauch, V. Mapping basement magnetization zones from aeromagnetic data in the San Juan Basin, New Mexico. The utility of regional gravity and magnetic anomaly maps. Society of Exploration Geophysicists. (1985).</w:t>
      </w:r>
    </w:p>
    <w:p w14:paraId="24D32486"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Miller, H. G. &amp; Singh, V. Potential field tilt—a new concept for location of potential field sources. Journal of applied Geophysics, </w:t>
      </w:r>
      <w:r w:rsidRPr="00CA72F1">
        <w:rPr>
          <w:rFonts w:ascii="Cambria" w:eastAsia="Calibri" w:hAnsi="Cambria" w:cs="Arial"/>
          <w:b/>
          <w:bCs/>
          <w:sz w:val="20"/>
          <w:szCs w:val="20"/>
          <w:lang w:val="id-ID" w:eastAsia="en-US"/>
        </w:rPr>
        <w:t>32</w:t>
      </w:r>
      <w:r w:rsidRPr="00CA72F1">
        <w:rPr>
          <w:rFonts w:ascii="Cambria" w:eastAsia="Calibri" w:hAnsi="Cambria" w:cs="Arial"/>
          <w:sz w:val="20"/>
          <w:szCs w:val="20"/>
          <w:lang w:val="id-ID" w:eastAsia="en-US"/>
        </w:rPr>
        <w:t>, 213-217 (1994).</w:t>
      </w:r>
    </w:p>
    <w:p w14:paraId="532CEC7D" w14:textId="77777777" w:rsidR="00B5123C" w:rsidRPr="00CA72F1"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Verduzco, B., Fairhead, J. D., Green, C. M. &amp; Mackenzie, C. New insights into magnetic derivatives for structural mapping. The leading edge, </w:t>
      </w:r>
      <w:r w:rsidRPr="00CA72F1">
        <w:rPr>
          <w:rFonts w:ascii="Cambria" w:eastAsia="Calibri" w:hAnsi="Cambria" w:cs="Arial"/>
          <w:b/>
          <w:bCs/>
          <w:sz w:val="20"/>
          <w:szCs w:val="20"/>
          <w:lang w:val="id-ID" w:eastAsia="en-US"/>
        </w:rPr>
        <w:t>23</w:t>
      </w:r>
      <w:r w:rsidRPr="00CA72F1">
        <w:rPr>
          <w:rFonts w:ascii="Cambria" w:eastAsia="Calibri" w:hAnsi="Cambria" w:cs="Arial"/>
          <w:sz w:val="20"/>
          <w:szCs w:val="20"/>
          <w:lang w:val="id-ID" w:eastAsia="en-US"/>
        </w:rPr>
        <w:t>, 116-119 (2004).</w:t>
      </w:r>
    </w:p>
    <w:p w14:paraId="7D796B82" w14:textId="77777777" w:rsidR="00B5123C" w:rsidRDefault="00B5123C" w:rsidP="00B5123C">
      <w:pPr>
        <w:pStyle w:val="ListParagraph"/>
        <w:numPr>
          <w:ilvl w:val="0"/>
          <w:numId w:val="12"/>
        </w:numPr>
        <w:spacing w:after="20"/>
        <w:ind w:left="397" w:hanging="397"/>
        <w:jc w:val="both"/>
        <w:rPr>
          <w:rFonts w:ascii="Cambria" w:eastAsia="Calibri" w:hAnsi="Cambria" w:cs="Arial"/>
          <w:sz w:val="20"/>
          <w:szCs w:val="20"/>
          <w:lang w:val="id-ID" w:eastAsia="en-US"/>
        </w:rPr>
      </w:pPr>
      <w:r w:rsidRPr="00CA72F1">
        <w:rPr>
          <w:rFonts w:ascii="Cambria" w:eastAsia="Calibri" w:hAnsi="Cambria" w:cs="Arial"/>
          <w:sz w:val="20"/>
          <w:szCs w:val="20"/>
          <w:lang w:val="id-ID" w:eastAsia="en-US"/>
        </w:rPr>
        <w:t xml:space="preserve">Thompson, D. Euldoph: A new technique for making computer-assisted depth estimates from magnetic data. Geophysics, </w:t>
      </w:r>
      <w:r w:rsidRPr="00CA72F1">
        <w:rPr>
          <w:rFonts w:ascii="Cambria" w:eastAsia="Calibri" w:hAnsi="Cambria" w:cs="Arial"/>
          <w:b/>
          <w:bCs/>
          <w:sz w:val="20"/>
          <w:szCs w:val="20"/>
          <w:lang w:val="id-ID" w:eastAsia="en-US"/>
        </w:rPr>
        <w:t>47</w:t>
      </w:r>
      <w:r w:rsidRPr="00CA72F1">
        <w:rPr>
          <w:rFonts w:ascii="Cambria" w:eastAsia="Calibri" w:hAnsi="Cambria" w:cs="Arial"/>
          <w:sz w:val="20"/>
          <w:szCs w:val="20"/>
          <w:lang w:val="id-ID" w:eastAsia="en-US"/>
        </w:rPr>
        <w:t>, 31-37 (1982).</w:t>
      </w:r>
    </w:p>
    <w:sectPr w:rsidR="00B5123C" w:rsidSect="00B5123C">
      <w:type w:val="continuous"/>
      <w:pgSz w:w="11906" w:h="16838" w:code="9"/>
      <w:pgMar w:top="1134" w:right="1134" w:bottom="1134" w:left="1418" w:header="709" w:footer="709" w:gutter="0"/>
      <w:cols w:num="2"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liver-Regular">
    <w:panose1 w:val="02020500000000000000"/>
    <w:charset w:val="00"/>
    <w:family w:val="roman"/>
    <w:notTrueType/>
    <w:pitch w:val="variable"/>
    <w:sig w:usb0="800000AF" w:usb1="4000204A"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208"/>
    <w:multiLevelType w:val="hybridMultilevel"/>
    <w:tmpl w:val="8AB026F0"/>
    <w:lvl w:ilvl="0" w:tplc="D56C3444">
      <w:start w:val="1"/>
      <w:numFmt w:val="decimal"/>
      <w:lvlText w:val="%1."/>
      <w:lvlJc w:val="left"/>
      <w:pPr>
        <w:ind w:left="720" w:hanging="360"/>
      </w:pPr>
      <w:rPr>
        <w:rFonts w:ascii="Gulliver-Regular" w:hAnsi="Gulliver-Regular"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F81279"/>
    <w:multiLevelType w:val="hybridMultilevel"/>
    <w:tmpl w:val="38C0A3D0"/>
    <w:lvl w:ilvl="0" w:tplc="0316C1E2">
      <w:start w:val="1"/>
      <w:numFmt w:val="decimal"/>
      <w:pStyle w:val="OEReference"/>
      <w:lvlText w:val="%1."/>
      <w:lvlJc w:val="left"/>
      <w:pPr>
        <w:tabs>
          <w:tab w:val="num" w:pos="2345"/>
        </w:tabs>
        <w:ind w:left="2345" w:hanging="360"/>
      </w:pPr>
      <w:rPr>
        <w:rFonts w:ascii="Cambria" w:hAnsi="Cambria" w:hint="default"/>
        <w:sz w:val="20"/>
        <w:szCs w:val="20"/>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2" w15:restartNumberingAfterBreak="0">
    <w:nsid w:val="238E1F29"/>
    <w:multiLevelType w:val="hybridMultilevel"/>
    <w:tmpl w:val="9050E228"/>
    <w:lvl w:ilvl="0" w:tplc="B04A9FDC">
      <w:start w:val="1"/>
      <w:numFmt w:val="decimal"/>
      <w:lvlText w:val="%1."/>
      <w:lvlJc w:val="left"/>
    </w:lvl>
    <w:lvl w:ilvl="1" w:tplc="5672E08C">
      <w:numFmt w:val="decimal"/>
      <w:lvlText w:val=""/>
      <w:lvlJc w:val="left"/>
    </w:lvl>
    <w:lvl w:ilvl="2" w:tplc="FD08B91A">
      <w:numFmt w:val="decimal"/>
      <w:lvlText w:val=""/>
      <w:lvlJc w:val="left"/>
    </w:lvl>
    <w:lvl w:ilvl="3" w:tplc="9B6043B2">
      <w:numFmt w:val="decimal"/>
      <w:lvlText w:val=""/>
      <w:lvlJc w:val="left"/>
    </w:lvl>
    <w:lvl w:ilvl="4" w:tplc="83E6AEEA">
      <w:numFmt w:val="decimal"/>
      <w:lvlText w:val=""/>
      <w:lvlJc w:val="left"/>
    </w:lvl>
    <w:lvl w:ilvl="5" w:tplc="CA0CB0C6">
      <w:numFmt w:val="decimal"/>
      <w:lvlText w:val=""/>
      <w:lvlJc w:val="left"/>
    </w:lvl>
    <w:lvl w:ilvl="6" w:tplc="0EF66A48">
      <w:numFmt w:val="decimal"/>
      <w:lvlText w:val=""/>
      <w:lvlJc w:val="left"/>
    </w:lvl>
    <w:lvl w:ilvl="7" w:tplc="EB26A86A">
      <w:numFmt w:val="decimal"/>
      <w:lvlText w:val=""/>
      <w:lvlJc w:val="left"/>
    </w:lvl>
    <w:lvl w:ilvl="8" w:tplc="7D24519C">
      <w:numFmt w:val="decimal"/>
      <w:lvlText w:val=""/>
      <w:lvlJc w:val="left"/>
    </w:lvl>
  </w:abstractNum>
  <w:abstractNum w:abstractNumId="3" w15:restartNumberingAfterBreak="0">
    <w:nsid w:val="29513D52"/>
    <w:multiLevelType w:val="hybridMultilevel"/>
    <w:tmpl w:val="B394C0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AE8944A"/>
    <w:multiLevelType w:val="hybridMultilevel"/>
    <w:tmpl w:val="058070D2"/>
    <w:lvl w:ilvl="0" w:tplc="AFB8CE28">
      <w:start w:val="1"/>
      <w:numFmt w:val="bullet"/>
      <w:lvlText w:val="•"/>
      <w:lvlJc w:val="left"/>
    </w:lvl>
    <w:lvl w:ilvl="1" w:tplc="4F76DA3E">
      <w:numFmt w:val="decimal"/>
      <w:lvlText w:val=""/>
      <w:lvlJc w:val="left"/>
    </w:lvl>
    <w:lvl w:ilvl="2" w:tplc="1A7099C6">
      <w:numFmt w:val="decimal"/>
      <w:lvlText w:val=""/>
      <w:lvlJc w:val="left"/>
    </w:lvl>
    <w:lvl w:ilvl="3" w:tplc="AA121586">
      <w:numFmt w:val="decimal"/>
      <w:lvlText w:val=""/>
      <w:lvlJc w:val="left"/>
    </w:lvl>
    <w:lvl w:ilvl="4" w:tplc="0AEEC17A">
      <w:numFmt w:val="decimal"/>
      <w:lvlText w:val=""/>
      <w:lvlJc w:val="left"/>
    </w:lvl>
    <w:lvl w:ilvl="5" w:tplc="10BC5B54">
      <w:numFmt w:val="decimal"/>
      <w:lvlText w:val=""/>
      <w:lvlJc w:val="left"/>
    </w:lvl>
    <w:lvl w:ilvl="6" w:tplc="16CCEFCA">
      <w:numFmt w:val="decimal"/>
      <w:lvlText w:val=""/>
      <w:lvlJc w:val="left"/>
    </w:lvl>
    <w:lvl w:ilvl="7" w:tplc="CC22E088">
      <w:numFmt w:val="decimal"/>
      <w:lvlText w:val=""/>
      <w:lvlJc w:val="left"/>
    </w:lvl>
    <w:lvl w:ilvl="8" w:tplc="3C84E638">
      <w:numFmt w:val="decimal"/>
      <w:lvlText w:val=""/>
      <w:lvlJc w:val="left"/>
    </w:lvl>
  </w:abstractNum>
  <w:abstractNum w:abstractNumId="5" w15:restartNumberingAfterBreak="0">
    <w:nsid w:val="3D1B58BA"/>
    <w:multiLevelType w:val="hybridMultilevel"/>
    <w:tmpl w:val="72E88DEE"/>
    <w:lvl w:ilvl="0" w:tplc="7C80C0B2">
      <w:start w:val="1"/>
      <w:numFmt w:val="bullet"/>
      <w:lvlText w:val="τ"/>
      <w:lvlJc w:val="left"/>
    </w:lvl>
    <w:lvl w:ilvl="1" w:tplc="EA36B768">
      <w:start w:val="1"/>
      <w:numFmt w:val="bullet"/>
      <w:lvlText w:val="σ"/>
      <w:lvlJc w:val="left"/>
    </w:lvl>
    <w:lvl w:ilvl="2" w:tplc="8E16463E">
      <w:numFmt w:val="decimal"/>
      <w:lvlText w:val=""/>
      <w:lvlJc w:val="left"/>
    </w:lvl>
    <w:lvl w:ilvl="3" w:tplc="09BCDB12">
      <w:numFmt w:val="decimal"/>
      <w:lvlText w:val=""/>
      <w:lvlJc w:val="left"/>
    </w:lvl>
    <w:lvl w:ilvl="4" w:tplc="EA74F426">
      <w:numFmt w:val="decimal"/>
      <w:lvlText w:val=""/>
      <w:lvlJc w:val="left"/>
    </w:lvl>
    <w:lvl w:ilvl="5" w:tplc="F48055C8">
      <w:numFmt w:val="decimal"/>
      <w:lvlText w:val=""/>
      <w:lvlJc w:val="left"/>
    </w:lvl>
    <w:lvl w:ilvl="6" w:tplc="6FC675E4">
      <w:numFmt w:val="decimal"/>
      <w:lvlText w:val=""/>
      <w:lvlJc w:val="left"/>
    </w:lvl>
    <w:lvl w:ilvl="7" w:tplc="156E9582">
      <w:numFmt w:val="decimal"/>
      <w:lvlText w:val=""/>
      <w:lvlJc w:val="left"/>
    </w:lvl>
    <w:lvl w:ilvl="8" w:tplc="27401DBC">
      <w:numFmt w:val="decimal"/>
      <w:lvlText w:val=""/>
      <w:lvlJc w:val="left"/>
    </w:lvl>
  </w:abstractNum>
  <w:abstractNum w:abstractNumId="6" w15:restartNumberingAfterBreak="0">
    <w:nsid w:val="46E87CCD"/>
    <w:multiLevelType w:val="hybridMultilevel"/>
    <w:tmpl w:val="3822B75C"/>
    <w:lvl w:ilvl="0" w:tplc="BCA45E4C">
      <w:start w:val="2"/>
      <w:numFmt w:val="decimal"/>
      <w:lvlText w:val="%1."/>
      <w:lvlJc w:val="left"/>
    </w:lvl>
    <w:lvl w:ilvl="1" w:tplc="034A9154">
      <w:start w:val="3"/>
      <w:numFmt w:val="decimal"/>
      <w:lvlText w:val="%2."/>
      <w:lvlJc w:val="left"/>
    </w:lvl>
    <w:lvl w:ilvl="2" w:tplc="EB666484">
      <w:numFmt w:val="decimal"/>
      <w:lvlText w:val=""/>
      <w:lvlJc w:val="left"/>
    </w:lvl>
    <w:lvl w:ilvl="3" w:tplc="8AC6376A">
      <w:numFmt w:val="decimal"/>
      <w:lvlText w:val=""/>
      <w:lvlJc w:val="left"/>
    </w:lvl>
    <w:lvl w:ilvl="4" w:tplc="25546186">
      <w:numFmt w:val="decimal"/>
      <w:lvlText w:val=""/>
      <w:lvlJc w:val="left"/>
    </w:lvl>
    <w:lvl w:ilvl="5" w:tplc="ADF635B0">
      <w:numFmt w:val="decimal"/>
      <w:lvlText w:val=""/>
      <w:lvlJc w:val="left"/>
    </w:lvl>
    <w:lvl w:ilvl="6" w:tplc="25CC5AD0">
      <w:numFmt w:val="decimal"/>
      <w:lvlText w:val=""/>
      <w:lvlJc w:val="left"/>
    </w:lvl>
    <w:lvl w:ilvl="7" w:tplc="54BAE7CA">
      <w:numFmt w:val="decimal"/>
      <w:lvlText w:val=""/>
      <w:lvlJc w:val="left"/>
    </w:lvl>
    <w:lvl w:ilvl="8" w:tplc="C7A47A54">
      <w:numFmt w:val="decimal"/>
      <w:lvlText w:val=""/>
      <w:lvlJc w:val="left"/>
    </w:lvl>
  </w:abstractNum>
  <w:abstractNum w:abstractNumId="7" w15:restartNumberingAfterBreak="0">
    <w:nsid w:val="4D7D74A4"/>
    <w:multiLevelType w:val="hybridMultilevel"/>
    <w:tmpl w:val="6930B3EE"/>
    <w:lvl w:ilvl="0" w:tplc="F202BB06">
      <w:start w:val="1"/>
      <w:numFmt w:val="decimal"/>
      <w:lvlText w:val="%1."/>
      <w:lvlJc w:val="left"/>
      <w:pPr>
        <w:ind w:left="720" w:hanging="360"/>
      </w:pPr>
      <w:rPr>
        <w:rFonts w:eastAsiaTheme="min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E097753"/>
    <w:multiLevelType w:val="hybridMultilevel"/>
    <w:tmpl w:val="19A2D4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7ED7AB"/>
    <w:multiLevelType w:val="hybridMultilevel"/>
    <w:tmpl w:val="21506110"/>
    <w:lvl w:ilvl="0" w:tplc="0C40428A">
      <w:start w:val="1"/>
      <w:numFmt w:val="decimal"/>
      <w:lvlText w:val="%1"/>
      <w:lvlJc w:val="left"/>
    </w:lvl>
    <w:lvl w:ilvl="1" w:tplc="06F8C4DC">
      <w:numFmt w:val="decimal"/>
      <w:lvlText w:val=""/>
      <w:lvlJc w:val="left"/>
    </w:lvl>
    <w:lvl w:ilvl="2" w:tplc="9EE65344">
      <w:numFmt w:val="decimal"/>
      <w:lvlText w:val=""/>
      <w:lvlJc w:val="left"/>
    </w:lvl>
    <w:lvl w:ilvl="3" w:tplc="C5864986">
      <w:numFmt w:val="decimal"/>
      <w:lvlText w:val=""/>
      <w:lvlJc w:val="left"/>
    </w:lvl>
    <w:lvl w:ilvl="4" w:tplc="FD7639AE">
      <w:numFmt w:val="decimal"/>
      <w:lvlText w:val=""/>
      <w:lvlJc w:val="left"/>
    </w:lvl>
    <w:lvl w:ilvl="5" w:tplc="14F67892">
      <w:numFmt w:val="decimal"/>
      <w:lvlText w:val=""/>
      <w:lvlJc w:val="left"/>
    </w:lvl>
    <w:lvl w:ilvl="6" w:tplc="E56E542C">
      <w:numFmt w:val="decimal"/>
      <w:lvlText w:val=""/>
      <w:lvlJc w:val="left"/>
    </w:lvl>
    <w:lvl w:ilvl="7" w:tplc="6F00CC64">
      <w:numFmt w:val="decimal"/>
      <w:lvlText w:val=""/>
      <w:lvlJc w:val="left"/>
    </w:lvl>
    <w:lvl w:ilvl="8" w:tplc="A9C0BBD2">
      <w:numFmt w:val="decimal"/>
      <w:lvlText w:val=""/>
      <w:lvlJc w:val="left"/>
    </w:lvl>
  </w:abstractNum>
  <w:abstractNum w:abstractNumId="10" w15:restartNumberingAfterBreak="0">
    <w:nsid w:val="625558EC"/>
    <w:multiLevelType w:val="hybridMultilevel"/>
    <w:tmpl w:val="B94AFFE4"/>
    <w:lvl w:ilvl="0" w:tplc="99BE98AE">
      <w:start w:val="1"/>
      <w:numFmt w:val="bullet"/>
      <w:lvlText w:val="•"/>
      <w:lvlJc w:val="left"/>
    </w:lvl>
    <w:lvl w:ilvl="1" w:tplc="B32E983C">
      <w:numFmt w:val="decimal"/>
      <w:lvlText w:val=""/>
      <w:lvlJc w:val="left"/>
    </w:lvl>
    <w:lvl w:ilvl="2" w:tplc="BC1E6E08">
      <w:numFmt w:val="decimal"/>
      <w:lvlText w:val=""/>
      <w:lvlJc w:val="left"/>
    </w:lvl>
    <w:lvl w:ilvl="3" w:tplc="86887DBE">
      <w:numFmt w:val="decimal"/>
      <w:lvlText w:val=""/>
      <w:lvlJc w:val="left"/>
    </w:lvl>
    <w:lvl w:ilvl="4" w:tplc="714E24B8">
      <w:numFmt w:val="decimal"/>
      <w:lvlText w:val=""/>
      <w:lvlJc w:val="left"/>
    </w:lvl>
    <w:lvl w:ilvl="5" w:tplc="0E4003FA">
      <w:numFmt w:val="decimal"/>
      <w:lvlText w:val=""/>
      <w:lvlJc w:val="left"/>
    </w:lvl>
    <w:lvl w:ilvl="6" w:tplc="D6E6EC7E">
      <w:numFmt w:val="decimal"/>
      <w:lvlText w:val=""/>
      <w:lvlJc w:val="left"/>
    </w:lvl>
    <w:lvl w:ilvl="7" w:tplc="2BDE336A">
      <w:numFmt w:val="decimal"/>
      <w:lvlText w:val=""/>
      <w:lvlJc w:val="left"/>
    </w:lvl>
    <w:lvl w:ilvl="8" w:tplc="BE565AF2">
      <w:numFmt w:val="decimal"/>
      <w:lvlText w:val=""/>
      <w:lvlJc w:val="left"/>
    </w:lvl>
  </w:abstractNum>
  <w:abstractNum w:abstractNumId="11" w15:restartNumberingAfterBreak="0">
    <w:nsid w:val="6919205C"/>
    <w:multiLevelType w:val="hybridMultilevel"/>
    <w:tmpl w:val="6750E832"/>
    <w:lvl w:ilvl="0" w:tplc="0AE41350">
      <w:start w:val="1"/>
      <w:numFmt w:val="decimal"/>
      <w:lvlText w:val="%1."/>
      <w:lvlJc w:val="left"/>
      <w:pPr>
        <w:ind w:left="720" w:hanging="360"/>
      </w:pPr>
      <w:rPr>
        <w:rFonts w:ascii="Gulliver-Regular" w:hAnsi="Gulliver-Regular" w:hint="default"/>
        <w:color w:val="auto"/>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77718728">
    <w:abstractNumId w:val="4"/>
  </w:num>
  <w:num w:numId="2" w16cid:durableId="1206989062">
    <w:abstractNumId w:val="10"/>
  </w:num>
  <w:num w:numId="3" w16cid:durableId="564921195">
    <w:abstractNumId w:val="2"/>
  </w:num>
  <w:num w:numId="4" w16cid:durableId="1063061499">
    <w:abstractNumId w:val="6"/>
  </w:num>
  <w:num w:numId="5" w16cid:durableId="1696929111">
    <w:abstractNumId w:val="5"/>
  </w:num>
  <w:num w:numId="6" w16cid:durableId="748768784">
    <w:abstractNumId w:val="9"/>
  </w:num>
  <w:num w:numId="7" w16cid:durableId="1773354884">
    <w:abstractNumId w:val="1"/>
  </w:num>
  <w:num w:numId="8" w16cid:durableId="1381171574">
    <w:abstractNumId w:val="1"/>
    <w:lvlOverride w:ilvl="0">
      <w:startOverride w:val="1"/>
    </w:lvlOverride>
  </w:num>
  <w:num w:numId="9" w16cid:durableId="95298004">
    <w:abstractNumId w:val="11"/>
  </w:num>
  <w:num w:numId="10" w16cid:durableId="1145781099">
    <w:abstractNumId w:val="3"/>
  </w:num>
  <w:num w:numId="11" w16cid:durableId="342366492">
    <w:abstractNumId w:val="7"/>
  </w:num>
  <w:num w:numId="12" w16cid:durableId="2137405134">
    <w:abstractNumId w:val="8"/>
  </w:num>
  <w:num w:numId="13" w16cid:durableId="527790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E9"/>
    <w:rsid w:val="0003312B"/>
    <w:rsid w:val="00071D2B"/>
    <w:rsid w:val="000A7CDA"/>
    <w:rsid w:val="000F5AD5"/>
    <w:rsid w:val="001402E9"/>
    <w:rsid w:val="001D0944"/>
    <w:rsid w:val="001D6E20"/>
    <w:rsid w:val="001E35C4"/>
    <w:rsid w:val="0022303D"/>
    <w:rsid w:val="002D4591"/>
    <w:rsid w:val="00371FE2"/>
    <w:rsid w:val="00390D5D"/>
    <w:rsid w:val="003B234C"/>
    <w:rsid w:val="003D39BD"/>
    <w:rsid w:val="00474B5C"/>
    <w:rsid w:val="00475287"/>
    <w:rsid w:val="004E2267"/>
    <w:rsid w:val="004F0F0C"/>
    <w:rsid w:val="005117D8"/>
    <w:rsid w:val="005E39D2"/>
    <w:rsid w:val="00633136"/>
    <w:rsid w:val="00640158"/>
    <w:rsid w:val="00761ADB"/>
    <w:rsid w:val="007F30C3"/>
    <w:rsid w:val="007F454D"/>
    <w:rsid w:val="00803928"/>
    <w:rsid w:val="00866CEB"/>
    <w:rsid w:val="00874453"/>
    <w:rsid w:val="0088270C"/>
    <w:rsid w:val="00923E79"/>
    <w:rsid w:val="009435DD"/>
    <w:rsid w:val="00987467"/>
    <w:rsid w:val="00A06E10"/>
    <w:rsid w:val="00B5123C"/>
    <w:rsid w:val="00B82AAA"/>
    <w:rsid w:val="00B86044"/>
    <w:rsid w:val="00BD7C1B"/>
    <w:rsid w:val="00BF10D1"/>
    <w:rsid w:val="00C7535D"/>
    <w:rsid w:val="00CA72F1"/>
    <w:rsid w:val="00CF794C"/>
    <w:rsid w:val="00D84F2C"/>
    <w:rsid w:val="00E0080A"/>
    <w:rsid w:val="00F27A42"/>
    <w:rsid w:val="00F44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D8B298"/>
  <w15:docId w15:val="{819C673C-4682-44C5-9982-68DBD414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E9"/>
  </w:style>
  <w:style w:type="paragraph" w:styleId="Heading1">
    <w:name w:val="heading 1"/>
    <w:basedOn w:val="Normal"/>
    <w:next w:val="Normal"/>
    <w:link w:val="Heading1Char"/>
    <w:uiPriority w:val="9"/>
    <w:qFormat/>
    <w:rsid w:val="00474B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06E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pPr>
    <w:rPr>
      <w:rFonts w:eastAsia="MS Mincho"/>
      <w:sz w:val="16"/>
      <w:szCs w:val="20"/>
      <w:lang w:eastAsia="en-US"/>
    </w:rPr>
  </w:style>
  <w:style w:type="character" w:styleId="Hyperlink">
    <w:name w:val="Hyperlink"/>
    <w:basedOn w:val="DefaultParagraphFont"/>
    <w:uiPriority w:val="99"/>
    <w:unhideWhenUsed/>
    <w:rsid w:val="00B82AAA"/>
    <w:rPr>
      <w:color w:val="0000FF" w:themeColor="hyperlink"/>
      <w:u w:val="single"/>
    </w:rPr>
  </w:style>
  <w:style w:type="character" w:styleId="UnresolvedMention">
    <w:name w:val="Unresolved Mention"/>
    <w:basedOn w:val="DefaultParagraphFont"/>
    <w:uiPriority w:val="99"/>
    <w:semiHidden/>
    <w:unhideWhenUsed/>
    <w:rsid w:val="00B82AAA"/>
    <w:rPr>
      <w:color w:val="605E5C"/>
      <w:shd w:val="clear" w:color="auto" w:fill="E1DFDD"/>
    </w:rPr>
  </w:style>
  <w:style w:type="paragraph" w:customStyle="1" w:styleId="Paragraph">
    <w:name w:val="Paragraph"/>
    <w:basedOn w:val="Normal"/>
    <w:rsid w:val="003D39BD"/>
    <w:pPr>
      <w:ind w:firstLine="284"/>
      <w:jc w:val="both"/>
    </w:pPr>
    <w:rPr>
      <w:rFonts w:eastAsia="Times New Roman"/>
      <w:sz w:val="20"/>
      <w:szCs w:val="20"/>
      <w:lang w:eastAsia="en-US"/>
    </w:rPr>
  </w:style>
  <w:style w:type="character" w:customStyle="1" w:styleId="Heading2Char">
    <w:name w:val="Heading 2 Char"/>
    <w:basedOn w:val="DefaultParagraphFont"/>
    <w:link w:val="Heading2"/>
    <w:uiPriority w:val="9"/>
    <w:semiHidden/>
    <w:rsid w:val="00A06E1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74B5C"/>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CA7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rzan.ode@uho.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ryawan_tambang@uho.ac.id"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mailto:alrubaiyn@uho.ac.id" TargetMode="External"/><Relationship Id="rId11" Type="http://schemas.openxmlformats.org/officeDocument/2006/relationships/image" Target="media/image2.jpeg"/><Relationship Id="rId5" Type="http://schemas.openxmlformats.org/officeDocument/2006/relationships/hyperlink" Target="mailto:lahamimu@uho.ac.id" TargetMode="Externa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drawati@uho.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6</Pages>
  <Words>3738</Words>
  <Characters>21311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HAMUD FAMILY</cp:lastModifiedBy>
  <cp:revision>8</cp:revision>
  <dcterms:created xsi:type="dcterms:W3CDTF">2025-10-09T00:26:00Z</dcterms:created>
  <dcterms:modified xsi:type="dcterms:W3CDTF">2025-10-10T03:24:00Z</dcterms:modified>
</cp:coreProperties>
</file>