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EADDF" w14:textId="38F10CCF" w:rsidR="009409B3" w:rsidRPr="00DB6768" w:rsidRDefault="009409B3" w:rsidP="003D7DAE">
      <w:pPr>
        <w:pStyle w:val="Default"/>
        <w:rPr>
          <w:rFonts w:ascii="Abadi" w:hAnsi="Abadi" w:cs="Calibri"/>
          <w:b/>
          <w:bCs/>
          <w:noProof/>
          <w:lang w:val="id-ID"/>
        </w:rPr>
      </w:pPr>
      <w:bookmarkStart w:id="0" w:name="_Hlk524577255"/>
      <w:bookmarkStart w:id="1" w:name="_Toc427661915"/>
      <w:bookmarkStart w:id="2" w:name="_Hlk524860808"/>
      <w:r w:rsidRPr="00DB6768">
        <w:rPr>
          <w:rFonts w:ascii="Abadi" w:hAnsi="Abadi" w:cs="Calibri"/>
          <w:b/>
          <w:bCs/>
          <w:noProof/>
          <w:lang w:val="id-ID"/>
        </w:rPr>
        <w:drawing>
          <wp:anchor distT="0" distB="0" distL="114300" distR="114300" simplePos="0" relativeHeight="251663360" behindDoc="0" locked="0" layoutInCell="1" allowOverlap="1" wp14:anchorId="652E20AE" wp14:editId="35A8960B">
            <wp:simplePos x="0" y="0"/>
            <wp:positionH relativeFrom="column">
              <wp:posOffset>4403725</wp:posOffset>
            </wp:positionH>
            <wp:positionV relativeFrom="paragraph">
              <wp:posOffset>22860</wp:posOffset>
            </wp:positionV>
            <wp:extent cx="1102360" cy="438150"/>
            <wp:effectExtent l="0" t="0" r="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36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6A6B" w:rsidRPr="00DB6768">
        <w:rPr>
          <w:rFonts w:ascii="Abadi" w:hAnsi="Abadi" w:cs="Calibri"/>
          <w:b/>
          <w:bCs/>
          <w:noProof/>
        </w:rPr>
        <w:t xml:space="preserve">JIIP: </w:t>
      </w:r>
      <w:r w:rsidRPr="00DB6768">
        <w:rPr>
          <w:rFonts w:ascii="Abadi" w:hAnsi="Abadi" w:cs="Calibri"/>
          <w:b/>
          <w:bCs/>
          <w:noProof/>
          <w:lang w:val="id-ID"/>
        </w:rPr>
        <w:t>JURNAL ILMIAH ILMU PEMERINTAHAN</w:t>
      </w:r>
    </w:p>
    <w:p w14:paraId="65812FD5" w14:textId="7C6D93E8" w:rsidR="009409B3" w:rsidRPr="00DB6768" w:rsidRDefault="009409B3" w:rsidP="003D7DAE">
      <w:pPr>
        <w:pStyle w:val="Default"/>
        <w:rPr>
          <w:rFonts w:ascii="Abadi" w:hAnsi="Abadi" w:cstheme="minorHAnsi"/>
          <w:noProof/>
        </w:rPr>
      </w:pPr>
      <w:r w:rsidRPr="00DB6768">
        <w:rPr>
          <w:rFonts w:ascii="Abadi" w:hAnsi="Abadi" w:cstheme="minorHAnsi"/>
          <w:noProof/>
          <w:lang w:val="id-ID"/>
        </w:rPr>
        <w:t>Vol.</w:t>
      </w:r>
      <w:r w:rsidR="00290A7F" w:rsidRPr="00DB6768">
        <w:rPr>
          <w:rFonts w:ascii="Abadi" w:hAnsi="Abadi" w:cstheme="minorHAnsi"/>
          <w:noProof/>
        </w:rPr>
        <w:t>x</w:t>
      </w:r>
      <w:r w:rsidRPr="00DB6768">
        <w:rPr>
          <w:rFonts w:ascii="Abadi" w:hAnsi="Abadi" w:cstheme="minorHAnsi"/>
          <w:noProof/>
          <w:lang w:val="id-ID"/>
        </w:rPr>
        <w:t xml:space="preserve">, No. </w:t>
      </w:r>
      <w:r w:rsidR="00290A7F" w:rsidRPr="00DB6768">
        <w:rPr>
          <w:rFonts w:ascii="Abadi" w:hAnsi="Abadi" w:cstheme="minorHAnsi"/>
          <w:noProof/>
        </w:rPr>
        <w:t>x</w:t>
      </w:r>
      <w:r w:rsidRPr="00DB6768">
        <w:rPr>
          <w:rFonts w:ascii="Abadi" w:hAnsi="Abadi" w:cstheme="minorHAnsi"/>
          <w:noProof/>
          <w:lang w:val="id-ID"/>
        </w:rPr>
        <w:t>, 202</w:t>
      </w:r>
      <w:r w:rsidR="00290A7F" w:rsidRPr="00DB6768">
        <w:rPr>
          <w:rFonts w:ascii="Abadi" w:hAnsi="Abadi" w:cstheme="minorHAnsi"/>
          <w:noProof/>
        </w:rPr>
        <w:t>x</w:t>
      </w:r>
    </w:p>
    <w:p w14:paraId="2814E6D5" w14:textId="3DF91023" w:rsidR="009409B3" w:rsidRPr="00DB6768" w:rsidRDefault="009409B3" w:rsidP="003D7DAE">
      <w:pPr>
        <w:pStyle w:val="Default"/>
        <w:rPr>
          <w:rFonts w:ascii="Abadi" w:hAnsi="Abadi" w:cstheme="minorHAnsi"/>
          <w:noProof/>
          <w:lang w:val="id-ID"/>
        </w:rPr>
      </w:pPr>
      <w:bookmarkStart w:id="3" w:name="_Hlk524983422"/>
      <w:r w:rsidRPr="00DB6768">
        <w:rPr>
          <w:rFonts w:ascii="Abadi" w:hAnsi="Abadi" w:cstheme="minorHAnsi"/>
          <w:noProof/>
          <w:lang w:val="id-ID"/>
        </w:rPr>
        <w:t xml:space="preserve">DOI: </w:t>
      </w:r>
      <w:bookmarkStart w:id="4" w:name="_Hlk532412496"/>
      <w:r w:rsidR="00826A6B" w:rsidRPr="00DB6768">
        <w:rPr>
          <w:rFonts w:ascii="Abadi" w:hAnsi="Abadi" w:cstheme="minorHAnsi"/>
          <w:color w:val="111111"/>
          <w:shd w:val="clear" w:color="auto" w:fill="FFFFFF"/>
          <w:lang w:val="en-ID" w:eastAsia="en-GB"/>
        </w:rPr>
        <w:t>10.14710/</w:t>
      </w:r>
      <w:proofErr w:type="spellStart"/>
      <w:r w:rsidR="00826A6B" w:rsidRPr="00DB6768">
        <w:rPr>
          <w:rFonts w:ascii="Abadi" w:hAnsi="Abadi" w:cstheme="minorHAnsi"/>
          <w:color w:val="111111"/>
          <w:shd w:val="clear" w:color="auto" w:fill="FFFFFF"/>
          <w:lang w:val="en-ID" w:eastAsia="en-GB"/>
        </w:rPr>
        <w:t>jiip.</w:t>
      </w:r>
      <w:r w:rsidR="00290A7F" w:rsidRPr="00DB6768">
        <w:rPr>
          <w:rFonts w:ascii="Abadi" w:hAnsi="Abadi" w:cstheme="minorHAnsi"/>
          <w:color w:val="111111"/>
          <w:shd w:val="clear" w:color="auto" w:fill="FFFFFF"/>
          <w:lang w:val="en-ID" w:eastAsia="en-GB"/>
        </w:rPr>
        <w:t>xxxxxxx</w:t>
      </w:r>
      <w:proofErr w:type="spellEnd"/>
    </w:p>
    <w:bookmarkEnd w:id="3"/>
    <w:bookmarkEnd w:id="4"/>
    <w:p w14:paraId="44E834CC" w14:textId="77777777" w:rsidR="009409B3" w:rsidRPr="00DB6768" w:rsidRDefault="009409B3" w:rsidP="003D7DAE">
      <w:pPr>
        <w:pStyle w:val="Default"/>
        <w:rPr>
          <w:rFonts w:ascii="Abadi" w:hAnsi="Abadi" w:cstheme="minorHAnsi"/>
          <w:b/>
          <w:noProof/>
          <w:lang w:val="id-ID"/>
        </w:rPr>
      </w:pPr>
      <w:r w:rsidRPr="00DB6768">
        <w:rPr>
          <w:rFonts w:ascii="Abadi" w:hAnsi="Abadi" w:cstheme="minorHAnsi"/>
          <w:noProof/>
        </w:rPr>
        <mc:AlternateContent>
          <mc:Choice Requires="wps">
            <w:drawing>
              <wp:anchor distT="4294967295" distB="4294967295" distL="114300" distR="114300" simplePos="0" relativeHeight="251662336" behindDoc="0" locked="0" layoutInCell="1" allowOverlap="1" wp14:anchorId="1F90EDE1" wp14:editId="160287F7">
                <wp:simplePos x="0" y="0"/>
                <wp:positionH relativeFrom="column">
                  <wp:posOffset>-24130</wp:posOffset>
                </wp:positionH>
                <wp:positionV relativeFrom="paragraph">
                  <wp:posOffset>106679</wp:posOffset>
                </wp:positionV>
                <wp:extent cx="554164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1645" cy="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D0E9D3"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pt,8.4pt" to="434.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" strokecolor="#ed7d31 [3205]" strokeweight=".5pt">
                <v:stroke joinstyle="miter"/>
                <o:lock v:ext="edit" shapetype="f"/>
              </v:line>
            </w:pict>
          </mc:Fallback>
        </mc:AlternateContent>
      </w:r>
      <w:r w:rsidRPr="00DB6768">
        <w:rPr>
          <w:rFonts w:ascii="Abadi" w:hAnsi="Abadi" w:cstheme="minorHAnsi"/>
          <w:noProof/>
        </w:rPr>
        <mc:AlternateContent>
          <mc:Choice Requires="wps">
            <w:drawing>
              <wp:anchor distT="4294967295" distB="4294967295" distL="114300" distR="114300" simplePos="0" relativeHeight="251661312" behindDoc="0" locked="0" layoutInCell="1" allowOverlap="1" wp14:anchorId="7A26BD2F" wp14:editId="3B34A597">
                <wp:simplePos x="0" y="0"/>
                <wp:positionH relativeFrom="column">
                  <wp:posOffset>-25400</wp:posOffset>
                </wp:positionH>
                <wp:positionV relativeFrom="paragraph">
                  <wp:posOffset>85724</wp:posOffset>
                </wp:positionV>
                <wp:extent cx="5541645" cy="0"/>
                <wp:effectExtent l="0" t="12700" r="8255"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1645"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7D4FD4"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pt,6.75pt" to="434.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" strokecolor="#ed7d31 [3205]" strokeweight="1.5pt">
                <v:stroke joinstyle="miter"/>
                <o:lock v:ext="edit" shapetype="f"/>
              </v:line>
            </w:pict>
          </mc:Fallback>
        </mc:AlternateContent>
      </w:r>
    </w:p>
    <w:bookmarkEnd w:id="0"/>
    <w:p w14:paraId="40CA4C3C" w14:textId="77777777" w:rsidR="009409B3" w:rsidRPr="00DB6768" w:rsidRDefault="009409B3" w:rsidP="003D7DAE">
      <w:pPr>
        <w:pStyle w:val="NoSpacing"/>
        <w:ind w:firstLine="0"/>
        <w:rPr>
          <w:rFonts w:ascii="Abadi" w:hAnsi="Abadi" w:cstheme="minorHAnsi"/>
          <w:b/>
          <w:sz w:val="30"/>
          <w:szCs w:val="30"/>
          <w:lang w:val="id-ID"/>
        </w:rPr>
      </w:pPr>
    </w:p>
    <w:p w14:paraId="180EFD9A" w14:textId="4C375D8C" w:rsidR="00290A7F" w:rsidRPr="00DB6768" w:rsidRDefault="00C23DE6" w:rsidP="003D7DAE">
      <w:pPr>
        <w:spacing w:line="240" w:lineRule="auto"/>
        <w:ind w:firstLine="0"/>
        <w:jc w:val="left"/>
        <w:rPr>
          <w:rFonts w:ascii="Abadi" w:hAnsi="Abadi"/>
          <w:b/>
          <w:noProof w:val="0"/>
          <w:color w:val="ED7D31"/>
          <w:sz w:val="30"/>
          <w:szCs w:val="30"/>
        </w:rPr>
      </w:pPr>
      <w:r w:rsidRPr="00DB6768">
        <w:rPr>
          <w:rFonts w:ascii="Abadi" w:hAnsi="Abadi"/>
          <w:b/>
          <w:noProof w:val="0"/>
          <w:color w:val="ED7D31"/>
          <w:sz w:val="30"/>
          <w:szCs w:val="30"/>
        </w:rPr>
        <w:t xml:space="preserve">IMPLEMENTASI </w:t>
      </w:r>
      <w:r w:rsidRPr="00DB6768">
        <w:rPr>
          <w:rFonts w:ascii="Abadi" w:hAnsi="Abadi"/>
          <w:b/>
          <w:i/>
          <w:iCs/>
          <w:noProof w:val="0"/>
          <w:color w:val="ED7D31"/>
          <w:sz w:val="30"/>
          <w:szCs w:val="30"/>
        </w:rPr>
        <w:t>GREEN FINANCE</w:t>
      </w:r>
      <w:r w:rsidRPr="00DB6768">
        <w:rPr>
          <w:rFonts w:ascii="Abadi" w:hAnsi="Abadi"/>
          <w:b/>
          <w:noProof w:val="0"/>
          <w:color w:val="ED7D31"/>
          <w:sz w:val="30"/>
          <w:szCs w:val="30"/>
        </w:rPr>
        <w:t xml:space="preserve"> PADA MASYARAKAT BADUY</w:t>
      </w:r>
    </w:p>
    <w:p w14:paraId="1B66379B" w14:textId="7FC66144" w:rsidR="009409B3" w:rsidRPr="00DB6768" w:rsidRDefault="009409B3" w:rsidP="003D7DAE">
      <w:pPr>
        <w:spacing w:line="240" w:lineRule="auto"/>
        <w:ind w:firstLine="0"/>
        <w:jc w:val="left"/>
        <w:rPr>
          <w:rFonts w:ascii="Abadi" w:hAnsi="Abadi" w:cstheme="minorHAnsi"/>
          <w:b/>
          <w:color w:val="ED7D31" w:themeColor="accent2"/>
          <w:szCs w:val="24"/>
        </w:rPr>
      </w:pPr>
    </w:p>
    <w:p w14:paraId="788E601E" w14:textId="77777777" w:rsidR="00290A7F" w:rsidRPr="00DB6768" w:rsidRDefault="00290A7F" w:rsidP="003D7DAE">
      <w:pPr>
        <w:spacing w:line="240" w:lineRule="auto"/>
        <w:ind w:firstLine="0"/>
        <w:jc w:val="left"/>
        <w:rPr>
          <w:rFonts w:ascii="Abadi" w:hAnsi="Abadi" w:cstheme="minorHAnsi"/>
          <w:b/>
          <w:color w:val="ED7D31" w:themeColor="accent2"/>
          <w:szCs w:val="24"/>
        </w:rPr>
      </w:pPr>
    </w:p>
    <w:p w14:paraId="33EFC46C" w14:textId="142CFDF5" w:rsidR="00290A7F" w:rsidRPr="00DB6768" w:rsidRDefault="00C23DE6" w:rsidP="003D7DAE">
      <w:pPr>
        <w:spacing w:line="240" w:lineRule="auto"/>
        <w:ind w:firstLine="0"/>
        <w:rPr>
          <w:rFonts w:ascii="Abadi" w:eastAsia="Malgun Gothic" w:hAnsi="Abadi" w:cstheme="minorHAnsi"/>
          <w:bCs/>
          <w:szCs w:val="24"/>
          <w:vertAlign w:val="superscript"/>
        </w:rPr>
      </w:pPr>
      <w:r w:rsidRPr="00DB6768">
        <w:rPr>
          <w:rFonts w:ascii="Abadi" w:eastAsia="Malgun Gothic" w:hAnsi="Abadi" w:cstheme="minorHAnsi"/>
          <w:b/>
          <w:bCs/>
          <w:szCs w:val="24"/>
        </w:rPr>
        <w:t>Nadya Faiza Arienindita</w:t>
      </w:r>
      <w:r w:rsidRPr="00DB6768">
        <w:rPr>
          <w:rFonts w:ascii="Abadi" w:eastAsia="Malgun Gothic" w:hAnsi="Abadi" w:cstheme="minorHAnsi"/>
          <w:b/>
          <w:bCs/>
          <w:szCs w:val="24"/>
          <w:vertAlign w:val="superscript"/>
        </w:rPr>
        <w:t>1</w:t>
      </w:r>
      <w:r w:rsidRPr="00DB6768">
        <w:rPr>
          <w:rFonts w:ascii="Abadi" w:eastAsia="Malgun Gothic" w:hAnsi="Abadi" w:cstheme="minorHAnsi"/>
          <w:b/>
          <w:bCs/>
          <w:szCs w:val="24"/>
        </w:rPr>
        <w:t>, Iwan Purwanto</w:t>
      </w:r>
      <w:r w:rsidRPr="00DB6768">
        <w:rPr>
          <w:rFonts w:ascii="Abadi" w:eastAsia="Malgun Gothic" w:hAnsi="Abadi" w:cstheme="minorHAnsi"/>
          <w:b/>
          <w:bCs/>
          <w:szCs w:val="24"/>
          <w:vertAlign w:val="superscript"/>
        </w:rPr>
        <w:t>2</w:t>
      </w:r>
    </w:p>
    <w:p w14:paraId="104F2938" w14:textId="699A1D7C" w:rsidR="00290A7F" w:rsidRPr="00DB6768" w:rsidRDefault="00C23DE6" w:rsidP="003D7DAE">
      <w:pPr>
        <w:spacing w:line="240" w:lineRule="auto"/>
        <w:ind w:firstLine="0"/>
        <w:rPr>
          <w:rFonts w:ascii="Abadi" w:eastAsia="Malgun Gothic" w:hAnsi="Abadi" w:cstheme="minorHAnsi"/>
          <w:bCs/>
          <w:szCs w:val="24"/>
        </w:rPr>
      </w:pPr>
      <w:r w:rsidRPr="00DB6768">
        <w:rPr>
          <w:rFonts w:ascii="Abadi" w:eastAsia="Malgun Gothic" w:hAnsi="Abadi" w:cstheme="minorHAnsi"/>
          <w:bCs/>
          <w:szCs w:val="24"/>
        </w:rPr>
        <w:t>Pendidikan Ilmu Pengetahuan Sosial, UIN Syarif Hidayatullah Jakarta</w:t>
      </w:r>
    </w:p>
    <w:p w14:paraId="657CA92F" w14:textId="7A736183" w:rsidR="00A27059" w:rsidRPr="00DB6768" w:rsidRDefault="00A27059" w:rsidP="003D7DAE">
      <w:pPr>
        <w:spacing w:line="240" w:lineRule="auto"/>
        <w:ind w:firstLine="0"/>
        <w:rPr>
          <w:rFonts w:ascii="Abadi" w:eastAsia="Malgun Gothic" w:hAnsi="Abadi" w:cstheme="minorHAnsi"/>
          <w:bCs/>
          <w:szCs w:val="24"/>
        </w:rPr>
      </w:pPr>
    </w:p>
    <w:tbl>
      <w:tblPr>
        <w:tblW w:w="8556" w:type="dxa"/>
        <w:tblInd w:w="-116" w:type="dxa"/>
        <w:tblLook w:val="04A0" w:firstRow="1" w:lastRow="0" w:firstColumn="1" w:lastColumn="0" w:noHBand="0" w:noVBand="1"/>
      </w:tblPr>
      <w:tblGrid>
        <w:gridCol w:w="2886"/>
        <w:gridCol w:w="2693"/>
        <w:gridCol w:w="2977"/>
      </w:tblGrid>
      <w:tr w:rsidR="00A27059" w:rsidRPr="00DB6768" w14:paraId="06002976" w14:textId="77777777" w:rsidTr="005B67AA">
        <w:tc>
          <w:tcPr>
            <w:tcW w:w="2886" w:type="dxa"/>
            <w:shd w:val="clear" w:color="auto" w:fill="auto"/>
          </w:tcPr>
          <w:p w14:paraId="27068F4B" w14:textId="5C84390C" w:rsidR="00A27059" w:rsidRPr="00DB6768" w:rsidRDefault="00A27059" w:rsidP="003D7DAE">
            <w:pPr>
              <w:pStyle w:val="NoSpacing"/>
              <w:ind w:firstLine="0"/>
              <w:rPr>
                <w:rFonts w:ascii="Abadi" w:hAnsi="Abadi" w:cs="Calibri Light"/>
                <w:i/>
                <w:iCs/>
                <w:szCs w:val="24"/>
                <w:lang w:val="id-ID"/>
              </w:rPr>
            </w:pPr>
            <w:r w:rsidRPr="00DB6768">
              <w:rPr>
                <w:rFonts w:ascii="Abadi" w:hAnsi="Abadi" w:cs="Calibri Light"/>
                <w:i/>
                <w:iCs/>
                <w:szCs w:val="24"/>
                <w:lang w:val="id-ID"/>
              </w:rPr>
              <w:t>Dikirimkan:</w:t>
            </w:r>
            <w:r w:rsidRPr="00DB6768">
              <w:rPr>
                <w:rFonts w:ascii="Abadi" w:hAnsi="Abadi" w:cs="Calibri Light"/>
                <w:i/>
                <w:iCs/>
                <w:szCs w:val="24"/>
              </w:rPr>
              <w:t xml:space="preserve"> </w:t>
            </w:r>
            <w:r w:rsidR="00290A7F" w:rsidRPr="00DB6768">
              <w:rPr>
                <w:rFonts w:ascii="Abadi" w:hAnsi="Abadi" w:cs="Calibri Light"/>
                <w:szCs w:val="24"/>
              </w:rPr>
              <w:t>xx xxxxxx 202x</w:t>
            </w:r>
          </w:p>
        </w:tc>
        <w:tc>
          <w:tcPr>
            <w:tcW w:w="2693" w:type="dxa"/>
            <w:shd w:val="clear" w:color="auto" w:fill="auto"/>
          </w:tcPr>
          <w:p w14:paraId="41B3E84B" w14:textId="46AEB670" w:rsidR="00A27059" w:rsidRPr="00DB6768" w:rsidRDefault="00A27059" w:rsidP="003D7DAE">
            <w:pPr>
              <w:pStyle w:val="NoSpacing"/>
              <w:ind w:firstLine="0"/>
              <w:rPr>
                <w:rFonts w:ascii="Abadi" w:hAnsi="Abadi" w:cs="Calibri Light"/>
                <w:i/>
                <w:iCs/>
                <w:szCs w:val="24"/>
                <w:lang w:val="id-ID"/>
              </w:rPr>
            </w:pPr>
            <w:r w:rsidRPr="00DB6768">
              <w:rPr>
                <w:rFonts w:ascii="Abadi" w:hAnsi="Abadi" w:cs="Calibri Light"/>
                <w:i/>
                <w:iCs/>
                <w:szCs w:val="24"/>
                <w:lang w:val="id-ID"/>
              </w:rPr>
              <w:t xml:space="preserve">Direvisi: </w:t>
            </w:r>
            <w:r w:rsidR="00290A7F" w:rsidRPr="00DB6768">
              <w:rPr>
                <w:rFonts w:ascii="Abadi" w:hAnsi="Abadi" w:cs="Calibri Light"/>
                <w:szCs w:val="24"/>
              </w:rPr>
              <w:t>xx xxxxxx 202x</w:t>
            </w:r>
          </w:p>
        </w:tc>
        <w:tc>
          <w:tcPr>
            <w:tcW w:w="2977" w:type="dxa"/>
            <w:shd w:val="clear" w:color="auto" w:fill="auto"/>
          </w:tcPr>
          <w:p w14:paraId="2DE359FE" w14:textId="227B75B2" w:rsidR="00A27059" w:rsidRPr="00DB6768" w:rsidRDefault="00A27059" w:rsidP="003D7DAE">
            <w:pPr>
              <w:pStyle w:val="NoSpacing"/>
              <w:ind w:firstLine="0"/>
              <w:rPr>
                <w:rFonts w:ascii="Abadi" w:hAnsi="Abadi" w:cs="Calibri Light"/>
                <w:i/>
                <w:iCs/>
                <w:szCs w:val="24"/>
              </w:rPr>
            </w:pPr>
            <w:r w:rsidRPr="00DB6768">
              <w:rPr>
                <w:rFonts w:ascii="Abadi" w:hAnsi="Abadi" w:cs="Calibri Light"/>
                <w:i/>
                <w:iCs/>
                <w:szCs w:val="24"/>
                <w:lang w:val="id-ID"/>
              </w:rPr>
              <w:t xml:space="preserve">Diterbitkan: </w:t>
            </w:r>
            <w:r w:rsidR="00290A7F" w:rsidRPr="00DB6768">
              <w:rPr>
                <w:rFonts w:ascii="Abadi" w:hAnsi="Abadi" w:cs="Calibri Light"/>
                <w:szCs w:val="24"/>
              </w:rPr>
              <w:t>xx xxxxxx 202x</w:t>
            </w:r>
          </w:p>
        </w:tc>
      </w:tr>
    </w:tbl>
    <w:p w14:paraId="3BD10A38" w14:textId="0C122171" w:rsidR="009409B3" w:rsidRPr="00DB6768" w:rsidRDefault="009409B3" w:rsidP="003D7DAE">
      <w:pPr>
        <w:spacing w:line="240" w:lineRule="auto"/>
        <w:ind w:firstLine="0"/>
        <w:jc w:val="left"/>
        <w:rPr>
          <w:rFonts w:ascii="Abadi" w:hAnsi="Abadi" w:cstheme="minorHAnsi"/>
          <w:b/>
          <w:szCs w:val="24"/>
          <w:lang w:val="id-ID"/>
        </w:rPr>
      </w:pPr>
    </w:p>
    <w:p w14:paraId="5D81E8B9" w14:textId="2E99A42C" w:rsidR="009409B3" w:rsidRPr="00DB6768" w:rsidRDefault="00C23DE6" w:rsidP="003D7DAE">
      <w:pPr>
        <w:spacing w:line="240" w:lineRule="auto"/>
        <w:ind w:firstLine="0"/>
        <w:jc w:val="left"/>
        <w:rPr>
          <w:rFonts w:ascii="Abadi" w:hAnsi="Abadi" w:cstheme="minorHAnsi"/>
          <w:b/>
          <w:szCs w:val="24"/>
          <w:lang w:val="id-ID"/>
        </w:rPr>
      </w:pPr>
      <w:r w:rsidRPr="00DB6768">
        <w:rPr>
          <w:rFonts w:ascii="Abadi" w:hAnsi="Abadi" w:cstheme="minorHAnsi"/>
          <w:szCs w:val="24"/>
        </w:rPr>
        <mc:AlternateContent>
          <mc:Choice Requires="wps">
            <w:drawing>
              <wp:anchor distT="0" distB="0" distL="114300" distR="114300" simplePos="0" relativeHeight="251659264" behindDoc="0" locked="0" layoutInCell="1" allowOverlap="1" wp14:anchorId="6DC172E3" wp14:editId="6C7ECB3A">
                <wp:simplePos x="0" y="0"/>
                <wp:positionH relativeFrom="column">
                  <wp:posOffset>-26035</wp:posOffset>
                </wp:positionH>
                <wp:positionV relativeFrom="paragraph">
                  <wp:posOffset>19685</wp:posOffset>
                </wp:positionV>
                <wp:extent cx="5464810" cy="3225800"/>
                <wp:effectExtent l="0" t="0" r="2159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4810" cy="3225800"/>
                        </a:xfrm>
                        <a:prstGeom prst="rect">
                          <a:avLst/>
                        </a:prstGeom>
                        <a:solidFill>
                          <a:schemeClr val="accent2">
                            <a:lumMod val="20000"/>
                            <a:lumOff val="80000"/>
                          </a:schemeClr>
                        </a:solidFill>
                      </wps:spPr>
                      <wps:style>
                        <a:lnRef idx="3">
                          <a:schemeClr val="lt1"/>
                        </a:lnRef>
                        <a:fillRef idx="1">
                          <a:schemeClr val="accent2"/>
                        </a:fillRef>
                        <a:effectRef idx="1">
                          <a:schemeClr val="accent2"/>
                        </a:effectRef>
                        <a:fontRef idx="minor">
                          <a:schemeClr val="lt1"/>
                        </a:fontRef>
                      </wps:style>
                      <wps:txbx>
                        <w:txbxContent>
                          <w:p w14:paraId="19DA4D1E" w14:textId="79717725" w:rsidR="00C23DE6" w:rsidRPr="00DB6768" w:rsidRDefault="00EC3C66" w:rsidP="00C23DE6">
                            <w:pPr>
                              <w:pStyle w:val="Default"/>
                              <w:jc w:val="both"/>
                              <w:rPr>
                                <w:rFonts w:ascii="Abadi" w:hAnsi="Abadi" w:cs="Calibri Light"/>
                                <w:b/>
                                <w:bCs/>
                                <w:noProof/>
                                <w:color w:val="ED7D31" w:themeColor="accent2"/>
                              </w:rPr>
                            </w:pPr>
                            <w:r w:rsidRPr="00DB6768">
                              <w:rPr>
                                <w:rFonts w:ascii="Abadi" w:hAnsi="Abadi" w:cs="Calibri Light"/>
                                <w:b/>
                                <w:bCs/>
                                <w:noProof/>
                                <w:color w:val="ED7D31" w:themeColor="accent2"/>
                              </w:rPr>
                              <w:t>INTISARI</w:t>
                            </w:r>
                          </w:p>
                          <w:p w14:paraId="10F4C1A0" w14:textId="29E5485C" w:rsidR="00C23DE6" w:rsidRPr="00DB6768" w:rsidRDefault="00C23DE6" w:rsidP="00C23DE6">
                            <w:pPr>
                              <w:pStyle w:val="Default"/>
                              <w:jc w:val="both"/>
                              <w:rPr>
                                <w:rFonts w:ascii="Abadi" w:hAnsi="Abadi" w:cs="Calibri Light"/>
                                <w:b/>
                                <w:bCs/>
                                <w:noProof/>
                                <w:color w:val="ED7D31" w:themeColor="accent2"/>
                              </w:rPr>
                            </w:pPr>
                            <w:r w:rsidRPr="00DB6768">
                              <w:rPr>
                                <w:rFonts w:ascii="Abadi" w:hAnsi="Abadi" w:cs="Calibri Light"/>
                                <w:b/>
                                <w:bCs/>
                                <w:noProof/>
                                <w:color w:val="ED7D31" w:themeColor="accent2"/>
                              </w:rPr>
                              <w:tab/>
                            </w:r>
                            <w:r w:rsidR="000D23AB" w:rsidRPr="000D23AB">
                              <w:rPr>
                                <w:rFonts w:ascii="Abadi" w:hAnsi="Abadi"/>
                                <w:lang w:val="fi-FI"/>
                              </w:rPr>
                              <w:t>Keuangan hijau merupakan pendorong pembangunan berkelanjutan dan ekonomi hijau yang menggunakan sumber daya alam secara berkelanjutan. Tujuan dari penelitian ini adalah untuk mengetahui penerapan green finance dalam mendukung pembangunan berkelanjutan dan pelestarian budaya masyarakat Baduy. Metode penelitian ini menggunakan penelitian kualitatif dengan pendekatan studi kasus. Teknik pengumpulan data yang digunakan adalah teknik wawancara, observasi, dan dokumentasi. Hasil dari penelitian ini menunjukkan bahwa keuangan hijau tidak berdiri sendiri tetapi terkait dengan praktik ekonomi hijau dalam kehidupan sehari-hari. Hal ini dapat dilihat dari pemahaman dan aktivitas keseharian masyarakat Baduy serta dari beberapa indikator mulai dari aspek penggunaan hemat energi hingga aspek lingkungan dan ketaatan terhadap norma yang tercermin dalam adat budaya. Dengan adanya hal tersebut, masyarakat Baduy dengan berbagai karakteristiknya dapat berpartisipasi dan mempertahankan nilai-nilai adat yang mereka yakini. Implikasi dari penelitian ini diharapkan dapat menjadi alternatif dan dikembangkan sebagai model pembiayaan berkelanjutan yang inovatif dalam rangka menyediakan berbagai aspek kegiatan yang ramah lingkungan.</w:t>
                            </w:r>
                            <w:bookmarkStart w:id="5" w:name="_GoBack"/>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172E3" id="Rectangle 4" o:spid="_x0000_s1026" style="position:absolute;margin-left:-2.05pt;margin-top:1.55pt;width:430.3pt;height:2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" fillcolor="#fbe4d5 [661]" strokecolor="white [3201]" strokeweight="1.5pt">
                <v:path arrowok="t"/>
                <v:textbox>
                  <w:txbxContent>
                    <w:p w14:paraId="19DA4D1E" w14:textId="79717725" w:rsidR="00C23DE6" w:rsidRPr="00DB6768" w:rsidRDefault="00EC3C66" w:rsidP="00C23DE6">
                      <w:pPr>
                        <w:pStyle w:val="Default"/>
                        <w:jc w:val="both"/>
                        <w:rPr>
                          <w:rFonts w:ascii="Abadi" w:hAnsi="Abadi" w:cs="Calibri Light"/>
                          <w:b/>
                          <w:bCs/>
                          <w:noProof/>
                          <w:color w:val="ED7D31" w:themeColor="accent2"/>
                        </w:rPr>
                      </w:pPr>
                      <w:r w:rsidRPr="00DB6768">
                        <w:rPr>
                          <w:rFonts w:ascii="Abadi" w:hAnsi="Abadi" w:cs="Calibri Light"/>
                          <w:b/>
                          <w:bCs/>
                          <w:noProof/>
                          <w:color w:val="ED7D31" w:themeColor="accent2"/>
                        </w:rPr>
                        <w:t>INTISARI</w:t>
                      </w:r>
                    </w:p>
                    <w:p w14:paraId="10F4C1A0" w14:textId="29E5485C" w:rsidR="00C23DE6" w:rsidRPr="00DB6768" w:rsidRDefault="00C23DE6" w:rsidP="00C23DE6">
                      <w:pPr>
                        <w:pStyle w:val="Default"/>
                        <w:jc w:val="both"/>
                        <w:rPr>
                          <w:rFonts w:ascii="Abadi" w:hAnsi="Abadi" w:cs="Calibri Light"/>
                          <w:b/>
                          <w:bCs/>
                          <w:noProof/>
                          <w:color w:val="ED7D31" w:themeColor="accent2"/>
                        </w:rPr>
                      </w:pPr>
                      <w:r w:rsidRPr="00DB6768">
                        <w:rPr>
                          <w:rFonts w:ascii="Abadi" w:hAnsi="Abadi" w:cs="Calibri Light"/>
                          <w:b/>
                          <w:bCs/>
                          <w:noProof/>
                          <w:color w:val="ED7D31" w:themeColor="accent2"/>
                        </w:rPr>
                        <w:tab/>
                      </w:r>
                      <w:r w:rsidR="000D23AB" w:rsidRPr="000D23AB">
                        <w:rPr>
                          <w:rFonts w:ascii="Abadi" w:hAnsi="Abadi"/>
                          <w:lang w:val="fi-FI"/>
                        </w:rPr>
                        <w:t>Keuangan hijau merupakan pendorong pembangunan berkelanjutan dan ekonomi hijau yang menggunakan sumber daya alam secara berkelanjutan. Tujuan dari penelitian ini adalah untuk mengetahui penerapan green finance dalam mendukung pembangunan berkelanjutan dan pelestarian budaya masyarakat Baduy. Metode penelitian ini menggunakan penelitian kualitatif dengan pendekatan studi kasus. Teknik pengumpulan data yang digunakan adalah teknik wawancara, observasi, dan dokumentasi. Hasil dari penelitian ini menunjukkan bahwa keuangan hijau tidak berdiri sendiri tetapi terkait dengan praktik ekonomi hijau dalam kehidupan sehari-hari. Hal ini dapat dilihat dari pemahaman dan aktivitas keseharian masyarakat Baduy serta dari beberapa indikator mulai dari aspek penggunaan hemat energi hingga aspek lingkungan dan ketaatan terhadap norma yang tercermin dalam adat budaya. Dengan adanya hal tersebut, masyarakat Baduy dengan berbagai karakteristiknya dapat berpartisipasi dan mempertahankan nilai-nilai adat yang mereka yakini. Implikasi dari penelitian ini diharapkan dapat menjadi alternatif dan dikembangkan sebagai model pembiayaan berkelanjutan yang inovatif dalam rangka menyediakan berbagai aspek kegiatan yang ramah lingkungan.</w:t>
                      </w:r>
                      <w:bookmarkStart w:id="6" w:name="_GoBack"/>
                      <w:bookmarkEnd w:id="6"/>
                    </w:p>
                  </w:txbxContent>
                </v:textbox>
              </v:rect>
            </w:pict>
          </mc:Fallback>
        </mc:AlternateContent>
      </w:r>
    </w:p>
    <w:p w14:paraId="5BC9EE00" w14:textId="77777777" w:rsidR="009409B3" w:rsidRPr="00DB6768" w:rsidRDefault="009409B3" w:rsidP="003D7DAE">
      <w:pPr>
        <w:spacing w:line="240" w:lineRule="auto"/>
        <w:ind w:firstLine="0"/>
        <w:jc w:val="left"/>
        <w:rPr>
          <w:rFonts w:ascii="Abadi" w:hAnsi="Abadi" w:cstheme="minorHAnsi"/>
          <w:b/>
          <w:szCs w:val="24"/>
          <w:lang w:val="id-ID"/>
        </w:rPr>
      </w:pPr>
    </w:p>
    <w:p w14:paraId="6CBC6C4F" w14:textId="36CF26D3" w:rsidR="009409B3" w:rsidRPr="00DB6768" w:rsidRDefault="009409B3" w:rsidP="003D7DAE">
      <w:pPr>
        <w:spacing w:line="240" w:lineRule="auto"/>
        <w:ind w:firstLine="0"/>
        <w:jc w:val="left"/>
        <w:rPr>
          <w:rFonts w:ascii="Abadi" w:hAnsi="Abadi" w:cstheme="minorHAnsi"/>
          <w:b/>
          <w:szCs w:val="24"/>
          <w:lang w:val="id-ID"/>
        </w:rPr>
      </w:pPr>
    </w:p>
    <w:p w14:paraId="13940BA3" w14:textId="77777777" w:rsidR="009409B3" w:rsidRPr="00DB6768" w:rsidRDefault="009409B3" w:rsidP="003D7DAE">
      <w:pPr>
        <w:spacing w:line="240" w:lineRule="auto"/>
        <w:ind w:firstLine="0"/>
        <w:jc w:val="left"/>
        <w:rPr>
          <w:rFonts w:ascii="Abadi" w:hAnsi="Abadi" w:cstheme="minorHAnsi"/>
          <w:b/>
          <w:szCs w:val="24"/>
          <w:lang w:val="id-ID"/>
        </w:rPr>
      </w:pPr>
    </w:p>
    <w:p w14:paraId="318F2649" w14:textId="77777777" w:rsidR="009409B3" w:rsidRPr="00DB6768" w:rsidRDefault="009409B3" w:rsidP="003D7DAE">
      <w:pPr>
        <w:spacing w:line="240" w:lineRule="auto"/>
        <w:ind w:firstLine="0"/>
        <w:jc w:val="left"/>
        <w:rPr>
          <w:rFonts w:ascii="Abadi" w:hAnsi="Abadi" w:cstheme="minorHAnsi"/>
          <w:b/>
          <w:szCs w:val="24"/>
          <w:lang w:val="id-ID"/>
        </w:rPr>
      </w:pPr>
    </w:p>
    <w:p w14:paraId="5BBC8F97" w14:textId="77777777" w:rsidR="009409B3" w:rsidRPr="00DB6768" w:rsidRDefault="009409B3" w:rsidP="003D7DAE">
      <w:pPr>
        <w:spacing w:line="240" w:lineRule="auto"/>
        <w:ind w:firstLine="0"/>
        <w:jc w:val="left"/>
        <w:rPr>
          <w:rFonts w:ascii="Abadi" w:hAnsi="Abadi" w:cstheme="minorHAnsi"/>
          <w:b/>
          <w:szCs w:val="24"/>
          <w:lang w:val="id-ID"/>
        </w:rPr>
      </w:pPr>
    </w:p>
    <w:p w14:paraId="6BDD8239" w14:textId="3BF4D6E8" w:rsidR="009409B3" w:rsidRPr="00DB6768" w:rsidRDefault="009409B3" w:rsidP="003D7DAE">
      <w:pPr>
        <w:spacing w:line="240" w:lineRule="auto"/>
        <w:ind w:firstLine="0"/>
        <w:jc w:val="left"/>
        <w:rPr>
          <w:rFonts w:ascii="Abadi" w:hAnsi="Abadi" w:cstheme="minorHAnsi"/>
          <w:b/>
          <w:szCs w:val="24"/>
          <w:lang w:val="id-ID"/>
        </w:rPr>
      </w:pPr>
    </w:p>
    <w:p w14:paraId="2BD9B3E7" w14:textId="77777777" w:rsidR="009409B3" w:rsidRPr="00DB6768" w:rsidRDefault="009409B3" w:rsidP="003D7DAE">
      <w:pPr>
        <w:spacing w:line="240" w:lineRule="auto"/>
        <w:ind w:firstLine="0"/>
        <w:jc w:val="left"/>
        <w:rPr>
          <w:rFonts w:ascii="Abadi" w:hAnsi="Abadi" w:cstheme="minorHAnsi"/>
          <w:b/>
          <w:szCs w:val="24"/>
          <w:lang w:val="id-ID"/>
        </w:rPr>
      </w:pPr>
    </w:p>
    <w:p w14:paraId="59D76DAC" w14:textId="77777777" w:rsidR="009409B3" w:rsidRPr="00DB6768" w:rsidRDefault="009409B3" w:rsidP="003D7DAE">
      <w:pPr>
        <w:spacing w:line="240" w:lineRule="auto"/>
        <w:ind w:firstLine="0"/>
        <w:jc w:val="left"/>
        <w:rPr>
          <w:rFonts w:ascii="Abadi" w:hAnsi="Abadi" w:cstheme="minorHAnsi"/>
          <w:b/>
          <w:szCs w:val="24"/>
          <w:lang w:val="id-ID"/>
        </w:rPr>
      </w:pPr>
    </w:p>
    <w:p w14:paraId="389747A3" w14:textId="77777777" w:rsidR="009409B3" w:rsidRPr="00DB6768" w:rsidRDefault="009409B3" w:rsidP="003D7DAE">
      <w:pPr>
        <w:spacing w:line="240" w:lineRule="auto"/>
        <w:ind w:firstLine="0"/>
        <w:jc w:val="left"/>
        <w:rPr>
          <w:rFonts w:ascii="Abadi" w:hAnsi="Abadi" w:cstheme="minorHAnsi"/>
          <w:b/>
          <w:szCs w:val="24"/>
          <w:lang w:val="id-ID"/>
        </w:rPr>
      </w:pPr>
    </w:p>
    <w:p w14:paraId="1458D729" w14:textId="2A596CCC" w:rsidR="009409B3" w:rsidRPr="00DB6768" w:rsidRDefault="009409B3" w:rsidP="003D7DAE">
      <w:pPr>
        <w:spacing w:line="240" w:lineRule="auto"/>
        <w:ind w:firstLine="0"/>
        <w:jc w:val="left"/>
        <w:rPr>
          <w:rFonts w:ascii="Abadi" w:hAnsi="Abadi" w:cstheme="minorHAnsi"/>
          <w:b/>
          <w:szCs w:val="24"/>
          <w:lang w:val="id-ID"/>
        </w:rPr>
      </w:pPr>
    </w:p>
    <w:bookmarkEnd w:id="1"/>
    <w:p w14:paraId="353F60CD" w14:textId="06F39BE6" w:rsidR="009409B3" w:rsidRPr="00DB6768" w:rsidRDefault="009409B3" w:rsidP="003D7DAE">
      <w:pPr>
        <w:pStyle w:val="NoSpacing"/>
        <w:ind w:firstLine="0"/>
        <w:rPr>
          <w:rFonts w:ascii="Abadi" w:hAnsi="Abadi" w:cstheme="minorHAnsi"/>
          <w:b/>
          <w:color w:val="ED7D31" w:themeColor="accent2"/>
          <w:szCs w:val="24"/>
          <w:lang w:val="id-ID"/>
        </w:rPr>
      </w:pPr>
    </w:p>
    <w:p w14:paraId="7CDB9560" w14:textId="001B2BD2" w:rsidR="00703479" w:rsidRPr="00DB6768" w:rsidRDefault="00703479" w:rsidP="003D7DAE">
      <w:pPr>
        <w:pStyle w:val="NoSpacing"/>
        <w:ind w:firstLine="0"/>
        <w:rPr>
          <w:rFonts w:ascii="Abadi" w:hAnsi="Abadi" w:cstheme="minorHAnsi"/>
          <w:b/>
          <w:color w:val="ED7D31" w:themeColor="accent2"/>
          <w:szCs w:val="24"/>
          <w:lang w:val="id-ID"/>
        </w:rPr>
      </w:pPr>
    </w:p>
    <w:p w14:paraId="2D6CC3B9" w14:textId="409D5F09" w:rsidR="00C23DE6" w:rsidRPr="00DB6768" w:rsidRDefault="00C23DE6" w:rsidP="003D7DAE">
      <w:pPr>
        <w:pStyle w:val="NoSpacing"/>
        <w:ind w:firstLine="0"/>
        <w:rPr>
          <w:rFonts w:ascii="Abadi" w:hAnsi="Abadi" w:cstheme="minorHAnsi"/>
          <w:b/>
          <w:color w:val="ED7D31" w:themeColor="accent2"/>
          <w:szCs w:val="24"/>
          <w:lang w:val="id-ID"/>
        </w:rPr>
      </w:pPr>
    </w:p>
    <w:p w14:paraId="7053A16D" w14:textId="5364C589" w:rsidR="00C23DE6" w:rsidRPr="00DB6768" w:rsidRDefault="00C23DE6" w:rsidP="003D7DAE">
      <w:pPr>
        <w:pStyle w:val="NoSpacing"/>
        <w:ind w:firstLine="0"/>
        <w:rPr>
          <w:rFonts w:ascii="Abadi" w:hAnsi="Abadi" w:cstheme="minorHAnsi"/>
          <w:b/>
          <w:color w:val="ED7D31" w:themeColor="accent2"/>
          <w:szCs w:val="24"/>
          <w:lang w:val="id-ID"/>
        </w:rPr>
      </w:pPr>
    </w:p>
    <w:p w14:paraId="5BFB0B2F" w14:textId="48E8F1ED" w:rsidR="00C23DE6" w:rsidRPr="00DB6768" w:rsidRDefault="00C23DE6" w:rsidP="003D7DAE">
      <w:pPr>
        <w:pStyle w:val="NoSpacing"/>
        <w:ind w:firstLine="0"/>
        <w:rPr>
          <w:rFonts w:ascii="Abadi" w:hAnsi="Abadi" w:cstheme="minorHAnsi"/>
          <w:b/>
          <w:color w:val="ED7D31" w:themeColor="accent2"/>
          <w:szCs w:val="24"/>
          <w:lang w:val="id-ID"/>
        </w:rPr>
      </w:pPr>
    </w:p>
    <w:p w14:paraId="2B95E17F" w14:textId="2FF89B28" w:rsidR="00C23DE6" w:rsidRPr="00DB6768" w:rsidRDefault="00C23DE6" w:rsidP="003D7DAE">
      <w:pPr>
        <w:pStyle w:val="NoSpacing"/>
        <w:ind w:firstLine="0"/>
        <w:rPr>
          <w:rFonts w:ascii="Abadi" w:hAnsi="Abadi" w:cstheme="minorHAnsi"/>
          <w:b/>
          <w:color w:val="ED7D31" w:themeColor="accent2"/>
          <w:szCs w:val="24"/>
          <w:lang w:val="id-ID"/>
        </w:rPr>
      </w:pPr>
    </w:p>
    <w:p w14:paraId="3ABFFDA8" w14:textId="77777777" w:rsidR="00C23DE6" w:rsidRPr="00DB6768" w:rsidRDefault="00C23DE6" w:rsidP="003D7DAE">
      <w:pPr>
        <w:pStyle w:val="NoSpacing"/>
        <w:ind w:firstLine="0"/>
        <w:rPr>
          <w:rFonts w:ascii="Abadi" w:hAnsi="Abadi" w:cstheme="minorHAnsi"/>
          <w:b/>
          <w:color w:val="ED7D31" w:themeColor="accent2"/>
          <w:szCs w:val="24"/>
          <w:lang w:val="id-ID"/>
        </w:rPr>
      </w:pPr>
    </w:p>
    <w:p w14:paraId="66CE2BAA" w14:textId="77777777" w:rsidR="00DB6768" w:rsidRDefault="00DB6768" w:rsidP="003D7DAE">
      <w:pPr>
        <w:pStyle w:val="NoSpacing"/>
        <w:ind w:firstLine="0"/>
        <w:rPr>
          <w:rFonts w:ascii="Abadi" w:hAnsi="Abadi" w:cstheme="minorHAnsi"/>
          <w:b/>
          <w:color w:val="ED7D31" w:themeColor="accent2"/>
          <w:szCs w:val="24"/>
          <w:lang w:val="id-ID"/>
        </w:rPr>
      </w:pPr>
    </w:p>
    <w:p w14:paraId="52A56177" w14:textId="5747567F" w:rsidR="00703479" w:rsidRPr="00DB6768" w:rsidRDefault="00C23DE6" w:rsidP="003D7DAE">
      <w:pPr>
        <w:pStyle w:val="NoSpacing"/>
        <w:ind w:firstLine="0"/>
        <w:rPr>
          <w:rFonts w:ascii="Abadi" w:hAnsi="Abadi" w:cstheme="minorHAnsi"/>
          <w:b/>
          <w:color w:val="ED7D31" w:themeColor="accent2"/>
          <w:szCs w:val="24"/>
          <w:lang w:val="id-ID"/>
        </w:rPr>
      </w:pPr>
      <w:r w:rsidRPr="00DB6768">
        <w:rPr>
          <w:rFonts w:ascii="Abadi" w:hAnsi="Abadi" w:cstheme="minorHAnsi"/>
          <w:szCs w:val="24"/>
        </w:rPr>
        <mc:AlternateContent>
          <mc:Choice Requires="wps">
            <w:drawing>
              <wp:anchor distT="0" distB="0" distL="114300" distR="114300" simplePos="0" relativeHeight="251660288" behindDoc="0" locked="0" layoutInCell="1" allowOverlap="1" wp14:anchorId="7D6A3B48" wp14:editId="2C06A1CC">
                <wp:simplePos x="0" y="0"/>
                <wp:positionH relativeFrom="column">
                  <wp:posOffset>-19685</wp:posOffset>
                </wp:positionH>
                <wp:positionV relativeFrom="paragraph">
                  <wp:posOffset>23496</wp:posOffset>
                </wp:positionV>
                <wp:extent cx="5528945" cy="6286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945" cy="628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12CC19" w14:textId="1EEDDD19" w:rsidR="00EC3C66" w:rsidRPr="00826A6B" w:rsidRDefault="00EC3C66" w:rsidP="00D87EDA">
                            <w:pPr>
                              <w:pStyle w:val="Default"/>
                              <w:jc w:val="both"/>
                              <w:rPr>
                                <w:rFonts w:ascii="Calibri Light" w:hAnsi="Calibri Light" w:cs="Calibri Light"/>
                                <w:b/>
                                <w:bCs/>
                                <w:noProof/>
                                <w:color w:val="ED7D31" w:themeColor="accent2"/>
                                <w:sz w:val="22"/>
                                <w:szCs w:val="22"/>
                              </w:rPr>
                            </w:pPr>
                            <w:r>
                              <w:rPr>
                                <w:rFonts w:ascii="Calibri Light" w:hAnsi="Calibri Light" w:cs="Calibri Light"/>
                                <w:b/>
                                <w:bCs/>
                                <w:noProof/>
                                <w:color w:val="ED7D31" w:themeColor="accent2"/>
                                <w:sz w:val="22"/>
                                <w:szCs w:val="22"/>
                              </w:rPr>
                              <w:t>KATA KUNCI</w:t>
                            </w:r>
                          </w:p>
                          <w:p w14:paraId="2B75F1F7" w14:textId="46258721" w:rsidR="00EC3C66" w:rsidRPr="00DB6768" w:rsidRDefault="00C23DE6" w:rsidP="00C23DE6">
                            <w:pPr>
                              <w:ind w:firstLine="0"/>
                              <w:rPr>
                                <w:rFonts w:ascii="Abadi" w:hAnsi="Abadi"/>
                                <w:sz w:val="22"/>
                              </w:rPr>
                            </w:pPr>
                            <w:r w:rsidRPr="00DB6768">
                              <w:rPr>
                                <w:rFonts w:ascii="Abadi" w:hAnsi="Abadi"/>
                                <w:lang w:val="fi-FI"/>
                              </w:rPr>
                              <w:t>Green Finance, Green Economy, and Baduy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A3B48" id="Rectangle 5" o:spid="_x0000_s1027" style="position:absolute;left:0;text-align:left;margin-left:-1.55pt;margin-top:1.85pt;width:435.3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" filled="f" stroked="f">
                <v:textbox>
                  <w:txbxContent>
                    <w:p w14:paraId="6E12CC19" w14:textId="1EEDDD19" w:rsidR="00EC3C66" w:rsidRPr="00826A6B" w:rsidRDefault="00EC3C66" w:rsidP="00D87EDA">
                      <w:pPr>
                        <w:pStyle w:val="Default"/>
                        <w:jc w:val="both"/>
                        <w:rPr>
                          <w:rFonts w:ascii="Calibri Light" w:hAnsi="Calibri Light" w:cs="Calibri Light"/>
                          <w:b/>
                          <w:bCs/>
                          <w:noProof/>
                          <w:color w:val="ED7D31" w:themeColor="accent2"/>
                          <w:sz w:val="22"/>
                          <w:szCs w:val="22"/>
                        </w:rPr>
                      </w:pPr>
                      <w:r>
                        <w:rPr>
                          <w:rFonts w:ascii="Calibri Light" w:hAnsi="Calibri Light" w:cs="Calibri Light"/>
                          <w:b/>
                          <w:bCs/>
                          <w:noProof/>
                          <w:color w:val="ED7D31" w:themeColor="accent2"/>
                          <w:sz w:val="22"/>
                          <w:szCs w:val="22"/>
                        </w:rPr>
                        <w:t>KATA KUNCI</w:t>
                      </w:r>
                    </w:p>
                    <w:p w14:paraId="2B75F1F7" w14:textId="46258721" w:rsidR="00EC3C66" w:rsidRPr="00DB6768" w:rsidRDefault="00C23DE6" w:rsidP="00C23DE6">
                      <w:pPr>
                        <w:ind w:firstLine="0"/>
                        <w:rPr>
                          <w:rFonts w:ascii="Abadi" w:hAnsi="Abadi"/>
                          <w:sz w:val="22"/>
                        </w:rPr>
                      </w:pPr>
                      <w:r w:rsidRPr="00DB6768">
                        <w:rPr>
                          <w:rFonts w:ascii="Abadi" w:hAnsi="Abadi"/>
                          <w:lang w:val="fi-FI"/>
                        </w:rPr>
                        <w:t>Green Finance, Green Economy, and Baduy Community</w:t>
                      </w:r>
                    </w:p>
                  </w:txbxContent>
                </v:textbox>
              </v:rect>
            </w:pict>
          </mc:Fallback>
        </mc:AlternateContent>
      </w:r>
    </w:p>
    <w:p w14:paraId="5A50C76E" w14:textId="1579D6D2" w:rsidR="00290A7F" w:rsidRPr="00DB6768" w:rsidRDefault="00290A7F" w:rsidP="003D7DAE">
      <w:pPr>
        <w:pStyle w:val="NoSpacing"/>
        <w:ind w:firstLine="0"/>
        <w:rPr>
          <w:rFonts w:ascii="Abadi" w:hAnsi="Abadi" w:cstheme="minorHAnsi"/>
          <w:b/>
          <w:color w:val="ED7D31" w:themeColor="accent2"/>
          <w:szCs w:val="24"/>
          <w:lang w:val="id-ID"/>
        </w:rPr>
      </w:pPr>
      <w:r w:rsidRPr="00DB6768">
        <w:rPr>
          <w:rFonts w:ascii="Abadi" w:hAnsi="Abadi" w:cstheme="minorHAnsi"/>
          <w:b/>
          <w:color w:val="ED7D31" w:themeColor="accent2"/>
          <w:szCs w:val="24"/>
          <w:lang w:val="id-ID"/>
        </w:rPr>
        <w:br/>
      </w:r>
    </w:p>
    <w:p w14:paraId="45AE4D02" w14:textId="2E95FFBD" w:rsidR="009409B3" w:rsidRPr="00DB6768" w:rsidRDefault="009409B3" w:rsidP="003D7DAE">
      <w:pPr>
        <w:pStyle w:val="NoSpacing"/>
        <w:ind w:firstLine="0"/>
        <w:rPr>
          <w:rFonts w:ascii="Abadi" w:hAnsi="Abadi" w:cstheme="minorHAnsi"/>
          <w:b/>
          <w:color w:val="ED7D31" w:themeColor="accent2"/>
          <w:szCs w:val="24"/>
          <w:lang w:val="id-ID"/>
        </w:rPr>
      </w:pPr>
      <w:r w:rsidRPr="00DB6768">
        <w:rPr>
          <w:rFonts w:ascii="Abadi" w:hAnsi="Abadi" w:cstheme="minorHAnsi"/>
          <w:b/>
          <w:color w:val="ED7D31" w:themeColor="accent2"/>
          <w:szCs w:val="24"/>
          <w:lang w:val="id-ID"/>
        </w:rPr>
        <w:t>Pendahuluan</w:t>
      </w:r>
    </w:p>
    <w:p w14:paraId="134281C7" w14:textId="312334C2" w:rsidR="00290A7F" w:rsidRPr="00DB6768" w:rsidRDefault="009A2AD6" w:rsidP="003D7DAE">
      <w:pPr>
        <w:pStyle w:val="NoSpacing"/>
        <w:ind w:firstLine="720"/>
        <w:rPr>
          <w:rFonts w:ascii="Abadi" w:eastAsia="Lustria" w:hAnsi="Abadi" w:cs="Lustria"/>
          <w:color w:val="000000"/>
          <w:szCs w:val="24"/>
        </w:rPr>
      </w:pPr>
      <w:r w:rsidRPr="00DB6768">
        <w:rPr>
          <w:rFonts w:ascii="Abadi" w:eastAsia="Lustria" w:hAnsi="Abadi" w:cs="Lustria"/>
          <w:color w:val="000000"/>
          <w:szCs w:val="24"/>
        </w:rPr>
        <w:t xml:space="preserve">Perubahan iklim merupakan topik penting di tingkat global mengingat dampaknya terhadap sektor rill dan keuangan, </w:t>
      </w:r>
      <w:r w:rsidR="00FB4684" w:rsidRPr="00DB6768">
        <w:rPr>
          <w:rFonts w:ascii="Abadi" w:eastAsia="Lustria" w:hAnsi="Abadi" w:cs="Lustria"/>
          <w:color w:val="000000"/>
          <w:szCs w:val="24"/>
        </w:rPr>
        <w:t>serta biaya remediasi, perubahan iklim dapat secara signifikan mempengaruhi pelaksanaan kebijakan fiskal dan moneter, sehingga dapat mencapai dan mempertahankan stabilitas harga dan keuangan</w:t>
      </w:r>
      <w:r w:rsidR="00996814" w:rsidRPr="00DB6768">
        <w:rPr>
          <w:rFonts w:ascii="Abadi" w:eastAsia="Lustria" w:hAnsi="Abadi" w:cs="Lustria"/>
          <w:color w:val="000000"/>
          <w:szCs w:val="24"/>
        </w:rPr>
        <w:t xml:space="preserve">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{"citationItems":[{"id":"ITEM-1","itemData":{"DOI":"10.2478/jcbtp-2023-0019","ISSN":"23369205","abstract":"Green finance is the basis for the development of sustainable financing of environmental projects with the aim of respecting environmental and social aspects in making investment decisions. The development of green finance enables a green transition towards economic growth that will be sustainable in the long run because it is based on the principles of preserving the environment and reducing the risk of climate change. This creates a basis for preserving macroeconomic stability based on the development of new alternative sources of financing. The aim of this paper is to present green finance, with special reference to Serbia. The paper covers the regulation of green finance, but also the analysis of green finance instruments in terms of types and features and their development.","author":[{"dropping-particle":"","family":"Martin","given":"Vesna","non-dropping-particle":"","parse-names":false,"suffix":""}],"container-title":"Journal of Central Banking Theory and Practice","id":"ITEM-1","issue":"2","issued":{"date-parts":[["2023"]]},"page":"185-209","title":"Green Finance: Regulation and Instruments","type":"article-journal","volume":"12"},"uris":["http://www.mendeley.com/documents/?uuid=eba6849e-a07d-4e5d-a14b-15e6cd39162a"]}],"mendeley":{"formattedCitation":"(Martin, 2023)","plainTextFormattedCitation":"(Martin, 2023)","previouslyFormattedCitation":"(Martin, 2023)"},"properties":{"noteIndex":0},"schema":"https://github.com/citation-style-language/schema/raw/master/csl-citation.json"}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(Martin, 2023)</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r w:rsidR="00FB4684" w:rsidRPr="00DB6768">
        <w:rPr>
          <w:rFonts w:ascii="Abadi" w:eastAsia="Lustria" w:hAnsi="Abadi" w:cs="Lustria"/>
          <w:color w:val="000000"/>
          <w:szCs w:val="24"/>
        </w:rPr>
        <w:t>Hal ini dikarenakan pertumbuhan di negara berkembang cenderung menghasilkan emisi karbon dalam jumlah besar</w:t>
      </w:r>
      <w:r w:rsidRPr="00DB6768">
        <w:rPr>
          <w:rFonts w:ascii="Abadi" w:eastAsia="Lustria" w:hAnsi="Abadi" w:cs="Lustria"/>
          <w:color w:val="000000"/>
          <w:szCs w:val="24"/>
        </w:rPr>
        <w:t xml:space="preserve">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{"citationItems":[{"id":"ITEM-1","itemData":{"DOI":"10.54957/jolas.v4i1.743","abstract":"Pembiayaan hijau ditujukan untuk mendorong pelaku usaha agar mengalihkan proses bisnisnya menuju proses bisnis yang rendah karbon dan ramah lingkungan. Penelitian ini bertujuan untuk untuk mendeskripsikan potensi penerapan pembiayaan hijau di Indonesia, dengan mengacu pada praktik pembiayaan hijau yang telah berlaku di beberapa negara di dunia. Selain itu, penelitian ini juga mengulas mengenai potensi penurunan emisi karbon melalui penerapan pembiayaan hijau, dengan cara memetakan hubungan penerapan pembiayaan hijau dan penurunan jumlah emisi karbon pada beberapa negara yang telah melaksanakan praktik pembiayaan hijau. Penelitian ini dilakukan dengan menggunakan metode kualitatif dengan teknik content analysis serta teknik scoping review yang berasal dari buku, artikel dalam jurnal internasional, serta working paper. Studi ini menyimpulkan bahwa Indonesia berpotensi menurunkan jumlah emisi karbon melalui implementasi pembiayaan hijau yang ekstensif dan inklusif dengan melakukan benchmarking kepada negara-negara yang telah menerapkan pembiayaan hijau seperti Korea Selatan dan Singapura. Adapun bentuk kebijakan pembiayaan hijau yang dapat dilakukan meliputi pemberian pinjaman hijau (green loan), penerbitan obligasi hijau (green bonds), pembentukan dana khusus berupa State-Owned Environmental Fund, dan bantuan keuangan bagi sektor industri dengan kinerja pengelolaan lingkungan yang baik/ramah lingkungan. Selain itu, hasil penelitian di beberapa negara menunjukan bahwa penerapan pembiayaan hijau berperan secara signifikan dalam menurunkan jumlah emisi karbon. Implementasi pembiayaan hijau akan mendorong perusahaan, pelaku usaha, serta masyarakat untuk dapat beralih kepada produk/kegiatan yang bersifat ramah lingkungan demi mendapatkan insentif.","author":[{"dropping-particle":"","family":"Pratama","given":"Bintang Adi","non-dropping-particle":"","parse-names":false,"suffix":""},{"dropping-particle":"","family":"Firmansyah","given":"Amrie","non-dropping-particle":"","parse-names":false,"suffix":""}],"container-title":"Journal of Law, Administration, and Social Science","id":"ITEM-1","issue":"1","issued":{"date-parts":[["2024"]]},"page":"150-160","title":"Pembiayaan Hijau: Akselerasi Pembangunan Berkelanjutan Demi Mencapai Net Zero Emission","type":"article-journal","volume":"4"},"uris":["http://www.mendeley.com/documents/?uuid=e6c5ab24-1cd4-49a9-a5e3-0994c3977aed"]}],"mendeley":{"formattedCitation":"(Pratama &amp; Firmansyah, 2024)","plainTextFormattedCitation":"(Pratama &amp; Firmansyah, 2024)","previouslyFormattedCitation":"(Pratama &amp; Firmansyah, 2024)"},"properties":{"noteIndex":0},"schema":"https://github.com/citation-style-language/schema/raw/master/csl-citation.json"}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(Pratama &amp; Firmansyah, 2024)</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r w:rsidR="00FB4684" w:rsidRPr="00DB6768">
        <w:rPr>
          <w:rFonts w:ascii="Abadi" w:eastAsia="Lustria" w:hAnsi="Abadi" w:cs="Lustria"/>
          <w:color w:val="000000"/>
          <w:szCs w:val="24"/>
        </w:rPr>
        <w:t>Selain itu, hal tersebut dapat menyebabkan kerusakan lingkungan yang disebabkan oleh tindakan manusia yang mengeksploitasi sumber daya alam. Masalah pemanasan global ini telah menyebabkan perubahan iklim yang berdampak besar terhadap ekonomi, sosial, dan lingkungan atau biasa disebut dengan pembangunan berkelanjutan</w:t>
      </w:r>
      <w:r w:rsidRPr="00DB6768">
        <w:rPr>
          <w:rFonts w:ascii="Abadi" w:eastAsia="Lustria" w:hAnsi="Abadi" w:cs="Lustria"/>
          <w:color w:val="000000"/>
          <w:szCs w:val="24"/>
        </w:rPr>
        <w:t xml:space="preserve">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{"citationItems":[{"id":"ITEM-1","itemData":{"DOI":"10.15575/prestise.v3i1.30446","ISSN":"2809-1930","abstract":"Green economy merupakan ekonomi yang menghasilkan kesejahteraan manusia yang lebih baik, menghasilkan keadilan sosial dan secara signifikan mengurangi resiko-resiko lingkungan dan kelangkaan-kelangkaan ekoligis. Penelitian ini bertujuan untuk menjelaskan bagaimana penerapan green economy dalam kehidupan saat ini. Kajian ini juga membahas tentang implementasi dalam pengembangan green economy. Dalam kajian ini, metode yang digunakan adalah metode deskriptif-kualitatif, yang mendeskripsikan bahwa pemerintah Indonesia dalam pengurangan emisi karbon yang semakin meningkat akibat berbagai kegiatan ekonomi seperti industri. Dalam hal tersebut pemerintah lebih mengedepankan dan mengutamakan berbagai aspek kelestarian lingkungan seperti peningkatan efesien dan efektivitas produksi dalam sumber daya, pengembangan bahan baku ramah lingkungan dan mengembangan produk hijau. Kata kunci: Green Economy, lingkungan","author":[{"dropping-particle":"","family":"Aisah","given":"Andini","non-dropping-particle":"","parse-names":false,"suffix":""},{"dropping-particle":"","family":"Rahmadia","given":"Faradisha Intan","non-dropping-particle":"","parse-names":false,"suffix":""},{"dropping-particle":"","family":"Mentari","given":"Genistia","non-dropping-particle":"","parse-names":false,"suffix":""},{"dropping-particle":"","family":"Permana","given":"Iwan","non-dropping-particle":"","parse-names":false,"suffix":""}],"container-title":"Prestise: Jurnal Pengabdian Kepada Masyarakat Bidang Ekonomi dan Bisnis","id":"ITEM-1","issue":"1","issued":{"date-parts":[["2023"]]},"page":"16-31","title":"Analisis Implementasi Green Economy di Indonesia","type":"article-journal","volume":"3"},"uris":["http://www.mendeley.com/documents/?uuid=4c9c7ecd-67d8-4f1e-9232-f14f6003e1c7"]}],"mendeley":{"formattedCitation":"(Aisah et al., 2023)","plainTextFormattedCitation":"(Aisah et al., 2023)","previouslyFormattedCitation":"(Aisah et al., 2023)"},"properties":{"noteIndex":0},"schema":"https://github.com/citation-style-language/schema/raw/master/csl-citation.json"}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(Aisah et al., 2023)</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r w:rsidR="00FB4684" w:rsidRPr="00DB6768">
        <w:rPr>
          <w:rFonts w:ascii="Abadi" w:eastAsia="Lustria" w:hAnsi="Abadi" w:cs="Lustria"/>
          <w:color w:val="000000"/>
          <w:szCs w:val="24"/>
        </w:rPr>
        <w:t xml:space="preserve">Untuk mengatasi tantangan </w:t>
      </w:r>
      <w:r w:rsidR="00FB4684" w:rsidRPr="00DB6768">
        <w:rPr>
          <w:rFonts w:ascii="Abadi" w:eastAsia="Lustria" w:hAnsi="Abadi" w:cs="Lustria"/>
          <w:color w:val="000000"/>
          <w:szCs w:val="24"/>
        </w:rPr>
        <w:lastRenderedPageBreak/>
        <w:t>tersebut, diperlukan faktor pemungkin yang dapat mempercepat terwujudnya pembangunan rendah karbon. Salah satu sektor utama dalam pembangunan adalah sektor keuangan yang harus mengambil peran penting dalam percepatan pencapaian target net zero emission melalui green finance, dan peran pemerintah perlu terus mendukung pembangunan ekonomi dan manufaktur dengan tetap memperhatikan lingkungan</w:t>
      </w:r>
      <w:r w:rsidRPr="00DB6768">
        <w:rPr>
          <w:rFonts w:ascii="Abadi" w:eastAsia="Lustria" w:hAnsi="Abadi" w:cs="Lustria"/>
          <w:color w:val="000000"/>
          <w:szCs w:val="24"/>
        </w:rPr>
        <w:t xml:space="preserve">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{"citationItems":[{"id":"ITEM-1","itemData":{"DOI":"10.54957/jolas.v4i1.743","abstract":"Pembiayaan hijau ditujukan untuk mendorong pelaku usaha agar mengalihkan proses bisnisnya menuju proses bisnis yang rendah karbon dan ramah lingkungan. Penelitian ini bertujuan untuk untuk mendeskripsikan potensi penerapan pembiayaan hijau di Indonesia, dengan mengacu pada praktik pembiayaan hijau yang telah berlaku di beberapa negara di dunia. Selain itu, penelitian ini juga mengulas mengenai potensi penurunan emisi karbon melalui penerapan pembiayaan hijau, dengan cara memetakan hubungan penerapan pembiayaan hijau dan penurunan jumlah emisi karbon pada beberapa negara yang telah melaksanakan praktik pembiayaan hijau. Penelitian ini dilakukan dengan menggunakan metode kualitatif dengan teknik content analysis serta teknik scoping review yang berasal dari buku, artikel dalam jurnal internasional, serta working paper. Studi ini menyimpulkan bahwa Indonesia berpotensi menurunkan jumlah emisi karbon melalui implementasi pembiayaan hijau yang ekstensif dan inklusif dengan melakukan benchmarking kepada negara-negara yang telah menerapkan pembiayaan hijau seperti Korea Selatan dan Singapura. Adapun bentuk kebijakan pembiayaan hijau yang dapat dilakukan meliputi pemberian pinjaman hijau (green loan), penerbitan obligasi hijau (green bonds), pembentukan dana khusus berupa State-Owned Environmental Fund, dan bantuan keuangan bagi sektor industri dengan kinerja pengelolaan lingkungan yang baik/ramah lingkungan. Selain itu, hasil penelitian di beberapa negara menunjukan bahwa penerapan pembiayaan hijau berperan secara signifikan dalam menurunkan jumlah emisi karbon. Implementasi pembiayaan hijau akan mendorong perusahaan, pelaku usaha, serta masyarakat untuk dapat beralih kepada produk/kegiatan yang bersifat ramah lingkungan demi mendapatkan insentif.","author":[{"dropping-particle":"","family":"Pratama","given":"Bintang Adi","non-dropping-particle":"","parse-names":false,"suffix":""},{"dropping-particle":"","family":"Firmansyah","given":"Amrie","non-dropping-particle":"","parse-names":false,"suffix":""}],"container-title":"Journal of Law, Administration, and Social Science","id":"ITEM-1","issue":"1","issued":{"date-parts":[["2024"]]},"page":"150-160","title":"Pembiayaan Hijau: Akselerasi Pembangunan Berkelanjutan Demi Mencapai Net Zero Emission","type":"article-journal","volume":"4"},"uris":["http://www.mendeley.com/documents/?uuid=e6c5ab24-1cd4-49a9-a5e3-0994c3977aed"]}],"mendeley":{"formattedCitation":"(Pratama &amp; Firmansyah, 2024)","plainTextFormattedCitation":"(Pratama &amp; Firmansyah, 2024)","previouslyFormattedCitation":"(Pratama &amp; Firmansyah, 2024)"},"properties":{"noteIndex":0},"schema":"https://github.com/citation-style-language/schema/raw/master/csl-citation.json"}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(Pratama &amp; Firmansyah, 2024)</w:t>
      </w:r>
      <w:r w:rsidRPr="00DB6768">
        <w:rPr>
          <w:rFonts w:ascii="Abadi" w:eastAsia="Lustria" w:hAnsi="Abadi" w:cs="Lustria"/>
          <w:color w:val="000000"/>
          <w:szCs w:val="24"/>
        </w:rPr>
        <w:fldChar w:fldCharType="end"/>
      </w:r>
      <w:r w:rsidRPr="00DB6768">
        <w:rPr>
          <w:rFonts w:ascii="Abadi" w:eastAsia="Lustria" w:hAnsi="Abadi" w:cs="Lustria"/>
          <w:color w:val="000000"/>
          <w:szCs w:val="24"/>
        </w:rPr>
        <w:t>.</w:t>
      </w:r>
    </w:p>
    <w:p w14:paraId="20942B78" w14:textId="36B4D37A" w:rsidR="009A2AD6" w:rsidRPr="00DB6768" w:rsidRDefault="009A2AD6" w:rsidP="003D7DAE">
      <w:pPr>
        <w:pStyle w:val="NoSpacing"/>
        <w:ind w:firstLine="0"/>
        <w:rPr>
          <w:rFonts w:ascii="Abadi" w:eastAsia="Lustria" w:hAnsi="Abadi" w:cs="Lustria"/>
          <w:color w:val="000000"/>
          <w:szCs w:val="24"/>
        </w:rPr>
      </w:pPr>
      <w:r w:rsidRPr="00DB6768">
        <w:rPr>
          <w:rFonts w:ascii="Abadi" w:eastAsia="Lustria" w:hAnsi="Abadi" w:cs="Lustria"/>
          <w:color w:val="000000"/>
          <w:szCs w:val="24"/>
        </w:rPr>
        <w:tab/>
      </w:r>
      <w:r w:rsidR="00FB4684" w:rsidRPr="00DB6768">
        <w:rPr>
          <w:rFonts w:ascii="Abadi" w:eastAsia="Lustria" w:hAnsi="Abadi" w:cs="Lustria"/>
          <w:color w:val="000000"/>
          <w:szCs w:val="24"/>
        </w:rPr>
        <w:t>Transisi menuju pembangunan ekonomi yang berkelanjutan membutuhkan lebih banyak uang untuk diinvestasikan dengan cara-cara yang ramah lingkungan, terutama dalam membuat barang dengan jejak karbon rendah dengan menggunakan energi secara cerdas dan memperbaiki jalan dan bangunan, meningkatkan kesejahteraan masyarakat tanpa merusak lingkungan</w:t>
      </w:r>
      <w:r w:rsidRPr="00DB6768">
        <w:rPr>
          <w:rFonts w:ascii="Abadi" w:eastAsia="Lustria" w:hAnsi="Abadi" w:cs="Lustria"/>
          <w:color w:val="000000"/>
          <w:szCs w:val="24"/>
        </w:rPr>
        <w:t xml:space="preserve">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{"citationItems":[{"id":"ITEM-1","itemData":{"DOI":"10.1088/1757-899X/753/7/072003","ISSN":"1757899X","abstract":"The article is devoted to the study of environmentally responsible (green) banking and the analysis \"green\" practice in Russia and abroad. The article develops the thesis about the importance of greening of financial decisions of commercial banks to create a sustainable economy. Based on the opinions of different researchers, the author's decision that environmentally responsible banking is a strategically important format of bank activity, which guarantees the synergy of four effects: increasing the economic efficiency of banks, forming the social image of banks, reducing the harmful effects on the ecosystem and generating future social benefits. The authors systematized internal and external elements of green banking. Internal elements are remote methods of customer service, the introduction of paperless workflow and \"smart\" equipment. External elements include green lending, issue of green securities, affinity card issuance and ecology charity. Comparative analysis in the BRICS countries showed that the most progressive \"green\" practice is implemented in Brazil and China. India and Russia took a backward position. It is established that the Bank of Russia, unlike regulators of other countries, does not play the role of \"driver\" of ecologically responsible activity of commercial banks.","author":[{"dropping-particle":"","family":"Shershneva","given":"E. G.","non-dropping-particle":"","parse-names":false,"suffix":""},{"dropping-particle":"","family":"Kondyukova","given":"E. S.","non-dropping-particle":"","parse-names":false,"suffix":""}],"container-title":"IOP Conference Series: Materials Science and Engineering","id":"ITEM-1","issue":"7","issued":{"date-parts":[["2020"]]},"title":"Green Banking as a Progressive Format of Financial Activity in Transition to Sustainable Economy","type":"article-journal","volume":"753"},"uris":["http://www.mendeley.com/documents/?uuid=7c8a2b47-17bd-4e70-a810-78ef714f0f99"]}],"mendeley":{"formattedCitation":"(Shershneva &amp; Kondyukova, 2020)","plainTextFormattedCitation":"(Shershneva &amp; Kondyukova, 2020)","previouslyFormattedCitation":"(Shershneva &amp; Kondyukova, 2020)"},"properties":{"noteIndex":0},"schema":"https://github.com/citation-style-language/schema/raw/master/csl-citation.json"}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(Shershneva &amp; Kondyukova, 2020)</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r w:rsidR="00FB4684" w:rsidRPr="00DB6768">
        <w:rPr>
          <w:rFonts w:ascii="Abadi" w:eastAsia="Lustria" w:hAnsi="Abadi" w:cs="Lustria"/>
          <w:color w:val="000000"/>
          <w:szCs w:val="24"/>
        </w:rPr>
        <w:t>Menurut Ahmad et al, dalam penelitian Hartuti, ketidakstabilan dalam menjaga kelestarian lingkungan akan memberikan dampak negatif bagi masyarakat, khususnya di pedesaan Baduy</w:t>
      </w:r>
      <w:r w:rsidRPr="00DB6768">
        <w:rPr>
          <w:rFonts w:ascii="Abadi" w:eastAsia="Lustria" w:hAnsi="Abadi" w:cs="Lustria"/>
          <w:color w:val="000000"/>
          <w:szCs w:val="24"/>
        </w:rPr>
        <w:t xml:space="preserve"> </w:t>
      </w:r>
      <w:r w:rsidRPr="00DB6768">
        <w:rPr>
          <w:rFonts w:ascii="Abadi" w:eastAsia="Lustria" w:hAnsi="Abadi" w:cs="Lustria"/>
          <w:color w:val="000000"/>
          <w:szCs w:val="24"/>
        </w:rPr>
        <w:fldChar w:fldCharType="begin" w:fldLock="1"/>
      </w:r>
      <w:r w:rsidR="00FB4684" w:rsidRPr="00DB6768">
        <w:rPr>
          <w:rFonts w:ascii="Abadi" w:eastAsia="Lustria" w:hAnsi="Abadi" w:cs="Lustria"/>
          <w:color w:val="000000"/>
          <w:szCs w:val="24"/>
        </w:rPr>
        <w:instrText>ADDIN CSL_CITATION {"citationItems":[{"id":"ITEM-1","itemData":{"abstract":"Development paradigm in Indonesia has been focused on growth, making our living environment is burdened with various pollution and environmental damages. Excessive exploitation of natural resources has been resulting increase in poverty to the majority of the people. Business is often pointed as the main cause of this problem, besides greediness of the people. Therefore, environmental law should be well implemented, pairing with good policies. The responsibility lies in everyone's shoulder, especially the stakeholders.","author":[{"dropping-particle":"","family":"Purnaweni","given":"Hartuti","non-dropping-particle":"","parse-names":false,"suffix":""}],"container-title":"“Dialogue” JIAKP","id":"ITEM-1","issued":{"date-parts":[["2004"]]},"page":"500-512","title":"Implementasi Kebijakan Lingkungan Di Indonesia: Hambatan Dan Tuntutan","type":"article-journal","volume":"1"},"uris":["http://www.mendeley.com/documents/?uuid=041d9884-c9b6-4b56-b588-0536591cf788"]}],"mendeley":{"formattedCitation":"(Purnaweni, 2004)","plainTextFormattedCitation":"(Purnaweni, 2004)","previouslyFormattedCitation":"(Purnaweni, 2004)"},"properties":{"noteIndex":0},"schema":"https://github.com/citation-style-language/schema/raw/master/csl-citation.json"}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(Purnaweni, 2004)</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r w:rsidR="00FB4684" w:rsidRPr="00DB6768">
        <w:rPr>
          <w:rFonts w:ascii="Abadi" w:eastAsia="Lustria" w:hAnsi="Abadi" w:cs="Lustria"/>
          <w:color w:val="000000"/>
          <w:szCs w:val="24"/>
        </w:rPr>
        <w:t xml:space="preserve">Sedangkan penelitian Mirajiani, pengetahuan masyarakat Baduy dalam pembangunan hanya mencakup aspek sosial yang berkaitan dengan kepercayaan dan sistem kelembagaan masyarakat dan aspek ekonomi sebagai mata pencaharian keluarga. Artinya, mereka tidak memiliki pengetahuan formal tentang keuangan modern </w:t>
      </w:r>
      <w:r w:rsidR="00FB4684" w:rsidRPr="00DB6768">
        <w:rPr>
          <w:rFonts w:ascii="Abadi" w:eastAsia="Lustria" w:hAnsi="Abadi" w:cs="Lustria"/>
          <w:color w:val="000000"/>
          <w:szCs w:val="24"/>
        </w:rPr>
        <w:fldChar w:fldCharType="begin" w:fldLock="1"/>
      </w:r>
      <w:r w:rsidR="00FB4684" w:rsidRPr="00DB6768">
        <w:rPr>
          <w:rFonts w:ascii="Abadi" w:eastAsia="Lustria" w:hAnsi="Abadi" w:cs="Lustria"/>
          <w:color w:val="000000"/>
          <w:szCs w:val="24"/>
        </w:rPr>
        <w:instrText>ADDIN CSL_CITATION {"citationItems":[{"id":"ITEM-1","itemData":{"DOI":"10.59066/jppm.v1i1.2","ISSN":"2830-5965","abstract":"The Baduy Indigenous Community's livelihood system, like society in general, of course interacts, socializes and produces a value system that applies in life based on a distinctive cultural system. The Baduy Indigenous Community implements local knowledge in social, economic, cultural and agricultural systems and logistics systems, in an effort to meet food needs. The method in this research is a descriptive method with a qualitative approach, which is carried out in the Baduy Indigenous Community. The Baduy community religiously believe in God, the belief of the Indigenous Baduy community is referred to as Sunda Wiwitan who believes in ancestral spirits (animism), in its development it is also influenced by Buddhism, Hinduism, and Islam. Local knowledge in the social institutions of the Indigenous Baduy Community can cover several aspects including: social aspects related to trust and leadership as well as community institutional systems, and economic aspects related to family livelihoods as an effort to fulfill food needs. Sociologically and anthropologically, the Baduy Indigenous people's paddy fields do not change the contours of the land, so as not to damage the surrounding environment used in agricultural activities, intercropping between vegetables and tubers, to maximize agricultural yields. The Baduy Indigenous People have a logistics system that is integrated with the rules of customs and traditions, to ensure the availability and authenticity of local commodities as staple food, with decent, equitable and affordable quality and sustainable to be used by the Baduy Indigenous Peoples, in supporting the fulfillment of food needs. In fulfilling other food security, it is obtained from the use of forest resources, plantations, livestock and selling accessories typical of Baduy, as well as woven fabrics to visitors, or traveling to sell, and being a tour guide for tourists visiting Baduy. Social institutions based on local knowledge, make the Baduy Indigenous People able to meet their basic needs for natural resources and existing human resources, and are carried out independently without depending on other parties, in fulfillment of food needs.","author":[{"dropping-particle":"","family":"Mirajiani","given":"Mirajiani","non-dropping-particle":"","parse-names":false,"suffix":""},{"dropping-particle":"","family":"Widi","given":"Siti Widiati","non-dropping-particle":"","parse-names":false,"suffix":""}],"container-title":"Jurnal Penyuluhan dan Pemberdayaan Masyarakat","id":"ITEM-1","issue":"1","issued":{"date-parts":[["2022"]]},"page":"1-8","title":"Pengetahuan Lokal Masyarakat Adat Baduy Dalam Pranata Sosial Untuk Menunjang Ketahanan Pangan","type":"article-journal","volume":"1"},"uris":["http://www.mendeley.com/documents/?uuid=566ee2d5-de86-42cc-9d5b-4923a10626af"]}],"mendeley":{"formattedCitation":"(Mirajiani &amp; Widi, 2022)","plainTextFormattedCitation":"(Mirajiani &amp; Widi, 2022)","previouslyFormattedCitation":"(Mirajiani &amp; Widi, 2022)"},"properties":{"noteIndex":0},"schema":"https://github.com/citation-style-language/schema/raw/master/csl-citation.json"}</w:instrText>
      </w:r>
      <w:r w:rsidR="00FB4684" w:rsidRPr="00DB6768">
        <w:rPr>
          <w:rFonts w:ascii="Abadi" w:eastAsia="Lustria" w:hAnsi="Abadi" w:cs="Lustria"/>
          <w:color w:val="000000"/>
          <w:szCs w:val="24"/>
        </w:rPr>
        <w:fldChar w:fldCharType="separate"/>
      </w:r>
      <w:r w:rsidR="00FB4684" w:rsidRPr="00DB6768">
        <w:rPr>
          <w:rFonts w:ascii="Abadi" w:eastAsia="Lustria" w:hAnsi="Abadi" w:cs="Lustria"/>
          <w:color w:val="000000"/>
          <w:szCs w:val="24"/>
        </w:rPr>
        <w:t>(Mirajiani &amp; Widi, 2022)</w:t>
      </w:r>
      <w:r w:rsidR="00FB4684" w:rsidRPr="00DB6768">
        <w:rPr>
          <w:rFonts w:ascii="Abadi" w:eastAsia="Lustria" w:hAnsi="Abadi" w:cs="Lustria"/>
          <w:color w:val="000000"/>
          <w:szCs w:val="24"/>
        </w:rPr>
        <w:fldChar w:fldCharType="end"/>
      </w:r>
      <w:r w:rsidR="00FB4684" w:rsidRPr="00DB6768">
        <w:rPr>
          <w:rFonts w:ascii="Abadi" w:eastAsia="Lustria" w:hAnsi="Abadi" w:cs="Lustria"/>
          <w:color w:val="000000"/>
          <w:szCs w:val="24"/>
        </w:rPr>
        <w:t xml:space="preserve">. Tidak hanya itu, masih jarang penelitian yang menggabungkan regulasi keuangan hijau dengan prinsip-prinsip kearifan lokal, dan perlu ditingkatkan terkait pentingnya keuangan hijau melalui berbagai workshop dan pelatihan, edukasi, serta sosialisasi dalam mendorong praktik bisnis yang berkelanjutan </w:t>
      </w:r>
      <w:r w:rsidR="00FB4684" w:rsidRPr="00DB6768">
        <w:rPr>
          <w:rFonts w:ascii="Abadi" w:eastAsia="Lustria" w:hAnsi="Abadi" w:cs="Lustria"/>
          <w:color w:val="000000"/>
          <w:szCs w:val="24"/>
        </w:rPr>
        <w:fldChar w:fldCharType="begin" w:fldLock="1"/>
      </w:r>
      <w:r w:rsidR="00444EE5" w:rsidRPr="00DB6768">
        <w:rPr>
          <w:rFonts w:ascii="Abadi" w:eastAsia="Lustria" w:hAnsi="Abadi" w:cs="Lustria"/>
          <w:color w:val="000000"/>
          <w:szCs w:val="24"/>
        </w:rPr>
        <w:instrText>ADDIN CSL_CITATION {"citationItems":[{"id":"ITEM-1","itemData":{"abstract":"Lapak UMKM Bumi Semendung di Kelurahan Klegen, Kota Madiun, merupakan inovasi dalam pengembangan ekonomi lokal melalui konsep pariwisata dan inklusi komunitas. Dikelola oleh Paguyuban Bumi Semendung, lapak ini mengintegrasikan elemen wisata kuliner dengan spot selfie menarik di tengah area persawahan. Studi ini mengeksplorasi dampak positif lapak terhadap perekonomian lokal, didukung dengan dana dari pemerintah setempat untuk peningkatan infrastruktur taman wisata. Fokusnya juga meliputi adaptasi UMKM terhadap Green Financial dan Green Fintech, menjelaskan pentingnya digitalisasi dalam meningkatkan efisiensi operasional dan akses terhadap modal hijau. Penelitian ini memberikan wawasan tentang strategi dan manfaat praktik keuangan berkelanjutan bagi UMKM dalam konteks pengembangan ekonomi yang inklusif dan berkelanjutan.","author":[{"dropping-particle":"","family":"Sulistiyowati Liliek","given":"","non-dropping-particle":"","parse-names":false,"suffix":""}],"container-title":"Jurnal Pengabdian Masyarakat","id":"ITEM-1","issue":"2","issued":{"date-parts":[["2024"]]},"page":"1-13","title":"Persepsi Istilah \"Green\" Dalam Green Financial dan Green Fintech Pada UMKM Bumi Semendung","type":"article-journal","volume":"03"},"uris":["http://www.mendeley.com/documents/?uuid=3b417886-346b-4ff3-b756-2ef16dad1d78"]}],"mendeley":{"formattedCitation":"(Sulistiyowati Liliek, 2024)","plainTextFormattedCitation":"(Sulistiyowati Liliek, 2024)","previouslyFormattedCitation":"(Sulistiyowati Liliek, 2024)"},"properties":{"noteIndex":0},"schema":"https://github.com/citation-style-language/schema/raw/master/csl-citation.json"}</w:instrText>
      </w:r>
      <w:r w:rsidR="00FB4684" w:rsidRPr="00DB6768">
        <w:rPr>
          <w:rFonts w:ascii="Abadi" w:eastAsia="Lustria" w:hAnsi="Abadi" w:cs="Lustria"/>
          <w:color w:val="000000"/>
          <w:szCs w:val="24"/>
        </w:rPr>
        <w:fldChar w:fldCharType="separate"/>
      </w:r>
      <w:r w:rsidR="00FB4684" w:rsidRPr="00DB6768">
        <w:rPr>
          <w:rFonts w:ascii="Abadi" w:eastAsia="Lustria" w:hAnsi="Abadi" w:cs="Lustria"/>
          <w:color w:val="000000"/>
          <w:szCs w:val="24"/>
        </w:rPr>
        <w:t>(Sulistiyowati Liliek, 2024)</w:t>
      </w:r>
      <w:r w:rsidR="00FB4684" w:rsidRPr="00DB6768">
        <w:rPr>
          <w:rFonts w:ascii="Abadi" w:eastAsia="Lustria" w:hAnsi="Abadi" w:cs="Lustria"/>
          <w:color w:val="000000"/>
          <w:szCs w:val="24"/>
        </w:rPr>
        <w:fldChar w:fldCharType="end"/>
      </w:r>
      <w:r w:rsidR="00FB4684" w:rsidRPr="00DB6768">
        <w:rPr>
          <w:rFonts w:ascii="Abadi" w:eastAsia="Lustria" w:hAnsi="Abadi" w:cs="Lustria"/>
          <w:color w:val="000000"/>
          <w:szCs w:val="24"/>
        </w:rPr>
        <w:t>.</w:t>
      </w:r>
    </w:p>
    <w:p w14:paraId="10A91FF0" w14:textId="76771F60" w:rsidR="00444EE5" w:rsidRPr="00DB6768" w:rsidRDefault="00444EE5" w:rsidP="003D7DAE">
      <w:pPr>
        <w:pStyle w:val="NoSpacing"/>
        <w:ind w:firstLine="0"/>
        <w:rPr>
          <w:rFonts w:ascii="Abadi" w:eastAsia="Lustria" w:hAnsi="Abadi" w:cs="Lustria"/>
          <w:color w:val="000000"/>
          <w:szCs w:val="24"/>
        </w:rPr>
      </w:pPr>
      <w:r w:rsidRPr="00DB6768">
        <w:rPr>
          <w:rFonts w:ascii="Abadi" w:eastAsia="Lustria" w:hAnsi="Abadi" w:cs="Lustria"/>
          <w:color w:val="000000"/>
          <w:szCs w:val="24"/>
        </w:rPr>
        <w:tab/>
        <w:t xml:space="preserve">Dalam hal ini, ekonomi hijau menjadi salah satu solusi dari permasalahan tersebut, karena ekonomi hijau merupakan model ekonomi yang berfokus pada pembangunan yang berkelanjutan dan inklusif yang dapat meningkatkan sosial dan ekonomi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{"citationItems":[{"id":"ITEM-1","itemData":{"DOI":"10.20527/ecoplan.v5i2.543","ISSN":"2620-6102","abstract":"The purpose of this study is to explain the determinant concept of Green economy and its application. The research was conducted qualitatively with library analysis tools. The data was obtained by browsing bibliographic sources using online search tools on the Mendeley Manager Desktop, which contains the science direct journal platform and other supporting journals. The Green economy is economic development that prioritizes environmental sustainability. A Green economy brings other concepts that become one unit: green jobs, green tourism, green financing, and investment. A Green economy can be implemented with rewards and punishments, such as pollution taxes, subsidies for waste treatment, pressure from associations, etc. Development or shifting of economic activity towards a Green economy is needed not only severe efforts by all groups to run a green-based economy, and campuses need to build curricula and conduct research and development (R and D) in the Green economy so that it becomes common knowledge.","author":[{"dropping-particle":"","family":"Firmansyah","given":"M","non-dropping-particle":"","parse-names":false,"suffix":""}],"container-title":"Ecoplan","id":"ITEM-1","issue":"2","issued":{"date-parts":[["2022"]]},"page":"141-149","title":"Konsep Turunan Green economy dan Penerapannya: Sebuah Analisis Literatur","type":"article-journal","volume":"5"},"uris":["http://www.mendeley.com/documents/?uuid=3187e531-98c3-462d-979d-ff2748ab2c72"]}],"mendeley":{"formattedCitation":"(Firmansyah, 2022)","plainTextFormattedCitation":"(Firmansyah, 2022)","previouslyFormattedCitation":"(Firmansyah, 2022)"},"properties":{"noteIndex":0},"schema":"https://github.com/citation-style-language/schema/raw/master/csl-citation.json"}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(Firmansyah, 2022)</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Bagian penting dari ekonomi hijau adalah keuangan hijau, karena keuangan hijau melibatkan pembiayaan dan investasi untuk mendukung kegiatan yang ramah lingkungan, seperti penggunaan energi terbarukan, penghematan energi, dan pengelolaan sumber daya alam yang berkelanjutan. Keduanya saling mendukung, dimana keuangan hijau menjadi alat utama untuk membiayai proyek-proyek yang berwawasan lingkungan, sementara ekonomi hijau menciptakan peluang ekonomi yang berbasis pada kelestarian lingkungan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{"citationItems":[{"id":"ITEM-1","itemData":{"DOI":"10.14710/jebt.2024.22805","ISSN":"2809-5456","abstract":"Tujuan dari penelitian ini adalah untuk mengetahui kebijakan dan implementasi green economy di Indonesia serta implementasi dan prospek pembiayaan ramah lingkungan (green financing) di Indonesia. Metode penelitian yang diterapkan dalam penelitian ini adalah menggunakan pendekatan qualitative content analysis dengan data yang bersumber dari data primer melalui kajian pustaka. Hasil penelitian menunjukkan bahwa kebijakan dan implementasi green economy di Indonesia tertuang didalam Rencana Pembangunan Jangka Menengah Nasional (RPJMN) 2025-2029 dan Rencana Pembangunan Jangka Panjang Nasional (RPJPN) 2025-2045 dengan Green Economy Index (GEI) sebagai indikator perkembangan green economy di Indonesia. Pembiayaan ramah lingkungan terhadap sumber energi baru dan terbarukan (EBT) masih mengalami beberapa kendala seperti return investasi yang tidak menguntungkan, tingginya suku bunga pinjaman dan tidak adanya pendanaan proyek. Pemerintah Indonesia sudah mengatasinya dengan melakukan insentif pajak bagi perusahaan yang berinvestasi pada proyek energi baru dan terbarukan. Prospek pembiayaan ramah lingkungan terhadap EBT sangat positif yang ditandai dengan tingginya minat investor terhadap emiten yang bergerak di bisnis EBT.","author":[{"dropping-particle":"","family":"Ningsih","given":"Meidiana Mulya","non-dropping-particle":"","parse-names":false,"suffix":""}],"container-title":"Jurnal Energi Baru dan Terbarukan","id":"ITEM-1","issue":"2","issued":{"date-parts":[["2024"]]},"page":"12-29","title":"Pembiayaan Ramah Lingkungan Terhadap Sub Sektor Energi Baru Dan Terbarukan Di Indonesia","type":"article-journal","volume":"5"},"uris":["http://www.mendeley.com/documents/?uuid=88a0745c-a214-4024-8eda-2dfea2e7cb42"]}],"mendeley":{"formattedCitation":"(Ningsih, 2024)","plainTextFormattedCitation":"(Ningsih, 2024)","previouslyFormattedCitation":"(Ningsih, 2024)"},"properties":{"noteIndex":0},"schema":"https://github.com/citation-style-language/schema/raw/master/csl-citation.json"}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(Ningsih, 2024)</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Keuangan hijau dalam ekonomi hijau berfokus pada tiga aspek, yaitu pertumbuhan ekonomi, keadilan sosial, dan konservasi lingkungan alam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{"citationItems":[{"id":"ITEM-1","itemData":{"ISBN":"8610828378018","abstract":"Effective and efficient generation of keypoints from an image is a well-studied problem in the literature and forms the basis of numerous Computer Vision applications. Es- tablished leaders in the field are the SIFT and SURF al- gorithms which exhibit great performance under a variety of image transformations, with SURF in particular consid- ered as the most computationally efficient amongst the high- performance methods to date. In this paper we propose BRISK1, a novel method for keypoint detection, description and matching. A compre- hensive evaluation on benchmark datasets reveals BRISK’s adaptive, high quality performance as in state-of-the-art al- gorithms, albeit at a dramatically lower computational cost (an order of magnitude faster than SURF in cases). The key to speed lies in the application of a novel scale-space FAST-based detector in combination with the assembly of a bit-string descriptor from intensity comparisons retrieved by dedicated sampling of each keypoint neighborhood.","author":[{"dropping-particle":"","family":"Keiner","given":"","non-dropping-particle":"","parse-names":false,"suffix":""},{"dropping-particle":"","family":"Marco","given":"","non-dropping-particle":"","parse-names":false,"suffix":""}],"container-title":"ETH Zurich Research Collection","id":"ITEM-1","issue":"6","issued":{"date-parts":[["2005"]]},"page":"12-19","title":"History</w:instrText>
      </w:r>
      <w:r w:rsidRPr="00DB6768">
        <w:rPr>
          <w:rFonts w:ascii="Abadi" w:eastAsia="MS Gothic" w:hAnsi="Abadi" w:cs="MS Gothic"/>
          <w:color w:val="000000"/>
          <w:szCs w:val="24"/>
        </w:rPr>
        <w:instrText>，</w:instrText>
      </w:r>
      <w:r w:rsidRPr="00DB6768">
        <w:rPr>
          <w:rFonts w:ascii="Abadi" w:eastAsia="Lustria" w:hAnsi="Abadi" w:cs="Lustria"/>
          <w:color w:val="000000"/>
          <w:szCs w:val="24"/>
        </w:rPr>
        <w:instrText>definitions and models of sustainable development","type":"article-journal","volume":"21"},"uris":["http://www.mendeley.com/documents/?uuid=b01294c4-9f1c-482c-85d2-38f034f83737"]}],"mendeley":{"formattedCitation":"(Keiner &amp; Marco, 2005)","plainTextFormattedCitation":"(Keiner &amp; Marco, 2005)","previouslyFormattedCitation":"(Keiner &amp; Marco, 2005)"},"properties":{"noteIndex":0},"schema":"https://github.com/citation-style-language/schema/raw/master/csl-citation.json"}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(Keiner &amp; Marco, 2005)</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p>
    <w:p w14:paraId="23A98BEA" w14:textId="72B2AFD8" w:rsidR="006B3F52" w:rsidRPr="00DB6768" w:rsidRDefault="00444EE5" w:rsidP="003D7DAE">
      <w:pPr>
        <w:pStyle w:val="NoSpacing"/>
        <w:ind w:firstLine="0"/>
        <w:rPr>
          <w:rFonts w:ascii="Abadi" w:eastAsia="Lustria" w:hAnsi="Abadi" w:cs="Lustria"/>
          <w:i/>
          <w:iCs/>
          <w:color w:val="000000"/>
          <w:szCs w:val="24"/>
        </w:rPr>
      </w:pPr>
      <w:r w:rsidRPr="00DB6768">
        <w:rPr>
          <w:rFonts w:ascii="Abadi" w:eastAsia="Lustria" w:hAnsi="Abadi" w:cs="Lustria"/>
          <w:color w:val="000000"/>
          <w:szCs w:val="24"/>
        </w:rPr>
        <w:tab/>
        <w:t xml:space="preserve">Sejalan dengan hal di atas, keuangan hijau merupakan salah satu bentuk implementasi tujuan pembangunan berkelanjutan (Sustainable Development Goals/SDGs) dalam bisnis sektor korporasi yang kini semakin mendapat perhatian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{"citationItems":[{"id":"ITEM-1","itemData":{"abstract":"The aim of this research is to find out and analyze the influence of Live Streaming, Online Customer Reviews, Cashback Promotions and Flash Sale Discounts on interest in buying Shopee products. Sampling was carried out among Shopee users in Malang City using the Maholtra formula so that a sample of 80 respondents was obtained. This research method uses multiple linear regression analysis with the SPSS 25 analysis tool. This research shows that the influence of Live Streaming, Online Customer Reviews, Cashback Promotion and Discount Flash Sale have a simultaneous effect on buying interest. Based on the t test (partial), Live Streaming and Cashback Promotion have a significant effect on buying interest, while Online Customer Reviews and Flash Sale Discounts do not have a significant effect on buying interest. Keywords:","author":[{"dropping-particle":"","family":"Soleha","given":"Faridatus","non-dropping-particle":"","parse-names":false,"suffix":""},{"dropping-particle":"","family":"Rizal","given":"Mohammad","non-dropping-particle":"","parse-names":false,"suffix":""},{"dropping-particle":"","family":"Wahyuningtiyas","given":"Nanik","non-dropping-particle":"","parse-names":false,"suffix":""}],"container-title":"E-Jurnal Riset Manajemen","id":"ITEM-1","issue":"01","issued":{"date-parts":[["2024"]]},"page":"627-638","title":"Pengaruh Green Finance Terhadap Nilai Perusahaan Sektor Infrastruktur Yang Terdaftar Di Bursa Efek Indonesia","type":"article-journal","volume":"13"},"uris":["http://www.mendeley.com/documents/?uuid=512120ad-601a-4a29-a895-4348cd3e784d"]}],"mendeley":{"formattedCitation":"(Soleha et al., 2024)","plainTextFormattedCitation":"(Soleha et al., 2024)","previouslyFormattedCitation":"(Soleha et al., 2024)"},"properties":{"noteIndex":0},"schema":"https://github.com/citation-style-language/schema/raw/master/csl-citation.json"}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(Soleha et al., 2024)</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Keuangan hijau merupakan salah satu kegiatan pendanaan modal yang efisien untuk memberikan manfaat bagi lingkungan, mendukung pertumbuhan ekonomi, dan ide-ide baru yang berkaitan dengan pembangunan berkelanjutan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{"citationItems":[{"id":"ITEM-1","itemData":{"DOI":"10.1016/j.eneco.2021.105476","ISSN":"01409883","abstract":"The purpose of this research is to show the regional gap, spatial pattern, and the trend evolution of China's green finance development. Based on provincial data from 2010 to 2019, we construct a policy- and market-oriented green financial development index system with the help of a local green financial development index and assessment report in 2019 and then calculate the green financial development index by using time and space ranges via the entry-weight method. We further employ Dagum's Gini coefficient decomposition method, Kernel density estimation, Markov chain, and spatial Markov chain, presenting results that first show that the overall development index of green finance in China is on the rise, but its overall level is not high. Second, the overall regional gap is on the decline, and the inter-regional gap is the main source of the development gap of green finance in the country. Third, the development of green finance shows a polarization trend, characterized by a ladder distribution of initially east China, central China, west China, and then northeast China. Finally, the development of green finance in China shows a club convergence phenomenon. This revelation of the evolution trend and source of the development gap of China's green finance provide a basis for narrowing this gap and for promoting the coordinated development of green finance in China's economic regions.","author":[{"dropping-particle":"","family":"Lv","given":"Chengchao","non-dropping-particle":"","parse-names":false,"suffix":""},{"dropping-particle":"","family":"Bian","given":"Baocheng","non-dropping-particle":"","parse-names":false,"suffix":""},{"dropping-particle":"","family":"Lee","given":"Chien Chiang","non-dropping-particle":"","parse-names":false,"suffix":""},{"dropping-particle":"","family":"He","given":"Zhiwen","non-dropping-particle":"","parse-names":false,"suffix":""}],"container-title":"Energy Economics","id":"ITEM-1","issue":"July","issued":{"date-parts":[["2021"]]},"page":"105476","publisher":"Elsevier B.V.","title":"Regional gap and the trend of green finance development in China","type":"article-journal","volume":"102"},"uris":["http://www.mendeley.com/documents/?uuid=79ed61eb-1554-486d-b8f0-85e36196bccf"]}],"mendeley":{"formattedCitation":"(Lv et al., 2021)","plainTextFormattedCitation":"(Lv et al., 2021)","previouslyFormattedCitation":"(Lv et al., 2021)"},"properties":{"noteIndex":0},"schema":"https://github.com/citation-style-language/schema/raw/master/csl-citation.json"}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(Lv et al., 2021)</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Secara umum, keuangan hijau bertujuan untuk mengurangi emisi gas rumah kaca dengan mendonasikan dana untuk mendukung pertanian berkelanjutan, efisiensi energi, dan sumber energi terbarukan. Hal ini, pada gilirannya, membantu melestarikan keanekaragaman hayati dengan mendorong pelestarian ekosistem dengan mencegah kontaminasi udara, tanah, dan air </w:t>
      </w:r>
      <w:r w:rsidRPr="00DB6768">
        <w:rPr>
          <w:rFonts w:ascii="Abadi" w:eastAsia="Lustria" w:hAnsi="Abadi" w:cs="Lustria"/>
          <w:color w:val="000000"/>
          <w:szCs w:val="24"/>
        </w:rPr>
        <w:fldChar w:fldCharType="begin" w:fldLock="1"/>
      </w:r>
      <w:r w:rsidR="006B3F52" w:rsidRPr="00DB6768">
        <w:rPr>
          <w:rFonts w:ascii="Abadi" w:eastAsia="Lustria" w:hAnsi="Abadi" w:cs="Lustria"/>
          <w:color w:val="000000"/>
          <w:szCs w:val="24"/>
        </w:rPr>
        <w:instrText>ADDIN CSL_CITATION {"citationItems":[{"id":"ITEM-1","itemData":{"DOI":"10.1016/b978-0-44-313776-1.00138-0","ISBN":"9780443137761","abstract":"An economy that aims to support sustainable growth while lowering threats to the environment and ecological resources is known as a “green economy.” Despite being highly politicized, it has a close relationship with environmental economics. In essence, environmental protection is the link between the green economy and green finance. Increasing long-term investments in sustainable economic initiatives and activities is the aim of sustainable finance. Since it considers risks and issues related to the environment, society, and governance (ESG), sustainable finance is an extension of green finance. The paper aims to clarify the connections between green initiatives, economy, finance, and ecology.","author":[{"dropping-particle":"","family":"Ilic","given":"Biljana Stojan","non-dropping-particle":"","parse-names":false,"suffix":""}],"container-title":"Reference Module in Social Sciences","id":"ITEM-1","issue":"September","issued":{"date-parts":[["2023"]]},"page":"0-6","title":"Green Economy and Green Finance as a Contribution to Sustainable Green Activities at The Global Level","type":"article-journal"},"uris":["http://www.mendeley.com/documents/?uuid=b7a8fd55-0e78-48f2-bbc3-32d486d4dbf9"]}],"mendeley":{"formattedCitation":"(Ilic, 2023)","plainTextFormattedCitation":"(Ilic, 2023)","previouslyFormattedCitation":"(Ilic, 2023)"},"properties":{"noteIndex":0},"schema":"https://github.com/citation-style-language/schema/raw/master/csl-citation.json"}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(Ilic, 2023)</w:t>
      </w:r>
      <w:r w:rsidRPr="00DB6768">
        <w:rPr>
          <w:rFonts w:ascii="Abadi" w:eastAsia="Lustria" w:hAnsi="Abadi" w:cs="Lustria"/>
          <w:color w:val="000000"/>
          <w:szCs w:val="24"/>
        </w:rPr>
        <w:fldChar w:fldCharType="end"/>
      </w:r>
      <w:r w:rsidR="006B3F52" w:rsidRPr="00DB6768">
        <w:rPr>
          <w:rFonts w:ascii="Abadi" w:eastAsia="Lustria" w:hAnsi="Abadi" w:cs="Lustria"/>
          <w:color w:val="000000"/>
          <w:szCs w:val="24"/>
        </w:rPr>
        <w:t xml:space="preserve">. Pembiayaan hijau mengacu pada prinsip bangunan hijau, yang tidak hanya akan mengurangi biaya komersial, industri, dan perumahan. Tetapi juga akan </w:t>
      </w:r>
      <w:r w:rsidR="006B3F52" w:rsidRPr="00DB6768">
        <w:rPr>
          <w:rFonts w:ascii="Abadi" w:eastAsia="Lustria" w:hAnsi="Abadi" w:cs="Lustria"/>
          <w:color w:val="000000"/>
          <w:szCs w:val="24"/>
        </w:rPr>
        <w:lastRenderedPageBreak/>
        <w:t xml:space="preserve">menghasilkan listrik dari sumber terbarukan, seperti air, angin, matahari, dan biomassa </w:t>
      </w:r>
      <w:r w:rsidR="006B3F52" w:rsidRPr="00DB6768">
        <w:rPr>
          <w:rFonts w:ascii="Abadi" w:eastAsia="Lustria" w:hAnsi="Abadi" w:cs="Lustria"/>
          <w:color w:val="000000"/>
          <w:szCs w:val="24"/>
        </w:rPr>
        <w:fldChar w:fldCharType="begin" w:fldLock="1"/>
      </w:r>
      <w:r w:rsidR="006B3F52" w:rsidRPr="00DB6768">
        <w:rPr>
          <w:rFonts w:ascii="Abadi" w:eastAsia="Lustria" w:hAnsi="Abadi" w:cs="Lustria"/>
          <w:color w:val="000000"/>
          <w:szCs w:val="24"/>
        </w:rPr>
        <w:instrText>ADDIN CSL_CITATION {"citationItems":[{"id":"ITEM-1","itemData":{"DOI":"10.2478/jcbtp-2023-0019","ISSN":"23369205","abstract":"Green finance is the basis for the development of sustainable financing of environmental projects with the aim of respecting environmental and social aspects in making investment decisions. The development of green finance enables a green transition towards economic growth that will be sustainable in the long run because it is based on the principles of preserving the environment and reducing the risk of climate change. This creates a basis for preserving macroeconomic stability based on the development of new alternative sources of financing. The aim of this paper is to present green finance, with special reference to Serbia. The paper covers the regulation of green finance, but also the analysis of green finance instruments in terms of types and features and their development.","author":[{"dropping-particle":"","family":"Martin","given":"Vesna","non-dropping-particle":"","parse-names":false,"suffix":""}],"container-title":"Journal of Central Banking Theory and Practice","id":"ITEM-1","issue":"2","issued":{"date-parts":[["2023"]]},"page":"185-209","title":"Green Finance: Regulation and Instruments","type":"article-journal","volume":"12"},"uris":["http://www.mendeley.com/documents/?uuid=eba6849e-a07d-4e5d-a14b-15e6cd39162a"]}],"mendeley":{"formattedCitation":"(Martin, 2023)","plainTextFormattedCitation":"(Martin, 2023)","previouslyFormattedCitation":"(Martin, 2023)"},"properties":{"noteIndex":0},"schema":"https://github.com/citation-style-language/schema/raw/master/csl-citation.json"}</w:instrText>
      </w:r>
      <w:r w:rsidR="006B3F52" w:rsidRPr="00DB6768">
        <w:rPr>
          <w:rFonts w:ascii="Abadi" w:eastAsia="Lustria" w:hAnsi="Abadi" w:cs="Lustria"/>
          <w:color w:val="000000"/>
          <w:szCs w:val="24"/>
        </w:rPr>
        <w:fldChar w:fldCharType="separate"/>
      </w:r>
      <w:r w:rsidR="006B3F52" w:rsidRPr="00DB6768">
        <w:rPr>
          <w:rFonts w:ascii="Abadi" w:eastAsia="Lustria" w:hAnsi="Abadi" w:cs="Lustria"/>
          <w:color w:val="000000"/>
          <w:szCs w:val="24"/>
        </w:rPr>
        <w:t>(Martin, 2023)</w:t>
      </w:r>
      <w:r w:rsidR="006B3F52" w:rsidRPr="00DB6768">
        <w:rPr>
          <w:rFonts w:ascii="Abadi" w:eastAsia="Lustria" w:hAnsi="Abadi" w:cs="Lustria"/>
          <w:color w:val="000000"/>
          <w:szCs w:val="24"/>
        </w:rPr>
        <w:fldChar w:fldCharType="end"/>
      </w:r>
      <w:r w:rsidR="006B3F52" w:rsidRPr="00DB6768">
        <w:rPr>
          <w:rFonts w:ascii="Abadi" w:eastAsia="Lustria" w:hAnsi="Abadi" w:cs="Lustria"/>
          <w:color w:val="000000"/>
          <w:szCs w:val="24"/>
        </w:rPr>
        <w:t xml:space="preserve">. </w:t>
      </w:r>
      <w:r w:rsidR="00F11FE2" w:rsidRPr="00DB6768">
        <w:rPr>
          <w:rFonts w:ascii="Abadi" w:eastAsia="Lustria" w:hAnsi="Abadi" w:cs="Lustria"/>
          <w:color w:val="000000"/>
          <w:szCs w:val="24"/>
        </w:rPr>
        <w:t xml:space="preserve">Indikator dari keuangan hijau terdapat </w:t>
      </w:r>
      <w:r w:rsidR="00F11FE2" w:rsidRPr="00DB6768">
        <w:rPr>
          <w:rFonts w:ascii="Abadi" w:eastAsia="Lustria" w:hAnsi="Abadi" w:cs="Lustria"/>
          <w:i/>
          <w:iCs/>
          <w:color w:val="000000"/>
          <w:szCs w:val="24"/>
        </w:rPr>
        <w:t>carbon emission, green loan, green building, dan green invesment.</w:t>
      </w:r>
    </w:p>
    <w:p w14:paraId="43DAE7DD" w14:textId="1DFEF4F5" w:rsidR="00444EE5" w:rsidRPr="00DB6768" w:rsidRDefault="006B3F52" w:rsidP="003D7DAE">
      <w:pPr>
        <w:pStyle w:val="NoSpacing"/>
        <w:ind w:firstLine="720"/>
        <w:rPr>
          <w:rFonts w:ascii="Abadi" w:eastAsia="Lustria" w:hAnsi="Abadi" w:cs="Lustria"/>
          <w:color w:val="000000"/>
          <w:szCs w:val="24"/>
        </w:rPr>
      </w:pPr>
      <w:r w:rsidRPr="00DB6768">
        <w:rPr>
          <w:rFonts w:ascii="Abadi" w:eastAsia="Lustria" w:hAnsi="Abadi" w:cs="Lustria"/>
          <w:color w:val="000000"/>
          <w:szCs w:val="24"/>
        </w:rPr>
        <w:t xml:space="preserve">Dari beberapa literatur, keuangan hijau sering disebut dengan berbagai istilah lain, seperti keuangan berkelanjutan, keuangan lingkungan, keuangan sosial, dan lain sebagainya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{"citationItems":[{"id":"ITEM-1","itemData":{"DOI":"10.1007/978-1-137-48612-7","ISBN":"9781137486127","abstract":"Planetary boundaries and a scarcity of natural resources require a significant boost of investment into clean and renewable energy and a more efficient use of resources in developing, emerging and advanced economies alike. Addressing climate change globally requires the mobilisation of unprecedented financial resources. Developing and emerging economies face a particular challenge, since they not only need to mobilise resources for climate change adaptation and mitigation, but also have to address more imminent challenges such as infrastructure investments and poverty reduction. The development needs of societies and environmental sustainability need to be reconciled by moving towards a “green transformation” which puts “green growth at the heart of development” (OECD 2013). 1 Green growth can be defined as the “improvement of ecological quality of growth that simultaneously realizes economic expansion, improvement of welfare, poverty reduction and environmental protection, and emphasizes eco-efficiency of consumption as well as production” (Mori 2013: 5).","author":[{"dropping-particle":"","family":"Volz","given":"Ulrich","non-dropping-particle":"","parse-names":false,"suffix":""},{"dropping-particle":"","family":"Böhnke","given":"Judith","non-dropping-particle":"","parse-names":false,"suffix":""},{"dropping-particle":"","family":"Eidt","given":"Vanessa","non-dropping-particle":"","parse-names":false,"suffix":""},{"dropping-particle":"","family":"Knierim","given":"Laura","non-dropping-particle":"","parse-names":false,"suffix":""},{"dropping-particle":"","family":"Richert","given":"Katharina","non-dropping-particle":"","parse-names":false,"suffix":""},{"dropping-particle":"","family":"Roeber","given":"Greta Maria","non-dropping-particle":"","parse-names":false,"suffix":""}],"container-title":"Financing the Green Transformation: How to Make Green Finance Work in Indonesia","id":"ITEM-1","issued":{"date-parts":[["2015"]]},"number-of-pages":"1-174","publisher":"Palgrave Macmillan","publisher-place":"London","title":"Financing The Green Transformation: How to make Green Finance Work In Indonesia","type":"book"},"uris":["http://www.mendeley.com/documents/?uuid=22f88bb2-d09c-4994-9619-710566a7a6a2"]}],"mendeley":{"formattedCitation":"(Volz et al., 2015)","plainTextFormattedCitation":"(Volz et al., 2015)","previouslyFormattedCitation":"(Volz et al., 2015)"},"properties":{"noteIndex":0},"schema":"https://github.com/citation-style-language/schema/raw/master/csl-citation.json"}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(Volz et al., 2015)</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Keuangan hijau berperan penting dalam menciptakan lapangan pekerjaan dan mendorong pertumbuhan ekonomi di masyarakat, terutama pada masyarakat adat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{"citationItems":[{"id":"ITEM-1","itemData":{"DOI":"10.1155/2020/8851684","ISSN":"1607887X","abstract":"Finance contributes to poverty alleviation through economic growth, and the development of green finance is related to the sustainable development of the world economy and environment. Green finance not only helps promote sustainable economic development but also helps reduce poverty. Based on the analysis of related theories about green finance and poverty alleviation, this paper selects 18 indicators from three dimensions of economic development, financial development, and social environmental development and uses the improved entropy method to measure the green finance development index of China's 25 provinces and municipalities from 2004 to 2017. The results show that the development level of green finance in China's 25 provinces and municipalities is quite different. On the basis of the above analysis, make an empirical analysis of the impact of the green finance development index on poverty alleviation using multiple regression analysis and static panel and dynamic panel estimation methods. The research results show that there is a significant positive correlation between green finance and poverty alleviation; the higher the level of green finance development, the more conducive the poverty alleviation. So, this paper suggests that poverty can be better alleviated by improving the level of green finance development, financial asset level, and economic development level.","author":[{"dropping-particle":"","family":"Jiang","given":"Lili","non-dropping-particle":"","parse-names":false,"suffix":""},{"dropping-particle":"","family":"Wang","given":"Hui","non-dropping-particle":"","parse-names":false,"suffix":""},{"dropping-particle":"","family":"Tong","given":"Aihua","non-dropping-particle":"","parse-names":false,"suffix":""},{"dropping-particle":"","family":"Hu","given":"Zhifei","non-dropping-particle":"","parse-names":false,"suffix":""},{"dropping-particle":"","family":"Duan","given":"Hongjun","non-dropping-particle":"","parse-names":false,"suffix":""},{"dropping-particle":"","family":"Zhang","given":"Xiaolei","non-dropping-particle":"","parse-names":false,"suffix":""},{"dropping-particle":"","family":"Wang","given":"Yifeng","non-dropping-particle":"","parse-names":false,"suffix":""}],"container-title":"Discrete Dynamics in Nature and Society","id":"ITEM-1","issued":{"date-parts":[["2020"]]},"title":"The measurement of green finance development index and its poverty reduction effect: Dynamic panel analysis based on improved entropy method","type":"article-journal","volume":"2020"},"uris":["http://www.mendeley.com/documents/?uuid=2edd2718-fdf2-417d-a484-755431ff493c"]}],"mendeley":{"formattedCitation":"(Jiang et al., 2020)","plainTextFormattedCitation":"(Jiang et al., 2020)","previouslyFormattedCitation":"(Jiang et al., 2020)"},"properties":{"noteIndex":0},"schema":"https://github.com/citation-style-language/schema/raw/master/csl-citation.json"}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(Jiang et al., 2020)</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leh karena itu, menjaga keseimbangan ekonomi, sosial, dan lingkungan menjadi sangat penting, karena ketiga aspek tersebut hidup untuk mendukung tercapainya tujuan pembangunan berkelanjutan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{"citationItems":[{"id":"ITEM-1","itemData":{"DOI":"10.32601/ejal.775796","ISBN":"9021238349","ISSN":"21491135","abstract":"The present study aims to investigate the role of L1 transfer effects on L2 sentence processing strategies during the interpretation of relative clause (RC) attachment ambiguities. The main body of the study is divided into two sections. The first section describes Experiment 1, which is designed to test the resolution of RC attachment ambiguities by Turkish learners of L2 English both in Turkish and English through the use of an off-line task (i.e., paper-and-pencil comprehension tests) and compare their processing preferences to those of native English speakers. The second section presents Experiment 2, which aims to investigate the real-time processing of the RC attachment ambiguities by the same participant groups employing eye-tracking methodology. The results indicated that L1 Turkish and L1 English RC attachment preferences differed and that Turkish learners of L2 English tended to transfer their Turkish sentence processing pattern to real-time interpretation of the English RC attachment ambiguities.","author":[{"dropping-particle":"","family":"Uluda</w:instrText>
      </w:r>
      <w:r w:rsidRPr="00DB6768">
        <w:rPr>
          <w:rFonts w:ascii="Calibri" w:eastAsia="Lustria" w:hAnsi="Calibri" w:cs="Calibri"/>
          <w:color w:val="000000"/>
          <w:szCs w:val="24"/>
        </w:rPr>
        <w:instrText>ğ</w:instrText>
      </w:r>
      <w:r w:rsidRPr="00DB6768">
        <w:rPr>
          <w:rFonts w:ascii="Abadi" w:eastAsia="Lustria" w:hAnsi="Abadi" w:cs="Lustria"/>
          <w:color w:val="000000"/>
          <w:szCs w:val="24"/>
        </w:rPr>
        <w:instrText>","given":"Onur","non-dropping-particle":"","parse-names":false,"suffix":""}],"container-title":"Eurasian Journal of Applied Linguistics","id":"ITEM-1","issue":"2","issued":{"date-parts":[["2020"]]},"number-of-pages":"155-188","title":"Transfer of L1 processing strategies to the interpretation of sentence-level L2 input: A cross-linguistic comparison on the resolution of relative clause attachment ambiguities","type":"book","volume":"6"},"uris":["http://www.mendeley.com/documents/?uuid=e156e5bb-1edf-4d01-886b-23c28473e0fe"]}],"mendeley":{"formattedCitation":"(Uluda</w:instrText>
      </w:r>
      <w:r w:rsidRPr="00DB6768">
        <w:rPr>
          <w:rFonts w:ascii="Calibri" w:eastAsia="Lustria" w:hAnsi="Calibri" w:cs="Calibri"/>
          <w:color w:val="000000"/>
          <w:szCs w:val="24"/>
        </w:rPr>
        <w:instrText>ğ</w:instrText>
      </w:r>
      <w:r w:rsidRPr="00DB6768">
        <w:rPr>
          <w:rFonts w:ascii="Abadi" w:eastAsia="Lustria" w:hAnsi="Abadi" w:cs="Lustria"/>
          <w:color w:val="000000"/>
          <w:szCs w:val="24"/>
        </w:rPr>
        <w:instrText>, 2020)","plainTextFormattedCitation":"(Uluda</w:instrText>
      </w:r>
      <w:r w:rsidRPr="00DB6768">
        <w:rPr>
          <w:rFonts w:ascii="Calibri" w:eastAsia="Lustria" w:hAnsi="Calibri" w:cs="Calibri"/>
          <w:color w:val="000000"/>
          <w:szCs w:val="24"/>
        </w:rPr>
        <w:instrText>ğ</w:instrText>
      </w:r>
      <w:r w:rsidRPr="00DB6768">
        <w:rPr>
          <w:rFonts w:ascii="Abadi" w:eastAsia="Lustria" w:hAnsi="Abadi" w:cs="Lustria"/>
          <w:color w:val="000000"/>
          <w:szCs w:val="24"/>
        </w:rPr>
        <w:instrText>, 2020)","previouslyFormattedCitation":"(Uluda</w:instrText>
      </w:r>
      <w:r w:rsidRPr="00DB6768">
        <w:rPr>
          <w:rFonts w:ascii="Calibri" w:eastAsia="Lustria" w:hAnsi="Calibri" w:cs="Calibri"/>
          <w:color w:val="000000"/>
          <w:szCs w:val="24"/>
        </w:rPr>
        <w:instrText>ğ</w:instrText>
      </w:r>
      <w:r w:rsidRPr="00DB6768">
        <w:rPr>
          <w:rFonts w:ascii="Abadi" w:eastAsia="Lustria" w:hAnsi="Abadi" w:cs="Lustria"/>
          <w:color w:val="000000"/>
          <w:szCs w:val="24"/>
        </w:rPr>
        <w:instrText>, 2020)"},"properties":{"noteIndex":0},"schema":"https://github.com/citation-style-language/schema/raw/master/csl-citation.json"}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(Uluda</w:t>
      </w:r>
      <w:r w:rsidRPr="00DB6768">
        <w:rPr>
          <w:rFonts w:ascii="Calibri" w:eastAsia="Lustria" w:hAnsi="Calibri" w:cs="Calibri"/>
          <w:color w:val="000000"/>
          <w:szCs w:val="24"/>
        </w:rPr>
        <w:t>ğ</w:t>
      </w:r>
      <w:r w:rsidRPr="00DB6768">
        <w:rPr>
          <w:rFonts w:ascii="Abadi" w:eastAsia="Lustria" w:hAnsi="Abadi" w:cs="Lustria"/>
          <w:color w:val="000000"/>
          <w:szCs w:val="24"/>
        </w:rPr>
        <w:t>, 2020)</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Baduy sendiri memiliki prinsip hidup yang sangat konservatif dalam menjaga kelestarian lingkungan dan meningkatkan kesejahteraan masyarakat Baduy, seperti pemberdayaan ekonomi lokal melalui praktik pertanian dengan menggunakan pupuk organik dan pengelolaan sumber daya alam yang berkelanjutan. Pada umumnya, masyarakat adat memiliki pengetahuan lokal dan sistem pengelolaan yang diwariskan dan dikembangkan secara turun-temurun. Meskipun nilai-nilai lokal itu ada, namun makna yang terkandung di dalamnya tetap dianggap universal </w:t>
      </w:r>
      <w:r w:rsidRPr="00DB6768">
        <w:rPr>
          <w:rFonts w:ascii="Abadi" w:eastAsia="Lustria" w:hAnsi="Abadi" w:cs="Lustria"/>
          <w:color w:val="000000"/>
          <w:szCs w:val="24"/>
        </w:rPr>
        <w:fldChar w:fldCharType="begin" w:fldLock="1"/>
      </w:r>
      <w:r w:rsidR="00A9561D" w:rsidRPr="00DB6768">
        <w:rPr>
          <w:rFonts w:ascii="Abadi" w:eastAsia="Lustria" w:hAnsi="Abadi" w:cs="Lustria"/>
          <w:color w:val="000000"/>
          <w:szCs w:val="24"/>
        </w:rPr>
        <w:instrText>ADDIN CSL_CITATION {"citationItems":[{"id":"ITEM-1","itemData":{"abstract":"… gusjigang and accounting application. The aim of this study is to determine the effect of gusjigang … is a positive and significant influence between gusjigang to the pre-marital financial …","author":[{"dropping-particle":"","family":"Mulyani","given":"Sri","non-dropping-particle":"","parse-names":false,"suffix":""}],"container-title":"Ekonomi Dinamika Dan Bisnis","id":"ITEM-1","issue":"2","issued":{"date-parts":[["2015"]]},"page":"159-172","title":"Peran Gusjigang dan Penerapan Akuantasi Terhadap Literasi Keuangan Pra-Nikah","type":"article-journal","volume":"12"},"uris":["http://www.mendeley.com/documents/?uuid=bec840ba-bd08-48a5-9b9d-97e88384d3bb"]}],"mendeley":{"formattedCitation":"(Mulyani, 2015)","plainTextFormattedCitation":"(Mulyani, 2015)","previouslyFormattedCitation":"(Mulyani, 2015)"},"properties":{"noteIndex":0},"schema":"https://github.com/citation-style-language/schema/raw/master/csl-citation.json"}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(Mulyani, 2015)</w:t>
      </w:r>
      <w:r w:rsidRPr="00DB6768">
        <w:rPr>
          <w:rFonts w:ascii="Abadi" w:eastAsia="Lustria" w:hAnsi="Abadi" w:cs="Lustria"/>
          <w:color w:val="000000"/>
          <w:szCs w:val="24"/>
        </w:rPr>
        <w:fldChar w:fldCharType="end"/>
      </w:r>
      <w:r w:rsidRPr="00DB6768">
        <w:rPr>
          <w:rFonts w:ascii="Abadi" w:eastAsia="Lustria" w:hAnsi="Abadi" w:cs="Lustria"/>
          <w:color w:val="000000"/>
          <w:szCs w:val="24"/>
        </w:rPr>
        <w:t>.</w:t>
      </w:r>
    </w:p>
    <w:p w14:paraId="06CFB6B7" w14:textId="63B305C9" w:rsidR="006B3F52" w:rsidRPr="00DB6768" w:rsidRDefault="006B3F52" w:rsidP="003D7DAE">
      <w:pPr>
        <w:pStyle w:val="NoSpacing"/>
        <w:ind w:firstLine="720"/>
        <w:rPr>
          <w:rFonts w:ascii="Abadi" w:eastAsia="Lustria" w:hAnsi="Abadi" w:cs="Lustria"/>
          <w:color w:val="000000"/>
          <w:szCs w:val="24"/>
        </w:rPr>
      </w:pPr>
      <w:r w:rsidRPr="00DB6768">
        <w:rPr>
          <w:rFonts w:ascii="Abadi" w:eastAsia="Lustria" w:hAnsi="Abadi" w:cs="Lustria"/>
          <w:color w:val="000000"/>
          <w:szCs w:val="24"/>
        </w:rPr>
        <w:t>Oleh karena itu, salah satu fokus dari penelitian ini, yaitu pengembangan keuangan hijau, diarahkan untuk mendukung usaha mikro berbasis hijau di desa Baduy yang dapat berkontribusi pada keberlanjutan ekonomi, sosial, dan lingkungan. Dengan demikian, peran penting keuangan hijau dalam pencapaian tujuan pembangunan berkelanjutan (SDGs) tercermin dari upaya mengurangi dampak lingkungan, meningkatkan kerja sama antar masyarakat Baduy, dan meningkatkan keberlanjutan ekonomi. Pertanyaan yang muncul adalah apakah dengan meningkatnya tren keuangan hijau akan meningkatkan ketegangan antara pertimbangan lingkungan, sosial, dan pembangunan ekonomi. Tujuan dari penelitian ini adalah untuk mengetahui sejauh mana pengaruh keuangan hijau terhadap masyarakat Baduy Luar dalam memenuhi kebutuhan hidup mereka dan mengisi kesenjangan tersebut dengan bukti empiris bahwa keuangan hijau dapat menghasilkan energi terbarukan, produktivitas tenaga kerja, lahan pertanian, dan perubahan dari segi sosial, lingkungan yang ramah dan pembangunan ekonomi.</w:t>
      </w:r>
    </w:p>
    <w:p w14:paraId="65F1DE50" w14:textId="704C77F4" w:rsidR="00A9561D" w:rsidRPr="00DB6768" w:rsidRDefault="00A9561D" w:rsidP="003D7DAE">
      <w:pPr>
        <w:pStyle w:val="NoSpacing"/>
        <w:ind w:firstLine="720"/>
        <w:rPr>
          <w:rFonts w:ascii="Abadi" w:eastAsia="Lustria" w:hAnsi="Abadi" w:cs="Lustria"/>
          <w:color w:val="000000"/>
          <w:szCs w:val="24"/>
        </w:rPr>
      </w:pPr>
      <w:r w:rsidRPr="00DB6768">
        <w:rPr>
          <w:rFonts w:ascii="Abadi" w:eastAsia="Lustria" w:hAnsi="Abadi" w:cs="Lustria"/>
          <w:color w:val="000000"/>
          <w:szCs w:val="24"/>
        </w:rPr>
        <w:t xml:space="preserve">Peneliti menggunakan pendekatan kualitatif dengan studi </w:t>
      </w:r>
      <w:r w:rsidR="00F11FE2" w:rsidRPr="00DB6768">
        <w:rPr>
          <w:rFonts w:ascii="Abadi" w:eastAsia="Lustria" w:hAnsi="Abadi" w:cs="Lustria"/>
          <w:color w:val="000000"/>
          <w:szCs w:val="24"/>
        </w:rPr>
        <w:t>kasus</w:t>
      </w:r>
      <w:r w:rsidRPr="00DB6768">
        <w:rPr>
          <w:rFonts w:ascii="Abadi" w:eastAsia="Lustria" w:hAnsi="Abadi" w:cs="Lustria"/>
          <w:color w:val="000000"/>
          <w:szCs w:val="24"/>
        </w:rPr>
        <w:t xml:space="preserve">. Penelitian kualitatif studi </w:t>
      </w:r>
      <w:r w:rsidR="00F11FE2" w:rsidRPr="00DB6768">
        <w:rPr>
          <w:rFonts w:ascii="Abadi" w:eastAsia="Lustria" w:hAnsi="Abadi" w:cs="Lustria"/>
          <w:color w:val="000000"/>
          <w:szCs w:val="24"/>
        </w:rPr>
        <w:t>kasus</w:t>
      </w:r>
      <w:r w:rsidRPr="00DB6768">
        <w:rPr>
          <w:rFonts w:ascii="Abadi" w:eastAsia="Lustria" w:hAnsi="Abadi" w:cs="Lustria"/>
          <w:color w:val="000000"/>
          <w:szCs w:val="24"/>
        </w:rPr>
        <w:t xml:space="preserve"> merupakan pendekatan peneliti yang menggubankan sumber-sumber </w:t>
      </w:r>
      <w:r w:rsidR="00F11FE2" w:rsidRPr="00DB6768">
        <w:rPr>
          <w:rFonts w:ascii="Abadi" w:eastAsia="Lustria" w:hAnsi="Abadi" w:cs="Lustria"/>
          <w:color w:val="000000"/>
          <w:szCs w:val="24"/>
        </w:rPr>
        <w:t>untuk memahami</w:t>
      </w:r>
      <w:r w:rsidRPr="00DB6768">
        <w:rPr>
          <w:rFonts w:ascii="Abadi" w:eastAsia="Lustria" w:hAnsi="Abadi" w:cs="Lustria"/>
          <w:color w:val="000000"/>
          <w:szCs w:val="24"/>
        </w:rPr>
        <w:t xml:space="preserve"> program, peristiwa, aktivitas, proses atau satu atau beberapa individu secara lebih mendalam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{"citationItems":[{"id":"ITEM-1","itemData":{"DOI":"10.55381/ijsrr.v1i1.19","ISSN":"2830-6910","abstract":"Case study is one approach in qualitative research that was developed from the traditions of anthropology, sociology, and psychology. The case study approach focuses on the study of specific programs, events, activities, processes or units in a particular or contemporary context. This article is a literature review conducted on five dissertation articles that discuss the topic of community empowerment published by the Development Extension / Community Empowerment Doctoral Study Program, Graduate School, Sebelas Maret University in the period 2013-2020. As a result, the five dissertation articles reviewed used a case study approach as an analytical tool in dissecting community empowerment activities. A case studies must be supported by a deep understanding of the characteristics of the findings so that these approaches could have a large scientific impact.","author":[{"dropping-particle":"","family":"Faridl Widhagdha","given":"Miftah","non-dropping-particle":"","parse-names":false,"suffix":""},{"dropping-particle":"","family":"Ediyono","given":"Suryo","non-dropping-particle":"","parse-names":false,"suffix":""}],"container-title":"Indonesian Journal of Social Responsibility Review (IJSRR)","id":"ITEM-1","issue":"1","issued":{"date-parts":[["2022"]]},"page":"71-76","title":"Case Study Approach in Community Empowerment Research in Indonesia","type":"article-journal","volume":"1"},"uris":["http://www.mendeley.com/documents/?uuid=26d09450-35e4-45f5-afa3-e20febebc516"]}],"mendeley":{"formattedCitation":"(Faridl Widhagdha &amp; Ediyono, 2022)","plainTextFormattedCitation":"(Faridl Widhagdha &amp; Ediyono, 2022)","previouslyFormattedCitation":"(Faridl Widhagdha &amp; Ediyono, 2022)"},"properties":{"noteIndex":0},"schema":"https://github.com/citation-style-language/schema/raw/master/csl-citation.json"}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(Faridl Widhagdha &amp; Ediyono, 2022)</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salah satu fokus dalam penelitian ini adalah pengembangan keuangan hijau yang diarahkan untuk mendukung usaha mikro berbasis hijau di Desa Baduy yang dapat berkontribusi pada keberlanjutan ekonomi, sosial, dan lingkungan. Dengan demikian, peran penting keuangan hijau dalam mencapai tujuan pembangunan berkelanjutan (SGDs) tercermin dari upaya mengurangi dampak lingkungan, meningkatkan kerja sama antarmasyarakat di Baduy, dan meningkatkan keberlanjutan ekonomi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{"citationItems":[{"id":"ITEM-1","itemData":{"DOI":"10.19255/JMPM02708","ISSN":"23173963","abstract":"Marketing BY the project is a relatively new topic in project management theory. The problem is that because project professionals do not feel responsible to perform this type of project marketing, stakeholder engagement is not performed to its maximum capability, which leads to less successful projects. This research found seven dimensions (awareness, eco system, feeling heard, involvement, perception, positivity, project goal), which were used to infer and explore the relationships of Marketing BY the project with stakeholder engagement and with project success. Project professionals can expect to improve on stakeholder engagement and increase their chance of achieving project success by performing Marketing BY the project. Researchers are enabled to continue research on the topic of Marketing BY the project and to use the seven dimensions to further explore the topics of stakeholder engagement and project success.","author":[{"dropping-particle":"","family":"Turfboer","given":"Jeffry","non-dropping-particle":"","parse-names":false,"suffix":""},{"dropping-particle":"","family":"Silvius","given":"Gilbert","non-dropping-particle":"","parse-names":false,"suffix":""}],"container-title":"Journal of Modern Project Management","id":"ITEM-1","issue":"1","issued":{"date-parts":[["2021"]]},"page":"113-127","title":"Start Marketing Your Project; the Relationships of Marketing By the Project With Stakeholder Engagement and Project Success","type":"article-journal","volume":"10"},"uris":["http://www.mendeley.com/documents/?uuid=a76d8de0-1018-4e08-b2ef-53f172e7b5ab"]}],"mendeley":{"formattedCitation":"(Turfboer &amp; Silvius, 2021)","plainTextFormattedCitation":"(Turfboer &amp; Silvius, 2021)","previouslyFormattedCitation":"(Turfboer &amp; Silvius, 2021)"},"properties":{"noteIndex":0},"schema":"https://github.com/citation-style-language/schema/raw/master/csl-citation.json"}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(Turfboer &amp; Silvius, 2021)</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Seperti yang dilakukan bagi peneliti ini memiliki nilai intrinsik yang dapat memberikan wawasan unik tentang bagaimana konsep keuangan modern dapat diintegrasikan dengan praktik-praktik tradisional, serta melestarikan nilai-nilai tradisional masyarakat Baduy, dan memberikan pemahaman yang kaya dan kontekstual mengenai tantangan dan peluang dalam menerapkan konsep keuangan hijau di masyarakat adat </w:t>
      </w:r>
      <w:r w:rsidRPr="00DB6768">
        <w:rPr>
          <w:rFonts w:ascii="Abadi" w:eastAsia="Lustria" w:hAnsi="Abadi" w:cs="Lustria"/>
          <w:color w:val="000000"/>
          <w:szCs w:val="24"/>
        </w:rPr>
        <w:fldChar w:fldCharType="begin" w:fldLock="1"/>
      </w:r>
      <w:r w:rsidRPr="00DB6768">
        <w:rPr>
          <w:rFonts w:ascii="Abadi" w:eastAsia="Lustria" w:hAnsi="Abadi" w:cs="Lustria"/>
          <w:color w:val="000000"/>
          <w:szCs w:val="24"/>
        </w:rPr>
        <w:instrText>ADDIN CSL_CITATION {"citationItems":[{"id":"ITEM-1","itemData":{"ISBN":"9786239143893","abstract":"Predicting the binding mode of flexible polypeptides to proteins is an important task that falls outside the domain of applicability of most small molecule and protein</w:instrText>
      </w:r>
      <w:r w:rsidRPr="00DB6768">
        <w:rPr>
          <w:rFonts w:ascii="Arial" w:eastAsia="Lustria" w:hAnsi="Arial" w:cs="Arial"/>
          <w:color w:val="000000"/>
          <w:szCs w:val="24"/>
        </w:rPr>
        <w:instrText>−</w:instrText>
      </w:r>
      <w:r w:rsidRPr="00DB6768">
        <w:rPr>
          <w:rFonts w:ascii="Abadi" w:eastAsia="Lustria" w:hAnsi="Abadi" w:cs="Lustria"/>
          <w:color w:val="000000"/>
          <w:szCs w:val="24"/>
        </w:rPr>
        <w:instrText>protein docking tools. Here, we test the small molecule flexible ligand docking program Glide on a set of 19 non-</w:instrText>
      </w:r>
      <w:r w:rsidRPr="00DB6768">
        <w:rPr>
          <w:rFonts w:ascii="Calibri" w:eastAsia="Lustria" w:hAnsi="Calibri" w:cs="Calibri"/>
          <w:color w:val="000000"/>
          <w:szCs w:val="24"/>
        </w:rPr>
        <w:instrText>α</w:instrText>
      </w:r>
      <w:r w:rsidRPr="00DB6768">
        <w:rPr>
          <w:rFonts w:ascii="Abadi" w:eastAsia="Lustria" w:hAnsi="Abadi" w:cs="Lustria"/>
          <w:color w:val="000000"/>
          <w:szCs w:val="24"/>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Pr="00DB6768">
        <w:rPr>
          <w:rFonts w:ascii="Arial" w:eastAsia="Lustria" w:hAnsi="Arial" w:cs="Arial"/>
          <w:color w:val="000000"/>
          <w:szCs w:val="24"/>
        </w:rPr>
        <w:instrText>≤</w:instrText>
      </w:r>
      <w:r w:rsidRPr="00DB6768">
        <w:rPr>
          <w:rFonts w:ascii="Abadi" w:eastAsia="Lustria" w:hAnsi="Abadi" w:cs="Lustria"/>
          <w:color w:val="000000"/>
          <w:szCs w:val="24"/>
        </w:rPr>
        <w:instrText xml:space="preserve"> 2.0 </w:instrText>
      </w:r>
      <w:r w:rsidRPr="00DB6768">
        <w:rPr>
          <w:rFonts w:ascii="Abadi" w:eastAsia="Lustria" w:hAnsi="Abadi" w:cs="Abadi"/>
          <w:color w:val="000000"/>
          <w:szCs w:val="24"/>
        </w:rPr>
        <w:instrText>Å</w:instrText>
      </w:r>
      <w:r w:rsidRPr="00DB6768">
        <w:rPr>
          <w:rFonts w:ascii="Abadi" w:eastAsia="Lustria" w:hAnsi="Abadi" w:cs="Lustria"/>
          <w:color w:val="000000"/>
          <w:szCs w:val="24"/>
        </w:rPr>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approach.","author":[{"dropping-particle":"","family":"Arianto","given":"Puji","non-dropping-particle":"","parse-names":false,"suffix":""}],"container-title":"Metode penelitian","edition":"A.Pambudi ","id":"ITEM-1","issue":"July","issued":{"date-parts":[["2020"]]},"number-of-pages":"1-120","publisher":"Komunikasi UII","publisher-place":"Pleret","title":"Modul Metode Penelitian Kualitatif","type":"book","volume":"5"},"uris":["http://www.mendeley.com/documents/?uuid=e95a8115-690b-44fb-a040-13426f0c33c0"]}],"mendeley":{"formattedCitation":"(Arianto, 2020)","plainTextFormattedCitation":"(Arianto, 2020)","previouslyFormattedCitation":"(Arianto, 2020)"},"properties":{"noteIndex":0},"schema":"https://github.com/citation-style-language/schema/raw/master/csl-citation.json"}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 xml:space="preserve">(Arianto, </w:t>
      </w:r>
      <w:r w:rsidRPr="00DB6768">
        <w:rPr>
          <w:rFonts w:ascii="Abadi" w:eastAsia="Lustria" w:hAnsi="Abadi" w:cs="Lustria"/>
          <w:color w:val="000000"/>
          <w:szCs w:val="24"/>
        </w:rPr>
        <w:lastRenderedPageBreak/>
        <w:t>2020)</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Pengumpulan data primer dilakukan melalui wawancara, observasi, dan dokumentasi </w:t>
      </w:r>
      <w:r w:rsidRPr="00DB6768">
        <w:rPr>
          <w:rFonts w:ascii="Abadi" w:eastAsia="Lustria" w:hAnsi="Abadi" w:cs="Lustria"/>
          <w:color w:val="000000"/>
          <w:szCs w:val="24"/>
        </w:rPr>
        <w:fldChar w:fldCharType="begin" w:fldLock="1"/>
      </w:r>
      <w:r w:rsidR="00F11FE2" w:rsidRPr="00DB6768">
        <w:rPr>
          <w:rFonts w:ascii="Abadi" w:eastAsia="Lustria" w:hAnsi="Abadi" w:cs="Lustria"/>
          <w:color w:val="000000"/>
          <w:szCs w:val="24"/>
        </w:rPr>
        <w:instrText>ADDIN CSL_CITATION {"citationItems":[{"id":"ITEM-1","itemData":{"ISSN":"2477-0221","abstract":"The use of qualitative research methods in a study should first be understood is the character, characteristics and meaning and purpose of qualitative itself. The importance of understanding the character, characteristics and meaning and purpose of qualitative methods so that researchers do not mistakenly use these methods, as well as knowing the objectives of a qualitative research. So the use of qualitative is not only a means of attachment in the methodology in every type of research in preparing a thesis or thesis and dissertation.","author":[{"dropping-particle":"","family":"Kaharuddin","given":"","non-dropping-particle":"","parse-names":false,"suffix":""}],"container-title":"Jurnal Pendidikan","id":"ITEM-1","issue":"1","issued":{"date-parts":[["2021"]]},"page":"1-8","title":"Kualitatif : Ciri dan Karakter Sebagai Metodologi","type":"article-journal","volume":"IX"},"uris":["http://www.mendeley.com/documents/?uuid=3699590f-a76f-428f-9e3e-636363e94835"]}],"mendeley":{"formattedCitation":"(Kaharuddin, 2021)","plainTextFormattedCitation":"(Kaharuddin, 2021)","previouslyFormattedCitation":"(Kaharuddin, 2021)"},"properties":{"noteIndex":0},"schema":"https://github.com/citation-style-language/schema/raw/master/csl-citation.json"}</w:instrText>
      </w:r>
      <w:r w:rsidRPr="00DB6768">
        <w:rPr>
          <w:rFonts w:ascii="Abadi" w:eastAsia="Lustria" w:hAnsi="Abadi" w:cs="Lustria"/>
          <w:color w:val="000000"/>
          <w:szCs w:val="24"/>
        </w:rPr>
        <w:fldChar w:fldCharType="separate"/>
      </w:r>
      <w:r w:rsidRPr="00DB6768">
        <w:rPr>
          <w:rFonts w:ascii="Abadi" w:eastAsia="Lustria" w:hAnsi="Abadi" w:cs="Lustria"/>
          <w:color w:val="000000"/>
          <w:szCs w:val="24"/>
        </w:rPr>
        <w:t>(Kaharuddin, 2021)</w:t>
      </w:r>
      <w:r w:rsidRPr="00DB6768">
        <w:rPr>
          <w:rFonts w:ascii="Abadi" w:eastAsia="Lustria" w:hAnsi="Abadi" w:cs="Lustria"/>
          <w:color w:val="000000"/>
          <w:szCs w:val="24"/>
        </w:rPr>
        <w:fldChar w:fldCharType="end"/>
      </w:r>
      <w:r w:rsidRPr="00DB6768">
        <w:rPr>
          <w:rFonts w:ascii="Abadi" w:eastAsia="Lustria" w:hAnsi="Abadi" w:cs="Lustria"/>
          <w:color w:val="000000"/>
          <w:szCs w:val="24"/>
        </w:rPr>
        <w:t xml:space="preserve">. </w:t>
      </w:r>
    </w:p>
    <w:p w14:paraId="2FE736F2" w14:textId="77777777" w:rsidR="00444EE5" w:rsidRPr="00DB6768" w:rsidRDefault="00444EE5" w:rsidP="003D7DAE">
      <w:pPr>
        <w:pStyle w:val="NoSpacing"/>
        <w:ind w:firstLine="0"/>
        <w:rPr>
          <w:rFonts w:ascii="Abadi" w:hAnsi="Abadi" w:cstheme="minorHAnsi"/>
          <w:szCs w:val="24"/>
        </w:rPr>
      </w:pPr>
    </w:p>
    <w:p w14:paraId="2AA48F54" w14:textId="708C8321" w:rsidR="00290A7F" w:rsidRPr="00DB6768" w:rsidRDefault="00290A7F" w:rsidP="003D7DAE">
      <w:pPr>
        <w:pStyle w:val="NoSpacing"/>
        <w:ind w:firstLine="0"/>
        <w:rPr>
          <w:rFonts w:ascii="Abadi" w:hAnsi="Abadi" w:cstheme="minorHAnsi"/>
          <w:b/>
          <w:color w:val="ED7D31" w:themeColor="accent2"/>
          <w:szCs w:val="24"/>
          <w:lang w:val="id-ID"/>
        </w:rPr>
      </w:pPr>
      <w:r w:rsidRPr="00DB6768">
        <w:rPr>
          <w:rFonts w:ascii="Abadi" w:hAnsi="Abadi" w:cstheme="minorHAnsi"/>
          <w:b/>
          <w:color w:val="ED7D31" w:themeColor="accent2"/>
          <w:szCs w:val="24"/>
          <w:lang w:val="id-ID"/>
        </w:rPr>
        <w:t xml:space="preserve">Pembahasan </w:t>
      </w:r>
    </w:p>
    <w:p w14:paraId="20398300" w14:textId="582DE4FC" w:rsidR="00F11FE2" w:rsidRPr="00DB6768" w:rsidRDefault="00A9561D" w:rsidP="003D7DAE">
      <w:pPr>
        <w:pStyle w:val="NoSpacing"/>
        <w:ind w:firstLine="0"/>
        <w:rPr>
          <w:rFonts w:ascii="Abadi" w:hAnsi="Abadi" w:cstheme="minorHAnsi"/>
          <w:szCs w:val="24"/>
        </w:rPr>
      </w:pPr>
      <w:r w:rsidRPr="00DB6768">
        <w:rPr>
          <w:rFonts w:ascii="Abadi" w:hAnsi="Abadi" w:cstheme="minorHAnsi"/>
          <w:szCs w:val="24"/>
        </w:rPr>
        <w:t>Baduy adalah suku yang secara administratif berada di Desa Kanekes, Kecamatan Leuwidamar, Kabupaten Lebak, Provinsi Banten. Baduy merupakan kelompok budaya yang masih memegang teguh tradisi. Masyarakat Baduy masih memegang teguh adat istiadat setempat yang dilakukan secara turun temurun. Masyarakat Baduy diharuskan untuk mematuhi aturan dan tata tertib sesuai dengan leluhur mereka yang telah ditentukan. Jika terjadi pelanggaran adat, berarti mereka siap menerima hukuman adat, misalnya pengusiran dari wilayah tersebut dan tidak bisa masuk kembali. Ada norma dan nilai yang menjadi landasan hidup bagi masyarakat Baduy. Dengan adanya modernisasi dan globalisasi, praktik ini kemudian menempatkan masyarakat Baduy dalam posisi yang sulit.</w:t>
      </w:r>
    </w:p>
    <w:p w14:paraId="56B1E5D8" w14:textId="71432F76" w:rsidR="00F11FE2" w:rsidRPr="00DB6768" w:rsidRDefault="00F11FE2" w:rsidP="003D7DAE">
      <w:pPr>
        <w:pStyle w:val="NoSpacing"/>
        <w:numPr>
          <w:ilvl w:val="0"/>
          <w:numId w:val="5"/>
        </w:numPr>
        <w:rPr>
          <w:rFonts w:ascii="Abadi" w:hAnsi="Abadi" w:cstheme="minorHAnsi"/>
          <w:b/>
          <w:bCs/>
          <w:i/>
          <w:iCs/>
          <w:color w:val="ED7D31" w:themeColor="accent2"/>
          <w:szCs w:val="24"/>
        </w:rPr>
      </w:pPr>
      <w:r w:rsidRPr="00DB6768">
        <w:rPr>
          <w:rFonts w:ascii="Abadi" w:hAnsi="Abadi" w:cstheme="minorHAnsi"/>
          <w:b/>
          <w:bCs/>
          <w:i/>
          <w:iCs/>
          <w:color w:val="ED7D31" w:themeColor="accent2"/>
          <w:szCs w:val="24"/>
        </w:rPr>
        <w:t>Green Finance</w:t>
      </w:r>
    </w:p>
    <w:p w14:paraId="2EA00CBD" w14:textId="77777777" w:rsidR="0092453B" w:rsidRPr="00DB6768" w:rsidRDefault="00F11FE2" w:rsidP="0092453B">
      <w:pPr>
        <w:pStyle w:val="NoSpacing"/>
        <w:numPr>
          <w:ilvl w:val="0"/>
          <w:numId w:val="6"/>
        </w:numPr>
        <w:rPr>
          <w:rFonts w:ascii="Abadi" w:hAnsi="Abadi" w:cstheme="minorHAnsi"/>
          <w:i/>
          <w:iCs/>
          <w:szCs w:val="24"/>
        </w:rPr>
      </w:pPr>
      <w:r w:rsidRPr="00DB6768">
        <w:rPr>
          <w:rFonts w:ascii="Abadi" w:hAnsi="Abadi" w:cstheme="minorHAnsi"/>
          <w:i/>
          <w:iCs/>
          <w:szCs w:val="24"/>
        </w:rPr>
        <w:t>Carbon emission</w:t>
      </w:r>
    </w:p>
    <w:p w14:paraId="320913D4" w14:textId="133335B5" w:rsidR="0092453B" w:rsidRPr="00DB6768" w:rsidRDefault="00F11FE2" w:rsidP="0092453B">
      <w:pPr>
        <w:pStyle w:val="NoSpacing"/>
        <w:ind w:left="1080" w:firstLine="360"/>
        <w:rPr>
          <w:rFonts w:ascii="Abadi" w:hAnsi="Abadi" w:cstheme="minorHAnsi"/>
          <w:i/>
          <w:iCs/>
          <w:szCs w:val="24"/>
        </w:rPr>
      </w:pPr>
      <w:r w:rsidRPr="00DB6768">
        <w:rPr>
          <w:rFonts w:ascii="Abadi" w:hAnsi="Abadi"/>
          <w:szCs w:val="24"/>
        </w:rPr>
        <w:t xml:space="preserve">Sektor keuangan memiliki peran penting dalam pertumbuhan ekonomi. Namun, pertumbuhan ekonomi sering kali dikaitkan dengan penggunaan energi yang lebih tingi, terutama dari bahan bakar fosil. Salah satu alasan utama peningkatan emisi karbon ke atmosfer adalah penggunaan energi bahan bakar fosil yang ekstensif </w:t>
      </w:r>
      <w:r w:rsidRPr="00DB6768">
        <w:rPr>
          <w:rFonts w:ascii="Abadi" w:hAnsi="Abadi"/>
          <w:szCs w:val="24"/>
        </w:rPr>
        <w:fldChar w:fldCharType="begin" w:fldLock="1"/>
      </w:r>
      <w:r w:rsidRPr="00DB6768">
        <w:rPr>
          <w:rFonts w:ascii="Abadi" w:hAnsi="Abadi"/>
          <w:szCs w:val="24"/>
        </w:rPr>
        <w:instrText>ADDIN CSL_CITATION {"citationItems":[{"id":"ITEM-1","itemData":{"DOI":"10.3389/fenvs.2022.844988","ISSN":"2296665X","abstract":"Carbon emission reduction is critical to realizing China’s “Carbon Peak” and “Carbon Neutrality” goals. Green finance plays an essential role in accomplishing carbon emission reduction. Given the importance, this study builds and tests a causal model that specifies the direct and indirect interconnection of green finance and carbon emission reduction of the Yangtze River Economic Belt in China from 2006 to 2019. The received data reports are from national and local statistical offices. The unit root test and multicollinearity test proves the data are stationary and free from multicollinearity, which builds a foundation for constructing a regression model. The Hausman test provides the evidence for the selection of time and individuals double fixed effects. The stepwise regression model explains the mediation role of technological innovation in the green finance and carbon emission relationship which confirms the rationality of the theoretical assumptions. The spatial Durbin model (SDM) is applied using Stata version 16 for analysis purposes to measure the strength of the relationships which exist among the studied variables. Through the endogeneity test, the reliability of the model results has been demonstrated. The empirical outcomes indicate that it is the Yangtze River Economic Belt that has existed a significant spatial effect of reducing carbon emission, and the various provinces have shown mutual restraint effects of carbon emission. The findings show that green finance has a prominent adverse direct impact on carbon emission, but the spillover effect of green finance on neighboring provinces are seemingly insignificant. A green finance development alliance, green financial reform, and innovation pilot zone should be promoted. The generalizability of the study offers valuable insights for imminent researchers. The research findings could be beneficial for policymakers.","author":[{"dropping-particle":"","family":"Guo","given":"Chang Qing","non-dropping-particle":"","parse-names":false,"suffix":""},{"dropping-particle":"","family":"Wang","given":"Xin","non-dropping-particle":"","parse-names":false,"suffix":""},{"dropping-particle":"","family":"Cao","given":"Dan Dan","non-dropping-particle":"","parse-names":false,"suffix":""},{"dropping-particle":"","family":"Hou","given":"Yong Guang","non-dropping-particle":"","parse-names":false,"suffix":""}],"container-title":"Frontiers in Environmental Science","id":"ITEM-1","issue":"March","issued":{"date-parts":[["2022"]]},"page":"1-17","title":"The Impact of Green Finance on Carbon Emission--Analysis Based on Mediation Effect and Spatial Effect","type":"article-journal","volume":"10"},"uris":["http://www.mendeley.com/documents/?uuid=0d777148-e166-414d-81c9-78d6305e598c"]}],"mendeley":{"formattedCitation":"(Guo et al., 2022)","plainTextFormattedCitation":"(Guo et al., 2022)","previouslyFormattedCitation":"(Guo et al., 2022)"},"properties":{"noteIndex":0},"schema":"https://github.com/citation-style-language/schema/raw/master/csl-citation.json"}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(Guo et al., 2022)</w:t>
      </w:r>
      <w:r w:rsidRPr="00DB6768">
        <w:rPr>
          <w:rFonts w:ascii="Abadi" w:hAnsi="Abadi"/>
          <w:szCs w:val="24"/>
        </w:rPr>
        <w:fldChar w:fldCharType="end"/>
      </w:r>
      <w:r w:rsidRPr="00DB6768">
        <w:rPr>
          <w:rFonts w:ascii="Abadi" w:hAnsi="Abadi"/>
          <w:szCs w:val="24"/>
        </w:rPr>
        <w:t xml:space="preserve"> Dalam hal ini, praktik pertanian, penggunaan lahan, dan penggunaan transportasi di wilayah masyarakat Baduy menjadi penting untuk dibahas, sebab dari beberapa yang dilakukan dapat mempengaruhi jumlah emisi karbon yang dilepaskan ke lingkungan. Hal ini didukung dari hasil wawancara kepada beberapa informan masyarakat Baduy, bahwa beberapa masyarakat Baduy tidak memiliki lahan pertanian sendiri, salah satunya ada yang mengelola lahan warisan dari orang tua, ada yang mengikut dengan lahan orang lain yang nantinya hasil dari berladang dibagi dua dengan pemilik asli lahan. Bahkan, dapat terjalin pertanian instensif yang mengandalkan pembukaan lahan secara besar-besaran dan menimimalisir terjadinya emisi karbon akibat perubahan penggunaan lahan. </w:t>
      </w:r>
      <w:r w:rsidR="0092453B" w:rsidRPr="00DB6768">
        <w:rPr>
          <w:rFonts w:ascii="Abadi" w:hAnsi="Abadi"/>
          <w:szCs w:val="24"/>
        </w:rPr>
        <w:t>Masyarakat Baduy memiliki sistem pertanian yang berbasis tradisi dan kearifan lokal, dilakukan secara manual dan ramah lingkungan, dan tidak berkontribusi terhadap emisi karbon, karena tidak menggunakan alat modern, pupuk kimia, maupun membakar lahan.</w:t>
      </w:r>
    </w:p>
    <w:p w14:paraId="2BFBCE81" w14:textId="5DA3E70E" w:rsidR="00F11FE2" w:rsidRPr="00DB6768" w:rsidRDefault="00F11FE2" w:rsidP="0092453B">
      <w:pPr>
        <w:pStyle w:val="NoSpacing"/>
        <w:ind w:left="1080" w:firstLine="360"/>
        <w:rPr>
          <w:rFonts w:ascii="Abadi" w:hAnsi="Abadi"/>
          <w:szCs w:val="24"/>
        </w:rPr>
      </w:pPr>
      <w:r w:rsidRPr="00DB6768">
        <w:rPr>
          <w:rFonts w:ascii="Abadi" w:hAnsi="Abadi"/>
          <w:szCs w:val="24"/>
        </w:rPr>
        <w:t>Maka dari itu praktik pertanian masyarakat Baduy memiliki jejak karbon yang rendah, bahkan seluruh aktivitas sehari-hari dilakukan tanpa energi fosil.</w:t>
      </w:r>
    </w:p>
    <w:p w14:paraId="73E3EFE8" w14:textId="0729A239" w:rsidR="0092453B" w:rsidRPr="00DB6768" w:rsidRDefault="0092453B" w:rsidP="0092453B">
      <w:pPr>
        <w:pStyle w:val="NoSpacing"/>
        <w:ind w:left="1080" w:firstLine="360"/>
        <w:jc w:val="left"/>
        <w:rPr>
          <w:rFonts w:ascii="Abadi" w:hAnsi="Abadi"/>
          <w:szCs w:val="24"/>
        </w:rPr>
      </w:pPr>
      <w:r w:rsidRPr="00DB6768">
        <w:rPr>
          <w:rFonts w:ascii="Abadi" w:hAnsi="Abadi"/>
        </w:rPr>
        <w:drawing>
          <wp:inline distT="0" distB="0" distL="0" distR="0" wp14:anchorId="5156851D" wp14:editId="11FDFDFB">
            <wp:extent cx="1662049" cy="803081"/>
            <wp:effectExtent l="0" t="0" r="0" b="0"/>
            <wp:docPr id="44" name="Picture 44" descr="A wooden handle on a bamboo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3842" b="26857"/>
                    <a:stretch/>
                  </pic:blipFill>
                  <pic:spPr bwMode="auto">
                    <a:xfrm>
                      <a:off x="0" y="0"/>
                      <a:ext cx="1696351" cy="819655"/>
                    </a:xfrm>
                    <a:prstGeom prst="rect">
                      <a:avLst/>
                    </a:prstGeom>
                    <a:noFill/>
                    <a:ln>
                      <a:noFill/>
                    </a:ln>
                    <a:extLst>
                      <a:ext uri="{53640926-AAD7-44D8-BBD7-CCE9431645EC}">
                        <a14:shadowObscured xmlns:a14="http://schemas.microsoft.com/office/drawing/2010/main"/>
                      </a:ext>
                    </a:extLst>
                  </pic:spPr>
                </pic:pic>
              </a:graphicData>
            </a:graphic>
          </wp:inline>
        </w:drawing>
      </w:r>
      <w:r w:rsidRPr="00DB6768">
        <w:rPr>
          <w:rFonts w:ascii="Abadi" w:hAnsi="Abadi"/>
          <w:szCs w:val="24"/>
        </w:rPr>
        <w:tab/>
      </w:r>
      <w:r w:rsidRPr="00DB6768">
        <w:rPr>
          <w:rFonts w:ascii="Abadi" w:hAnsi="Abadi"/>
          <w:szCs w:val="24"/>
        </w:rPr>
        <w:tab/>
      </w:r>
      <w:r w:rsidRPr="00DB6768">
        <w:rPr>
          <w:rFonts w:ascii="Abadi" w:hAnsi="Abadi"/>
          <w:szCs w:val="24"/>
        </w:rPr>
        <w:tab/>
      </w:r>
      <w:r w:rsidRPr="00DB6768">
        <w:rPr>
          <w:rFonts w:ascii="Abadi" w:hAnsi="Abadi"/>
        </w:rPr>
        <w:drawing>
          <wp:inline distT="0" distB="0" distL="0" distR="0" wp14:anchorId="63412C43" wp14:editId="5CC1872B">
            <wp:extent cx="1272209" cy="1361080"/>
            <wp:effectExtent l="0" t="0" r="4445" b="0"/>
            <wp:docPr id="43" name="Picture 43" descr="A group of people walking in the ju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1592" b="4915"/>
                    <a:stretch/>
                  </pic:blipFill>
                  <pic:spPr bwMode="auto">
                    <a:xfrm>
                      <a:off x="0" y="0"/>
                      <a:ext cx="1277727" cy="1366984"/>
                    </a:xfrm>
                    <a:prstGeom prst="rect">
                      <a:avLst/>
                    </a:prstGeom>
                    <a:noFill/>
                    <a:ln>
                      <a:noFill/>
                    </a:ln>
                    <a:extLst>
                      <a:ext uri="{53640926-AAD7-44D8-BBD7-CCE9431645EC}">
                        <a14:shadowObscured xmlns:a14="http://schemas.microsoft.com/office/drawing/2010/main"/>
                      </a:ext>
                    </a:extLst>
                  </pic:spPr>
                </pic:pic>
              </a:graphicData>
            </a:graphic>
          </wp:inline>
        </w:drawing>
      </w:r>
    </w:p>
    <w:p w14:paraId="256C0ADE" w14:textId="0180B5E7" w:rsidR="0092453B" w:rsidRPr="00DB6768" w:rsidRDefault="0092453B" w:rsidP="0092453B">
      <w:pPr>
        <w:pStyle w:val="Caption"/>
        <w:rPr>
          <w:rFonts w:ascii="Abadi" w:hAnsi="Abadi"/>
          <w:i w:val="0"/>
          <w:iCs w:val="0"/>
          <w:szCs w:val="24"/>
        </w:rPr>
      </w:pPr>
      <w:r w:rsidRPr="00DB6768">
        <w:rPr>
          <w:rFonts w:ascii="Abadi" w:hAnsi="Abadi"/>
          <w:i w:val="0"/>
          <w:iCs w:val="0"/>
          <w:color w:val="auto"/>
        </w:rPr>
        <w:t xml:space="preserve">Gambar 2. </w:t>
      </w:r>
      <w:r w:rsidRPr="00DB6768">
        <w:rPr>
          <w:rFonts w:ascii="Abadi" w:hAnsi="Abadi"/>
          <w:i w:val="0"/>
          <w:iCs w:val="0"/>
          <w:color w:val="auto"/>
        </w:rPr>
        <w:fldChar w:fldCharType="begin"/>
      </w:r>
      <w:r w:rsidRPr="00DB6768">
        <w:rPr>
          <w:rFonts w:ascii="Abadi" w:hAnsi="Abadi"/>
          <w:i w:val="0"/>
          <w:iCs w:val="0"/>
          <w:color w:val="auto"/>
        </w:rPr>
        <w:instrText xml:space="preserve"> SEQ Gambar_2. \* ARABIC </w:instrText>
      </w:r>
      <w:r w:rsidRPr="00DB6768">
        <w:rPr>
          <w:rFonts w:ascii="Abadi" w:hAnsi="Abadi"/>
          <w:i w:val="0"/>
          <w:iCs w:val="0"/>
          <w:color w:val="auto"/>
        </w:rPr>
        <w:fldChar w:fldCharType="separate"/>
      </w:r>
      <w:r w:rsidR="00842305" w:rsidRPr="00DB6768">
        <w:rPr>
          <w:rFonts w:ascii="Abadi" w:hAnsi="Abadi"/>
          <w:i w:val="0"/>
          <w:iCs w:val="0"/>
          <w:color w:val="auto"/>
        </w:rPr>
        <w:t>1</w:t>
      </w:r>
      <w:r w:rsidRPr="00DB6768">
        <w:rPr>
          <w:rFonts w:ascii="Abadi" w:hAnsi="Abadi"/>
          <w:i w:val="0"/>
          <w:iCs w:val="0"/>
          <w:color w:val="auto"/>
        </w:rPr>
        <w:fldChar w:fldCharType="end"/>
      </w:r>
      <w:r w:rsidRPr="00DB6768">
        <w:rPr>
          <w:rFonts w:ascii="Abadi" w:hAnsi="Abadi"/>
          <w:i w:val="0"/>
          <w:iCs w:val="0"/>
          <w:color w:val="auto"/>
        </w:rPr>
        <w:t xml:space="preserve"> Alat tradisional atau etem</w:t>
      </w:r>
      <w:r w:rsidRPr="00DB6768">
        <w:rPr>
          <w:rFonts w:ascii="Abadi" w:hAnsi="Abadi"/>
          <w:i w:val="0"/>
          <w:iCs w:val="0"/>
          <w:color w:val="auto"/>
        </w:rPr>
        <w:tab/>
      </w:r>
      <w:r w:rsidRPr="00DB6768">
        <w:rPr>
          <w:rFonts w:ascii="Abadi" w:hAnsi="Abadi"/>
          <w:i w:val="0"/>
          <w:iCs w:val="0"/>
          <w:color w:val="auto"/>
        </w:rPr>
        <w:tab/>
      </w:r>
      <w:r w:rsidRPr="00DB6768">
        <w:rPr>
          <w:rFonts w:ascii="Abadi" w:hAnsi="Abadi"/>
          <w:i w:val="0"/>
          <w:iCs w:val="0"/>
          <w:color w:val="auto"/>
        </w:rPr>
        <w:tab/>
        <w:t xml:space="preserve">Gambar 2. </w:t>
      </w:r>
      <w:r w:rsidRPr="00DB6768">
        <w:rPr>
          <w:rFonts w:ascii="Abadi" w:hAnsi="Abadi"/>
          <w:i w:val="0"/>
          <w:iCs w:val="0"/>
          <w:color w:val="auto"/>
        </w:rPr>
        <w:fldChar w:fldCharType="begin"/>
      </w:r>
      <w:r w:rsidRPr="00DB6768">
        <w:rPr>
          <w:rFonts w:ascii="Abadi" w:hAnsi="Abadi"/>
          <w:i w:val="0"/>
          <w:iCs w:val="0"/>
          <w:color w:val="auto"/>
        </w:rPr>
        <w:instrText xml:space="preserve"> SEQ Gambar_2. \* ARABIC </w:instrText>
      </w:r>
      <w:r w:rsidRPr="00DB6768">
        <w:rPr>
          <w:rFonts w:ascii="Abadi" w:hAnsi="Abadi"/>
          <w:i w:val="0"/>
          <w:iCs w:val="0"/>
          <w:color w:val="auto"/>
        </w:rPr>
        <w:fldChar w:fldCharType="separate"/>
      </w:r>
      <w:r w:rsidR="00842305" w:rsidRPr="00DB6768">
        <w:rPr>
          <w:rFonts w:ascii="Abadi" w:hAnsi="Abadi"/>
          <w:i w:val="0"/>
          <w:iCs w:val="0"/>
          <w:color w:val="auto"/>
        </w:rPr>
        <w:t>2</w:t>
      </w:r>
      <w:r w:rsidRPr="00DB6768">
        <w:rPr>
          <w:rFonts w:ascii="Abadi" w:hAnsi="Abadi"/>
          <w:i w:val="0"/>
          <w:iCs w:val="0"/>
          <w:color w:val="auto"/>
        </w:rPr>
        <w:fldChar w:fldCharType="end"/>
      </w:r>
      <w:r w:rsidRPr="00DB6768">
        <w:rPr>
          <w:rFonts w:ascii="Abadi" w:hAnsi="Abadi"/>
          <w:i w:val="0"/>
          <w:iCs w:val="0"/>
          <w:color w:val="auto"/>
        </w:rPr>
        <w:t xml:space="preserve"> Aktivitas berjalan kaki</w:t>
      </w:r>
    </w:p>
    <w:p w14:paraId="6B1D9486" w14:textId="77777777" w:rsidR="0092453B" w:rsidRPr="00DB6768" w:rsidRDefault="0092453B" w:rsidP="0092453B">
      <w:pPr>
        <w:pStyle w:val="NoSpacing"/>
        <w:ind w:left="1080" w:firstLine="360"/>
        <w:rPr>
          <w:rFonts w:ascii="Abadi" w:hAnsi="Abadi"/>
          <w:szCs w:val="24"/>
        </w:rPr>
      </w:pPr>
    </w:p>
    <w:p w14:paraId="2F346EF8" w14:textId="77777777" w:rsidR="0092453B" w:rsidRPr="00DB6768" w:rsidRDefault="0092453B" w:rsidP="0092453B">
      <w:pPr>
        <w:pStyle w:val="NoSpacing"/>
        <w:ind w:left="1080" w:firstLine="360"/>
        <w:rPr>
          <w:rFonts w:ascii="Abadi" w:hAnsi="Abadi"/>
          <w:szCs w:val="24"/>
        </w:rPr>
      </w:pPr>
    </w:p>
    <w:p w14:paraId="105E3CB3" w14:textId="3BC4A89E" w:rsidR="00F11FE2" w:rsidRPr="00DB6768" w:rsidRDefault="00F11FE2" w:rsidP="003D7DAE">
      <w:pPr>
        <w:pStyle w:val="NoSpacing"/>
        <w:numPr>
          <w:ilvl w:val="0"/>
          <w:numId w:val="6"/>
        </w:numPr>
        <w:rPr>
          <w:rFonts w:ascii="Abadi" w:hAnsi="Abadi" w:cstheme="minorHAnsi"/>
          <w:i/>
          <w:iCs/>
          <w:szCs w:val="24"/>
        </w:rPr>
      </w:pPr>
      <w:r w:rsidRPr="00DB6768">
        <w:rPr>
          <w:rFonts w:ascii="Abadi" w:hAnsi="Abadi" w:cstheme="minorHAnsi"/>
          <w:i/>
          <w:iCs/>
          <w:szCs w:val="24"/>
        </w:rPr>
        <w:t>Green Loan</w:t>
      </w:r>
    </w:p>
    <w:p w14:paraId="3494B016" w14:textId="0991E10F" w:rsidR="00F11FE2" w:rsidRPr="00DB6768" w:rsidRDefault="00F11FE2" w:rsidP="0092453B">
      <w:pPr>
        <w:pStyle w:val="NoSpacing"/>
        <w:ind w:left="1080" w:firstLine="360"/>
        <w:rPr>
          <w:rFonts w:ascii="Abadi" w:hAnsi="Abadi"/>
          <w:szCs w:val="24"/>
        </w:rPr>
      </w:pPr>
      <w:r w:rsidRPr="00DB6768">
        <w:rPr>
          <w:rFonts w:ascii="Abadi" w:hAnsi="Abadi"/>
          <w:i/>
          <w:iCs/>
          <w:szCs w:val="24"/>
        </w:rPr>
        <w:t>Green loan</w:t>
      </w:r>
      <w:r w:rsidRPr="00DB6768">
        <w:rPr>
          <w:rFonts w:ascii="Abadi" w:hAnsi="Abadi"/>
          <w:szCs w:val="24"/>
        </w:rPr>
        <w:t xml:space="preserve"> merupakan jenis pinjaman yang difokuskan kepada proyek-proyek yang mendukung kepedulian terhadap lingkungan. Selaras dengan ini, pinjaman termasuk ke dalam bagian keuangan berkelanjutan yang tidak hanya berfokus kepada ekonomi, tetapi juga memperhatikan dampak sosial dan lingkungan. Tujuannya ialah agar pertumbuhan ekonomi tetap berjalan, tanpa merusak alam dan tetap membawa manfaat bagi masyarakat luas </w:t>
      </w:r>
      <w:r w:rsidRPr="00DB6768">
        <w:rPr>
          <w:rFonts w:ascii="Abadi" w:hAnsi="Abadi"/>
          <w:szCs w:val="24"/>
        </w:rPr>
        <w:fldChar w:fldCharType="begin" w:fldLock="1"/>
      </w:r>
      <w:r w:rsidR="00A7674C" w:rsidRPr="00DB6768">
        <w:rPr>
          <w:rFonts w:ascii="Abadi" w:hAnsi="Abadi"/>
          <w:szCs w:val="24"/>
        </w:rPr>
        <w:instrText>ADDIN CSL_CITATION {"citationItems":[{"id":"ITEM-1","itemData":{"DOI":"10.1051/bioconf/20249305012","ISSN":"21174458","abstract":"The study examines the transition to a sustainable global economy, which requires countries to encourage and stimulate investments that bring environmental benefits. Due to the growing pressure on governments to reduce greenhouse gas emissions and reduce all types of pollution, so-called green finance has assumed an important role by providing governments. The study noted that green finance uses the power of markets to allow investors and businesses to make money, as well as save the planet. Green loans are loans that are provided to finance environmental projects aimed at improving the environmental situation and reducing the negative impact on the environment. Such projects may include the installation of equipment for the use of renewable energy sources, improvement of waste management systems or the introduction of technologies aimed at reducing emissions of harmful substances. Green loans can be businesses and often have lower interest rates compared to conventional loans.","author":[{"dropping-particle":"","family":"Niyazbekova","given":"Shakizada","non-dropping-particle":"","parse-names":false,"suffix":""},{"dropping-particle":"","family":"Semenov","given":"Alexander","non-dropping-particle":"","parse-names":false,"suffix":""},{"dropping-particle":"","family":"Syzdykova","given":"Elmira","non-dropping-particle":"","parse-names":false,"suffix":""},{"dropping-particle":"","family":"Irisheva","given":"Aigul","non-dropping-particle":"","parse-names":false,"suffix":""},{"dropping-particle":"","family":"Bikashev","given":"Danat","non-dropping-particle":"","parse-names":false,"suffix":""},{"dropping-particle":"","family":"Varzin","given":"Vasiliy","non-dropping-particle":"","parse-names":false,"suffix":""}],"container-title":"BIO Web of Conferences","id":"ITEM-1","issue":"05012","issued":{"date-parts":[["2024"]]},"page":"1-10","title":"Green Loans and Projects Aimed at Protecting The Environment and Increasing The Sustainability of The Economy","type":"article-journal","volume":"93"},"uris":["http://www.mendeley.com/documents/?uuid=8398d62d-a3a1-410a-8e3e-fba408e0f129"]}],"mendeley":{"formattedCitation":"(Niyazbekova et al., 2024)","plainTextFormattedCitation":"(Niyazbekova et al., 2024)","previouslyFormattedCitation":"(Niyazbekova et al., 2024)"},"properties":{"noteIndex":0},"schema":"https://github.com/citation-style-language/schema/raw/master/csl-citation.json"}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(Niyazbekova et al., 2024)</w:t>
      </w:r>
      <w:r w:rsidRPr="00DB6768">
        <w:rPr>
          <w:rFonts w:ascii="Abadi" w:hAnsi="Abadi"/>
          <w:szCs w:val="24"/>
        </w:rPr>
        <w:fldChar w:fldCharType="end"/>
      </w:r>
      <w:r w:rsidR="00A7674C" w:rsidRPr="00DB6768">
        <w:rPr>
          <w:rFonts w:ascii="Abadi" w:hAnsi="Abadi"/>
          <w:szCs w:val="24"/>
        </w:rPr>
        <w:t xml:space="preserve">. Masyarakat Baduy jarang memiliki hutang dan meminjam hutang, mereka lebih banyak hidup dengan kemampuan sendiri dan mengandalkan sumber daya. Jika masyarakat Baduy memiliki pinjaman akan digunakan untuk yang penting dan produktif, misalnya membeli bibit tanaman, alat pertanian, atau kebutuhan mendesak. Di sisi lain, </w:t>
      </w:r>
      <w:r w:rsidR="00A7674C" w:rsidRPr="00DB6768">
        <w:rPr>
          <w:rFonts w:ascii="Abadi" w:hAnsi="Abadi"/>
          <w:i/>
          <w:iCs/>
          <w:szCs w:val="24"/>
        </w:rPr>
        <w:t>green loan</w:t>
      </w:r>
      <w:r w:rsidR="00A7674C" w:rsidRPr="00DB6768">
        <w:rPr>
          <w:rFonts w:ascii="Abadi" w:hAnsi="Abadi"/>
          <w:szCs w:val="24"/>
        </w:rPr>
        <w:t xml:space="preserve"> sebagai alat penting dalam menanggulangi krisis lingkungan dan mendukung proyek-proyek yang ramah lingkungan, memperlihatkan pertumbuhan dan manfaat ekonomi yang berkelanjutan.</w:t>
      </w:r>
      <w:r w:rsidR="00A7674C" w:rsidRPr="00DB6768">
        <w:rPr>
          <w:rFonts w:ascii="Abadi" w:hAnsi="Abadi"/>
          <w:szCs w:val="24"/>
        </w:rPr>
        <w:fldChar w:fldCharType="begin" w:fldLock="1"/>
      </w:r>
      <w:r w:rsidR="00A7674C" w:rsidRPr="00DB6768">
        <w:rPr>
          <w:rFonts w:ascii="Abadi" w:hAnsi="Abadi"/>
          <w:szCs w:val="24"/>
        </w:rPr>
        <w:instrText>ADDIN CSL_CITATION {"citationItems":[{"id":"ITEM-1","itemData":{"DOI":"10.1051/bioconf/20249305012","ISSN":"21174458","abstract":"The study examines the transition to a sustainable global economy, which requires countries to encourage and stimulate investments that bring environmental benefits. Due to the growing pressure on governments to reduce greenhouse gas emissions and reduce all types of pollution, so-called green finance has assumed an important role by providing governments. The study noted that green finance uses the power of markets to allow investors and businesses to make money, as well as save the planet. Green loans are loans that are provided to finance environmental projects aimed at improving the environmental situation and reducing the negative impact on the environment. Such projects may include the installation of equipment for the use of renewable energy sources, improvement of waste management systems or the introduction of technologies aimed at reducing emissions of harmful substances. Green loans can be businesses and often have lower interest rates compared to conventional loans.","author":[{"dropping-particle":"","family":"Niyazbekova","given":"Shakizada","non-dropping-particle":"","parse-names":false,"suffix":""},{"dropping-particle":"","family":"Semenov","given":"Alexander","non-dropping-particle":"","parse-names":false,"suffix":""},{"dropping-particle":"","family":"Syzdykova","given":"Elmira","non-dropping-particle":"","parse-names":false,"suffix":""},{"dropping-particle":"","family":"Irisheva","given":"Aigul","non-dropping-particle":"","parse-names":false,"suffix":""},{"dropping-particle":"","family":"Bikashev","given":"Danat","non-dropping-particle":"","parse-names":false,"suffix":""},{"dropping-particle":"","family":"Varzin","given":"Vasiliy","non-dropping-particle":"","parse-names":false,"suffix":""}],"container-title":"BIO Web of Conferences","id":"ITEM-1","issue":"05012","issued":{"date-parts":[["2024"]]},"page":"1-10","title":"Green Loans and Projects Aimed at Protecting The Environment and Increasing The Sustainability of The Economy","type":"article-journal","volume":"93"},"uris":["http://www.mendeley.com/documents/?uuid=8398d62d-a3a1-410a-8e3e-fba408e0f129"]}],"mendeley":{"formattedCitation":"(Niyazbekova et al., 2024)","plainTextFormattedCitation":"(Niyazbekova et al., 2024)","previouslyFormattedCitation":"(Niyazbekova et al., 2024)"},"properties":{"noteIndex":0},"schema":"https://github.com/citation-style-language/schema/raw/master/csl-citation.json"}</w:instrText>
      </w:r>
      <w:r w:rsidR="00A7674C" w:rsidRPr="00DB6768">
        <w:rPr>
          <w:rFonts w:ascii="Abadi" w:hAnsi="Abadi"/>
          <w:szCs w:val="24"/>
        </w:rPr>
        <w:fldChar w:fldCharType="separate"/>
      </w:r>
      <w:r w:rsidR="00A7674C" w:rsidRPr="00DB6768">
        <w:rPr>
          <w:rFonts w:ascii="Abadi" w:hAnsi="Abadi"/>
          <w:szCs w:val="24"/>
        </w:rPr>
        <w:t>(Niyazbekova et al., 2024)</w:t>
      </w:r>
      <w:r w:rsidR="00A7674C" w:rsidRPr="00DB6768">
        <w:rPr>
          <w:rFonts w:ascii="Abadi" w:hAnsi="Abadi"/>
          <w:szCs w:val="24"/>
        </w:rPr>
        <w:fldChar w:fldCharType="end"/>
      </w:r>
      <w:r w:rsidR="00A7674C" w:rsidRPr="00DB6768">
        <w:rPr>
          <w:rFonts w:ascii="Abadi" w:hAnsi="Abadi"/>
          <w:szCs w:val="24"/>
        </w:rPr>
        <w:t xml:space="preserve">. Akan hal ini, dapat selaras dengan prinsip </w:t>
      </w:r>
      <w:r w:rsidR="00A7674C" w:rsidRPr="00DB6768">
        <w:rPr>
          <w:rFonts w:ascii="Abadi" w:hAnsi="Abadi"/>
          <w:i/>
          <w:iCs/>
          <w:szCs w:val="24"/>
        </w:rPr>
        <w:t>green loan</w:t>
      </w:r>
      <w:r w:rsidR="00A7674C" w:rsidRPr="00DB6768">
        <w:rPr>
          <w:rFonts w:ascii="Abadi" w:hAnsi="Abadi"/>
          <w:szCs w:val="24"/>
        </w:rPr>
        <w:t xml:space="preserve"> yang menekankan pada memanfaatkan secara sadar, menjaga keseimbangan, dan tidak merusak alam untuk kepentingan sesaat.</w:t>
      </w:r>
    </w:p>
    <w:p w14:paraId="3C73C26F" w14:textId="77777777" w:rsidR="0092453B" w:rsidRPr="00DB6768" w:rsidRDefault="0092453B" w:rsidP="0092453B">
      <w:pPr>
        <w:pStyle w:val="NoSpacing"/>
        <w:ind w:left="1080" w:firstLine="360"/>
        <w:rPr>
          <w:rFonts w:ascii="Abadi" w:hAnsi="Abadi"/>
          <w:szCs w:val="24"/>
        </w:rPr>
      </w:pPr>
    </w:p>
    <w:p w14:paraId="38B2F218" w14:textId="6F61DCB3" w:rsidR="00A7674C" w:rsidRPr="00DB6768" w:rsidRDefault="00A7674C" w:rsidP="003D7DAE">
      <w:pPr>
        <w:pStyle w:val="NoSpacing"/>
        <w:numPr>
          <w:ilvl w:val="0"/>
          <w:numId w:val="6"/>
        </w:numPr>
        <w:rPr>
          <w:rFonts w:ascii="Abadi" w:hAnsi="Abadi"/>
          <w:szCs w:val="24"/>
        </w:rPr>
      </w:pPr>
      <w:r w:rsidRPr="00DB6768">
        <w:rPr>
          <w:rFonts w:ascii="Abadi" w:hAnsi="Abadi"/>
          <w:i/>
          <w:iCs/>
          <w:szCs w:val="24"/>
        </w:rPr>
        <w:t>Green Invesment</w:t>
      </w:r>
    </w:p>
    <w:p w14:paraId="729FD07B" w14:textId="0CEA476A" w:rsidR="00A7674C" w:rsidRPr="00DB6768" w:rsidRDefault="00A7674C" w:rsidP="0092453B">
      <w:pPr>
        <w:pStyle w:val="NoSpacing"/>
        <w:ind w:left="1080" w:firstLine="360"/>
        <w:rPr>
          <w:rFonts w:ascii="Abadi" w:hAnsi="Abadi" w:cstheme="majorBidi"/>
          <w:szCs w:val="24"/>
        </w:rPr>
      </w:pPr>
      <w:r w:rsidRPr="00DB6768">
        <w:rPr>
          <w:rFonts w:ascii="Abadi" w:hAnsi="Abadi"/>
          <w:i/>
          <w:iCs/>
          <w:szCs w:val="24"/>
        </w:rPr>
        <w:t>Green investment</w:t>
      </w:r>
      <w:r w:rsidRPr="00DB6768">
        <w:rPr>
          <w:rFonts w:ascii="Abadi" w:hAnsi="Abadi"/>
          <w:szCs w:val="24"/>
        </w:rPr>
        <w:t xml:space="preserve"> dalam masyarakat adat lebih sering dialokasikan ke dalam penyimpanan hasil kebun yang disimpan dengan jangka waktu yang panjang. Penyimpanan ini bukan hanya soal ketahanan pangan, tetapi mencerminkan investasi jangka panjang dan berkelanjutan. Selain itu, investasi yang dilakukan terlihat dari keseharian hidup mereka, seperti penyimpan padi dalam </w:t>
      </w:r>
      <w:r w:rsidRPr="00DB6768">
        <w:rPr>
          <w:rFonts w:ascii="Abadi" w:hAnsi="Abadi"/>
          <w:i/>
          <w:iCs/>
          <w:szCs w:val="24"/>
        </w:rPr>
        <w:t>leuit</w:t>
      </w:r>
      <w:r w:rsidRPr="00DB6768">
        <w:rPr>
          <w:rFonts w:ascii="Abadi" w:hAnsi="Abadi"/>
          <w:szCs w:val="24"/>
        </w:rPr>
        <w:t xml:space="preserve"> dalam jangka waktu yang lama dan memanfaatkan sumber daya alam secara bijak tanpa merusaknya. Hal ini, selaras dengan prinsip </w:t>
      </w:r>
      <w:r w:rsidRPr="00DB6768">
        <w:rPr>
          <w:rFonts w:ascii="Abadi" w:hAnsi="Abadi"/>
          <w:i/>
          <w:iCs/>
          <w:szCs w:val="24"/>
        </w:rPr>
        <w:t xml:space="preserve">green finance. </w:t>
      </w:r>
      <w:r w:rsidR="0092453B" w:rsidRPr="00DB6768">
        <w:rPr>
          <w:rFonts w:ascii="Abadi" w:hAnsi="Abadi" w:cstheme="majorBidi"/>
          <w:szCs w:val="24"/>
        </w:rPr>
        <w:t>U</w:t>
      </w:r>
      <w:r w:rsidRPr="00DB6768">
        <w:rPr>
          <w:rFonts w:ascii="Abadi" w:hAnsi="Abadi" w:cstheme="majorBidi"/>
          <w:szCs w:val="24"/>
        </w:rPr>
        <w:t xml:space="preserve">ang yang disimpan selain dalam </w:t>
      </w:r>
      <w:r w:rsidRPr="00DB6768">
        <w:rPr>
          <w:rFonts w:ascii="Abadi" w:hAnsi="Abadi" w:cstheme="majorBidi"/>
          <w:i/>
          <w:iCs/>
          <w:szCs w:val="24"/>
        </w:rPr>
        <w:t>leuit</w:t>
      </w:r>
      <w:r w:rsidRPr="00DB6768">
        <w:rPr>
          <w:rFonts w:ascii="Abadi" w:hAnsi="Abadi" w:cstheme="majorBidi"/>
          <w:szCs w:val="24"/>
        </w:rPr>
        <w:t xml:space="preserve"> dan uang yang digunakan untuk tabungan, terdapat juga uang yang disimpan dalam bentuk perhiasaan, dan dibutuhkan untuk modal.</w:t>
      </w:r>
    </w:p>
    <w:p w14:paraId="0D569D00" w14:textId="4ED1C89D" w:rsidR="0092453B" w:rsidRPr="00DB6768" w:rsidRDefault="0092453B" w:rsidP="0092453B">
      <w:pPr>
        <w:pStyle w:val="NoSpacing"/>
        <w:ind w:firstLine="0"/>
        <w:rPr>
          <w:rFonts w:ascii="Abadi" w:hAnsi="Abadi" w:cstheme="majorBidi"/>
          <w:szCs w:val="24"/>
        </w:rPr>
      </w:pPr>
    </w:p>
    <w:p w14:paraId="610A110A" w14:textId="615825E3" w:rsidR="0092453B" w:rsidRPr="00DB6768" w:rsidRDefault="0092453B" w:rsidP="0092453B">
      <w:pPr>
        <w:pStyle w:val="NoSpacing"/>
        <w:ind w:left="1080" w:firstLine="0"/>
        <w:jc w:val="left"/>
        <w:rPr>
          <w:rFonts w:ascii="Abadi" w:hAnsi="Abadi" w:cstheme="majorBidi"/>
          <w:szCs w:val="24"/>
        </w:rPr>
      </w:pPr>
      <w:r w:rsidRPr="00DB6768">
        <w:rPr>
          <w:rFonts w:ascii="Abadi" w:hAnsi="Abadi"/>
        </w:rPr>
        <w:drawing>
          <wp:inline distT="0" distB="0" distL="0" distR="0" wp14:anchorId="5139B6F5" wp14:editId="0AFB07C2">
            <wp:extent cx="1075203" cy="1995778"/>
            <wp:effectExtent l="0" t="0" r="0" b="5080"/>
            <wp:docPr id="3" name="Picture 3" descr="A person sitt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193" cy="2003184"/>
                    </a:xfrm>
                    <a:prstGeom prst="rect">
                      <a:avLst/>
                    </a:prstGeom>
                    <a:noFill/>
                    <a:ln>
                      <a:noFill/>
                    </a:ln>
                  </pic:spPr>
                </pic:pic>
              </a:graphicData>
            </a:graphic>
          </wp:inline>
        </w:drawing>
      </w:r>
      <w:r w:rsidRPr="00DB6768">
        <w:rPr>
          <w:rFonts w:ascii="Abadi" w:hAnsi="Abadi" w:cstheme="majorBidi"/>
          <w:szCs w:val="24"/>
        </w:rPr>
        <w:tab/>
        <w:t xml:space="preserve">    </w:t>
      </w:r>
      <w:r w:rsidR="00842305" w:rsidRPr="00DB6768">
        <w:rPr>
          <w:rFonts w:ascii="Abadi" w:hAnsi="Abadi"/>
        </w:rPr>
        <w:t xml:space="preserve">                </w:t>
      </w:r>
      <w:r w:rsidRPr="00DB6768">
        <w:rPr>
          <w:rFonts w:ascii="Abadi" w:hAnsi="Abadi"/>
        </w:rPr>
        <w:drawing>
          <wp:inline distT="0" distB="0" distL="0" distR="0" wp14:anchorId="028FC675" wp14:editId="229EACE3">
            <wp:extent cx="1685676" cy="2107834"/>
            <wp:effectExtent l="0" t="0" r="0" b="6985"/>
            <wp:docPr id="12" name="Picture 12" descr="A group of huts in the w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4172" cy="2118458"/>
                    </a:xfrm>
                    <a:prstGeom prst="rect">
                      <a:avLst/>
                    </a:prstGeom>
                    <a:noFill/>
                    <a:ln>
                      <a:noFill/>
                    </a:ln>
                  </pic:spPr>
                </pic:pic>
              </a:graphicData>
            </a:graphic>
          </wp:inline>
        </w:drawing>
      </w:r>
      <w:r w:rsidRPr="00DB6768">
        <w:rPr>
          <w:rFonts w:ascii="Abadi" w:hAnsi="Abadi"/>
        </w:rPr>
        <w:tab/>
      </w:r>
      <w:r w:rsidRPr="00DB6768">
        <w:rPr>
          <w:rFonts w:ascii="Abadi" w:hAnsi="Abadi" w:cstheme="majorBidi"/>
          <w:szCs w:val="24"/>
        </w:rPr>
        <w:tab/>
      </w:r>
      <w:r w:rsidRPr="00DB6768">
        <w:rPr>
          <w:rFonts w:ascii="Abadi" w:hAnsi="Abadi" w:cstheme="majorBidi"/>
          <w:szCs w:val="24"/>
        </w:rPr>
        <w:tab/>
      </w:r>
    </w:p>
    <w:p w14:paraId="57EB1D4E" w14:textId="05793FB4" w:rsidR="0092453B" w:rsidRPr="00DB6768" w:rsidRDefault="0092453B" w:rsidP="00842305">
      <w:pPr>
        <w:pStyle w:val="Caption"/>
        <w:rPr>
          <w:rFonts w:ascii="Abadi" w:hAnsi="Abadi" w:cstheme="majorBidi"/>
          <w:color w:val="auto"/>
          <w:szCs w:val="24"/>
        </w:rPr>
      </w:pPr>
      <w:r w:rsidRPr="00DB6768">
        <w:rPr>
          <w:rFonts w:ascii="Abadi" w:hAnsi="Abadi"/>
          <w:color w:val="auto"/>
        </w:rPr>
        <w:t xml:space="preserve">Gambar 2. </w:t>
      </w:r>
      <w:r w:rsidRPr="00DB6768">
        <w:rPr>
          <w:rFonts w:ascii="Abadi" w:hAnsi="Abadi"/>
          <w:color w:val="auto"/>
        </w:rPr>
        <w:fldChar w:fldCharType="begin"/>
      </w:r>
      <w:r w:rsidRPr="00DB6768">
        <w:rPr>
          <w:rFonts w:ascii="Abadi" w:hAnsi="Abadi"/>
          <w:color w:val="auto"/>
        </w:rPr>
        <w:instrText xml:space="preserve"> SEQ Gambar_2. \* ARABIC </w:instrText>
      </w:r>
      <w:r w:rsidRPr="00DB6768">
        <w:rPr>
          <w:rFonts w:ascii="Abadi" w:hAnsi="Abadi"/>
          <w:color w:val="auto"/>
        </w:rPr>
        <w:fldChar w:fldCharType="separate"/>
      </w:r>
      <w:r w:rsidR="00842305" w:rsidRPr="00DB6768">
        <w:rPr>
          <w:rFonts w:ascii="Abadi" w:hAnsi="Abadi"/>
          <w:color w:val="auto"/>
        </w:rPr>
        <w:t>3</w:t>
      </w:r>
      <w:r w:rsidRPr="00DB6768">
        <w:rPr>
          <w:rFonts w:ascii="Abadi" w:hAnsi="Abadi"/>
          <w:color w:val="auto"/>
        </w:rPr>
        <w:fldChar w:fldCharType="end"/>
      </w:r>
      <w:r w:rsidRPr="00DB6768">
        <w:rPr>
          <w:rFonts w:ascii="Abadi" w:hAnsi="Abadi"/>
          <w:color w:val="auto"/>
        </w:rPr>
        <w:t xml:space="preserve"> Investasi emas</w:t>
      </w:r>
      <w:r w:rsidR="00842305" w:rsidRPr="00DB6768">
        <w:rPr>
          <w:rFonts w:ascii="Abadi" w:hAnsi="Abadi"/>
          <w:color w:val="auto"/>
        </w:rPr>
        <w:tab/>
      </w:r>
      <w:r w:rsidR="00842305" w:rsidRPr="00DB6768">
        <w:rPr>
          <w:rFonts w:ascii="Abadi" w:hAnsi="Abadi"/>
          <w:color w:val="auto"/>
        </w:rPr>
        <w:tab/>
        <w:t xml:space="preserve">Gambar 2. </w:t>
      </w:r>
      <w:r w:rsidR="00842305" w:rsidRPr="00DB6768">
        <w:rPr>
          <w:rFonts w:ascii="Abadi" w:hAnsi="Abadi"/>
          <w:color w:val="auto"/>
        </w:rPr>
        <w:fldChar w:fldCharType="begin"/>
      </w:r>
      <w:r w:rsidR="00842305" w:rsidRPr="00DB6768">
        <w:rPr>
          <w:rFonts w:ascii="Abadi" w:hAnsi="Abadi"/>
          <w:color w:val="auto"/>
        </w:rPr>
        <w:instrText xml:space="preserve"> SEQ Gambar_2. \* ARABIC </w:instrText>
      </w:r>
      <w:r w:rsidR="00842305" w:rsidRPr="00DB6768">
        <w:rPr>
          <w:rFonts w:ascii="Abadi" w:hAnsi="Abadi"/>
          <w:color w:val="auto"/>
        </w:rPr>
        <w:fldChar w:fldCharType="separate"/>
      </w:r>
      <w:r w:rsidR="00842305" w:rsidRPr="00DB6768">
        <w:rPr>
          <w:rFonts w:ascii="Abadi" w:hAnsi="Abadi"/>
          <w:color w:val="auto"/>
        </w:rPr>
        <w:t>4</w:t>
      </w:r>
      <w:r w:rsidR="00842305" w:rsidRPr="00DB6768">
        <w:rPr>
          <w:rFonts w:ascii="Abadi" w:hAnsi="Abadi"/>
          <w:color w:val="auto"/>
        </w:rPr>
        <w:fldChar w:fldCharType="end"/>
      </w:r>
      <w:r w:rsidR="00842305" w:rsidRPr="00DB6768">
        <w:rPr>
          <w:rFonts w:ascii="Abadi" w:hAnsi="Abadi"/>
          <w:color w:val="auto"/>
        </w:rPr>
        <w:t xml:space="preserve"> Tempat penyimpan padi atau leuit</w:t>
      </w:r>
    </w:p>
    <w:p w14:paraId="7E4ED1F2" w14:textId="77777777" w:rsidR="0092453B" w:rsidRPr="00DB6768" w:rsidRDefault="0092453B" w:rsidP="0092453B">
      <w:pPr>
        <w:pStyle w:val="NoSpacing"/>
        <w:ind w:left="1080" w:firstLine="360"/>
        <w:rPr>
          <w:rFonts w:ascii="Abadi" w:hAnsi="Abadi" w:cstheme="majorBidi"/>
          <w:szCs w:val="24"/>
        </w:rPr>
      </w:pPr>
    </w:p>
    <w:p w14:paraId="68A456B9" w14:textId="6B786EBC" w:rsidR="00A7674C" w:rsidRPr="00DB6768" w:rsidRDefault="00A7674C" w:rsidP="003D7DAE">
      <w:pPr>
        <w:pStyle w:val="NoSpacing"/>
        <w:numPr>
          <w:ilvl w:val="0"/>
          <w:numId w:val="6"/>
        </w:numPr>
        <w:rPr>
          <w:rFonts w:ascii="Abadi" w:hAnsi="Abadi"/>
          <w:i/>
          <w:iCs/>
          <w:szCs w:val="24"/>
        </w:rPr>
      </w:pPr>
      <w:r w:rsidRPr="00DB6768">
        <w:rPr>
          <w:rFonts w:ascii="Abadi" w:hAnsi="Abadi"/>
          <w:i/>
          <w:iCs/>
          <w:szCs w:val="24"/>
        </w:rPr>
        <w:lastRenderedPageBreak/>
        <w:t>Green Building</w:t>
      </w:r>
    </w:p>
    <w:p w14:paraId="5158595B" w14:textId="2B0BCC50" w:rsidR="00A7674C" w:rsidRPr="00DB6768" w:rsidRDefault="00A7674C" w:rsidP="0092453B">
      <w:pPr>
        <w:pStyle w:val="NoSpacing"/>
        <w:ind w:left="1080" w:firstLine="360"/>
        <w:rPr>
          <w:rFonts w:ascii="Abadi" w:hAnsi="Abadi"/>
          <w:szCs w:val="24"/>
        </w:rPr>
      </w:pPr>
      <w:r w:rsidRPr="00DB6768">
        <w:rPr>
          <w:rFonts w:ascii="Abadi" w:hAnsi="Abadi"/>
          <w:i/>
          <w:iCs/>
          <w:szCs w:val="24"/>
        </w:rPr>
        <w:t>Green building</w:t>
      </w:r>
      <w:r w:rsidRPr="00DB6768">
        <w:rPr>
          <w:rFonts w:ascii="Abadi" w:hAnsi="Abadi"/>
          <w:szCs w:val="24"/>
        </w:rPr>
        <w:t xml:space="preserve"> dirancang agar lebih efisien dalam penggunaan energi dan menggunakan bahan-bahan ramah lingkungan, seperti menggunakan material daur ulang, bahan yang dapat diatur ulang kembali, tata letak yang memaksimalkan pencahayaan alami dan sirkulasi udara </w:t>
      </w:r>
      <w:r w:rsidRPr="00DB6768">
        <w:rPr>
          <w:rFonts w:ascii="Abadi" w:hAnsi="Abadi"/>
          <w:szCs w:val="24"/>
        </w:rPr>
        <w:fldChar w:fldCharType="begin" w:fldLock="1"/>
      </w:r>
      <w:r w:rsidRPr="00DB6768">
        <w:rPr>
          <w:rFonts w:ascii="Abadi" w:hAnsi="Abadi"/>
          <w:szCs w:val="24"/>
        </w:rPr>
        <w:instrText>ADDIN CSL_CITATION {"citationItems":[{"id":"ITEM-1","itemData":{"ISSN":"2987-3673","abstract":"Penelitian ini bertujuan untuk menganalisis praktik, efektifitas, serta dampak penggunaan transaksi Quick Response Code Indonesian Standard (QRIS) sebagai media pembayaran dalam mendorong perkembangan Usaha Mikro, Kecil, dan Menengah (UMKM) di Jepara. Studi lapangan dilakukan dengan pendekatan kualitatif pada UMKM yang aktif dalam menggunakan QRIS sebagai metode pembayaran di Kabupaten Jepara. Data primer serta data sekunder dikumpulkan melalui observasi, wawancara, serta dokumentasi. Subjek yang diambil dari penelitian ini yaitu enam owner UMKM, enam karyawan, serta enam pembeli dari UMKM tersebut. Teknik keabsahan data menggunakan triangulasi sumber. Teknik analisis data dengan cara mereduksi, menyajikan, serta menarik kesimpulan. Hasil dari penelitian ini ialah efektifitas penggunaan QRIS pada UMKM di Jepara memberikan hasil yang positif, dibuktikan dengan adanya manfaat seperti memudahkan transaksi, transaksi menjadi lebih aman karena menghindari tindakan kriminal seperti kecopetan, serta mengurangi adanya risiko peredaran uang palsu. Selain itu, penerapan QRIS juga berdampak pada peningkatan pendapatan UMKM di Kabupaten Jepara.","author":[{"dropping-particle":"","family":"Mustagfiroh","given":"Lailatul","non-dropping-particle":"","parse-names":false,"suffix":""},{"dropping-particle":"","family":"Supriyadi","given":"Ahmad","non-dropping-particle":"","parse-names":false,"suffix":""}],"container-title":"JEBIKSU : Jurnal Ekonomi dan Bisnis Islam IAIN Kudus","id":"ITEM-1","issue":"2","issued":{"date-parts":[["2024"]]},"page":"204-218","title":"Efektivitas Penggunaan QRIS sebagai Media Pembayaran dalam Meningkatkan Perkembangan UMKM di Jepara","type":"article-journal","volume":"2"},"uris":["http://www.mendeley.com/documents/?uuid=d2ad09d2-6806-48bf-9441-841a9d592087"]}],"mendeley":{"formattedCitation":"(Mustagfiroh &amp; Supriyadi, 2024)","plainTextFormattedCitation":"(Mustagfiroh &amp; Supriyadi, 2024)","previouslyFormattedCitation":"(Mustagfiroh &amp; Supriyadi, 2024)"},"properties":{"noteIndex":0},"schema":"https://github.com/citation-style-language/schema/raw/master/csl-citation.json"}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(Mustagfiroh &amp; Supriyadi, 2024)</w:t>
      </w:r>
      <w:r w:rsidRPr="00DB6768">
        <w:rPr>
          <w:rFonts w:ascii="Abadi" w:hAnsi="Abadi"/>
          <w:szCs w:val="24"/>
        </w:rPr>
        <w:fldChar w:fldCharType="end"/>
      </w:r>
      <w:r w:rsidRPr="00DB6768">
        <w:rPr>
          <w:rFonts w:ascii="Abadi" w:hAnsi="Abadi"/>
          <w:szCs w:val="24"/>
        </w:rPr>
        <w:t xml:space="preserve">. Pembanguna rumah masyarakat Baduy dilihat dahulu kontur tanah yang datar, pondasi dinding dan lantai rumah adat terbuat dari anyaman bambu yang dibuat lurus maupun kepang, rangkap atap bangunan rumah terbuat dari kayu, rangkap penutup atap dari bambu, anyaman daun lontar atau ijuk, serta memiliki banyak vertilasi yang memberikan sirkulasi udara lebih baik dengan menyesuaikan kebutuhan modern dari penghuinya, dan masyarakat Baduy pada pembangunan rumah menekankan pentingnya menjaga arsitektur tradisional dan mengembangkan desain yang berkelanjutan dengan berbasis pada kearifan lokal masyarakat Baduy, agar tidak hilang di tengah modernisasi </w:t>
      </w:r>
      <w:r w:rsidRPr="00DB6768">
        <w:rPr>
          <w:rFonts w:ascii="Abadi" w:hAnsi="Abadi"/>
          <w:szCs w:val="24"/>
        </w:rPr>
        <w:fldChar w:fldCharType="begin" w:fldLock="1"/>
      </w:r>
      <w:r w:rsidRPr="00DB6768">
        <w:rPr>
          <w:rFonts w:ascii="Abadi" w:hAnsi="Abadi"/>
          <w:szCs w:val="24"/>
        </w:rPr>
        <w:instrText>ADDIN CSL_CITATION {"citationItems":[{"id":"ITEM-1","itemData":{"abstract":"Penelitian ini menganalisis perbandingan arsitektur rumah adat Baduy Dalam dan Baduy Luar dengan studi kasus di Kampung Cibeo dan Kampung Keduketug, Desa Kanekes, Kabupaten Lebak, Banten. Penelitian bertujuan untuk mengidentifikasi elemen fisik arsitektur, termasuk bukaan (jendela dan pintu), material bangunan, tata ruang, dan bentuk atap. Penelitian dilakukan dengan pendekatan kualitatif dan kuantitatif melalui observasi langsung, wawancara, dan pengukuran elemen arsitektur. Hasil analisis menunjukkan perbedaan signifikan pada area bukaan: rumah adat Baduy Dalam cenderung tertutup dengan ventilasi alami melalui celah anyaman bambu, sedangkan rumah adat Baduy Luar memiliki lebih banyak bukaan jendela dan pintu yang menyesuaikan fungsi ruang. Struktur rumah keduanya berbentuk panggung dengan material lokal seperti bambu, kayu, dan material atap daun aren. Kesimpulan penelitian menegaskan bahwa rumah adat Baduy mencerminkan adaptasi yang kuat terhadap lingkungan alam dan tradisi adat. Rumah Baduy Dalam mempertahankan nilai konservatif, sementara rumah Baduy Luar menunjukkan pengaruh eksternal. Penelitian ini memberikan kontribusi bagi pelestarian arsitektur tradisional dan pengembangan desain berkelanjutan berbasis kearifan lokal.","author":[{"dropping-particle":"","family":"Delyuzir Dwiyan Randy","given":"","non-dropping-particle":"","parse-names":false,"suffix":""}],"container-title":"Arsitekta dan Kota Berkelanjutan","id":"ITEM-1","issue":"02","issued":{"date-parts":[["2024"]]},"page":"105-115","title":"Baduy Dalam dan Baduy Luar (Studi Kasus : Kampung Cibeo dan Kampung Kedukteg ) A Comparative Study of The Traditional House Architecture of Inner Baduy and Outer Baduy","type":"article-journal","volume":"06"},"uris":["http://www.mendeley.com/documents/?uuid=435126dc-145a-4399-89f0-298d83dc6110"]}],"mendeley":{"formattedCitation":"(Delyuzir Dwiyan Randy, 2024)","plainTextFormattedCitation":"(Delyuzir Dwiyan Randy, 2024)","previouslyFormattedCitation":"(Delyuzir Dwiyan Randy, 2024)"},"properties":{"noteIndex":0},"schema":"https://github.com/citation-style-language/schema/raw/master/csl-citation.json"}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(Delyuzir Dwiyan Randy, 2024)</w:t>
      </w:r>
      <w:r w:rsidRPr="00DB6768">
        <w:rPr>
          <w:rFonts w:ascii="Abadi" w:hAnsi="Abadi"/>
          <w:szCs w:val="24"/>
        </w:rPr>
        <w:fldChar w:fldCharType="end"/>
      </w:r>
      <w:r w:rsidRPr="00DB6768">
        <w:rPr>
          <w:rFonts w:ascii="Abadi" w:hAnsi="Abadi"/>
          <w:szCs w:val="24"/>
        </w:rPr>
        <w:t xml:space="preserve">. Dalam konsep </w:t>
      </w:r>
      <w:r w:rsidRPr="00DB6768">
        <w:rPr>
          <w:rFonts w:ascii="Abadi" w:hAnsi="Abadi"/>
          <w:i/>
          <w:iCs/>
          <w:szCs w:val="24"/>
        </w:rPr>
        <w:t xml:space="preserve">green finance </w:t>
      </w:r>
      <w:r w:rsidRPr="00DB6768">
        <w:rPr>
          <w:rFonts w:ascii="Abadi" w:hAnsi="Abadi"/>
          <w:szCs w:val="24"/>
        </w:rPr>
        <w:t xml:space="preserve">ini, masyarakat Baduy tidak mengenal istilah </w:t>
      </w:r>
      <w:r w:rsidRPr="00DB6768">
        <w:rPr>
          <w:rFonts w:ascii="Abadi" w:hAnsi="Abadi"/>
          <w:i/>
          <w:iCs/>
          <w:szCs w:val="24"/>
        </w:rPr>
        <w:t>green finance</w:t>
      </w:r>
      <w:r w:rsidRPr="00DB6768">
        <w:rPr>
          <w:rFonts w:ascii="Abadi" w:hAnsi="Abadi"/>
          <w:szCs w:val="24"/>
        </w:rPr>
        <w:t xml:space="preserve">, tetapi cara hidup dan kebiasaan yang dijalankan selaras dengan tujuan utama dari </w:t>
      </w:r>
      <w:r w:rsidRPr="00DB6768">
        <w:rPr>
          <w:rFonts w:ascii="Abadi" w:hAnsi="Abadi"/>
          <w:i/>
          <w:iCs/>
          <w:szCs w:val="24"/>
        </w:rPr>
        <w:t>green finance</w:t>
      </w:r>
      <w:r w:rsidRPr="00DB6768">
        <w:rPr>
          <w:rFonts w:ascii="Abadi" w:hAnsi="Abadi"/>
          <w:szCs w:val="24"/>
        </w:rPr>
        <w:t xml:space="preserve">, seperti membangun rumah dengan bahan alami, mudah diperbaiki, dan tidak membutuhkan eksploitasi sumber daya yang besar, sehingga mendukung keberlanjutan jangka panjang. Hal ini, menunjukkan bahwa nilai-nilai lokal adat dan kearifan lokal dapat mendukung pencapaian tujuan pembangunan berkelanjutan, tanpa sistem keuangan konvensional. </w:t>
      </w:r>
    </w:p>
    <w:p w14:paraId="7EA9DB85" w14:textId="555781F0" w:rsidR="0092453B" w:rsidRPr="00DB6768" w:rsidRDefault="0092453B" w:rsidP="0092453B">
      <w:pPr>
        <w:pStyle w:val="NoSpacing"/>
        <w:ind w:left="1080" w:firstLine="360"/>
        <w:rPr>
          <w:rFonts w:ascii="Abadi" w:hAnsi="Abadi"/>
          <w:szCs w:val="24"/>
        </w:rPr>
      </w:pPr>
    </w:p>
    <w:p w14:paraId="79C3734F" w14:textId="03DF9581" w:rsidR="00842305" w:rsidRPr="00DB6768" w:rsidRDefault="0092453B" w:rsidP="0092453B">
      <w:pPr>
        <w:pStyle w:val="NoSpacing"/>
        <w:jc w:val="left"/>
        <w:rPr>
          <w:rFonts w:ascii="Abadi" w:hAnsi="Abadi"/>
        </w:rPr>
      </w:pPr>
      <w:r w:rsidRPr="00DB6768">
        <w:rPr>
          <w:rFonts w:ascii="Abadi" w:hAnsi="Abadi"/>
        </w:rPr>
        <w:drawing>
          <wp:inline distT="0" distB="0" distL="0" distR="0" wp14:anchorId="2C22BF09" wp14:editId="134EB9EA">
            <wp:extent cx="1582310" cy="1952824"/>
            <wp:effectExtent l="0" t="0" r="0" b="0"/>
            <wp:docPr id="45" name="Picture 45" descr="A person on a roof of a h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687" b="8143"/>
                    <a:stretch/>
                  </pic:blipFill>
                  <pic:spPr bwMode="auto">
                    <a:xfrm>
                      <a:off x="0" y="0"/>
                      <a:ext cx="1592721" cy="1965673"/>
                    </a:xfrm>
                    <a:prstGeom prst="rect">
                      <a:avLst/>
                    </a:prstGeom>
                    <a:noFill/>
                    <a:ln>
                      <a:noFill/>
                    </a:ln>
                    <a:extLst>
                      <a:ext uri="{53640926-AAD7-44D8-BBD7-CCE9431645EC}">
                        <a14:shadowObscured xmlns:a14="http://schemas.microsoft.com/office/drawing/2010/main"/>
                      </a:ext>
                    </a:extLst>
                  </pic:spPr>
                </pic:pic>
              </a:graphicData>
            </a:graphic>
          </wp:inline>
        </w:drawing>
      </w:r>
      <w:r w:rsidR="00842305" w:rsidRPr="00DB6768">
        <w:rPr>
          <w:rFonts w:ascii="Abadi" w:hAnsi="Abadi"/>
          <w:szCs w:val="24"/>
        </w:rPr>
        <w:t xml:space="preserve">       </w:t>
      </w:r>
      <w:r w:rsidRPr="00DB6768">
        <w:rPr>
          <w:rFonts w:ascii="Abadi" w:hAnsi="Abadi"/>
          <w:szCs w:val="24"/>
        </w:rPr>
        <w:tab/>
      </w:r>
      <w:r w:rsidRPr="00DB6768">
        <w:rPr>
          <w:rFonts w:ascii="Abadi" w:hAnsi="Abadi"/>
        </w:rPr>
        <w:drawing>
          <wp:inline distT="0" distB="0" distL="0" distR="0" wp14:anchorId="2A235FF6" wp14:editId="77453A2E">
            <wp:extent cx="1709531" cy="1963881"/>
            <wp:effectExtent l="0" t="0" r="5080" b="0"/>
            <wp:docPr id="57" name="Picture 57" descr="A person bending over a pil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5757" cy="1971034"/>
                    </a:xfrm>
                    <a:prstGeom prst="rect">
                      <a:avLst/>
                    </a:prstGeom>
                    <a:noFill/>
                    <a:ln>
                      <a:noFill/>
                    </a:ln>
                  </pic:spPr>
                </pic:pic>
              </a:graphicData>
            </a:graphic>
          </wp:inline>
        </w:drawing>
      </w:r>
      <w:r w:rsidRPr="00DB6768">
        <w:rPr>
          <w:rFonts w:ascii="Abadi" w:hAnsi="Abadi"/>
          <w:szCs w:val="24"/>
        </w:rPr>
        <w:tab/>
      </w:r>
    </w:p>
    <w:p w14:paraId="1920C183" w14:textId="1B745D81" w:rsidR="0092453B" w:rsidRPr="00DB6768" w:rsidRDefault="00842305" w:rsidP="00842305">
      <w:pPr>
        <w:pStyle w:val="Caption"/>
        <w:jc w:val="center"/>
        <w:rPr>
          <w:rFonts w:ascii="Abadi" w:hAnsi="Abadi"/>
          <w:color w:val="auto"/>
        </w:rPr>
      </w:pPr>
      <w:r w:rsidRPr="00DB6768">
        <w:rPr>
          <w:rFonts w:ascii="Abadi" w:hAnsi="Abadi"/>
          <w:color w:val="auto"/>
        </w:rPr>
        <w:t xml:space="preserve">Gambar 2. </w:t>
      </w:r>
      <w:r w:rsidRPr="00DB6768">
        <w:rPr>
          <w:rFonts w:ascii="Abadi" w:hAnsi="Abadi"/>
          <w:color w:val="auto"/>
        </w:rPr>
        <w:fldChar w:fldCharType="begin"/>
      </w:r>
      <w:r w:rsidRPr="00DB6768">
        <w:rPr>
          <w:rFonts w:ascii="Abadi" w:hAnsi="Abadi"/>
          <w:color w:val="auto"/>
        </w:rPr>
        <w:instrText xml:space="preserve"> SEQ Gambar_2. \* ARABIC </w:instrText>
      </w:r>
      <w:r w:rsidRPr="00DB6768">
        <w:rPr>
          <w:rFonts w:ascii="Abadi" w:hAnsi="Abadi"/>
          <w:color w:val="auto"/>
        </w:rPr>
        <w:fldChar w:fldCharType="separate"/>
      </w:r>
      <w:r w:rsidRPr="00DB6768">
        <w:rPr>
          <w:rFonts w:ascii="Abadi" w:hAnsi="Abadi"/>
          <w:color w:val="auto"/>
        </w:rPr>
        <w:t>5</w:t>
      </w:r>
      <w:r w:rsidRPr="00DB6768">
        <w:rPr>
          <w:rFonts w:ascii="Abadi" w:hAnsi="Abadi"/>
          <w:color w:val="auto"/>
        </w:rPr>
        <w:fldChar w:fldCharType="end"/>
      </w:r>
      <w:r w:rsidRPr="00DB6768">
        <w:rPr>
          <w:rFonts w:ascii="Abadi" w:hAnsi="Abadi"/>
          <w:color w:val="auto"/>
        </w:rPr>
        <w:t xml:space="preserve"> Proses pembangunan rumah</w:t>
      </w:r>
      <w:r w:rsidR="0092453B" w:rsidRPr="00DB6768">
        <w:rPr>
          <w:rFonts w:ascii="Abadi" w:hAnsi="Abadi"/>
          <w:szCs w:val="24"/>
        </w:rPr>
        <w:tab/>
      </w:r>
    </w:p>
    <w:p w14:paraId="028586D9" w14:textId="77777777" w:rsidR="00F11FE2" w:rsidRPr="00DB6768" w:rsidRDefault="00F11FE2" w:rsidP="003D7DAE">
      <w:pPr>
        <w:pStyle w:val="NoSpacing"/>
        <w:ind w:firstLine="0"/>
        <w:rPr>
          <w:rFonts w:ascii="Abadi" w:hAnsi="Abadi" w:cstheme="minorHAnsi"/>
          <w:i/>
          <w:iCs/>
          <w:szCs w:val="24"/>
        </w:rPr>
      </w:pPr>
    </w:p>
    <w:p w14:paraId="3EBE7152" w14:textId="08DA9167" w:rsidR="00A9561D" w:rsidRPr="00DB6768" w:rsidRDefault="00F11FE2" w:rsidP="003D7DAE">
      <w:pPr>
        <w:pStyle w:val="NoSpacing"/>
        <w:numPr>
          <w:ilvl w:val="0"/>
          <w:numId w:val="5"/>
        </w:numPr>
        <w:rPr>
          <w:rFonts w:ascii="Abadi" w:hAnsi="Abadi" w:cstheme="minorHAnsi"/>
          <w:b/>
          <w:bCs/>
          <w:i/>
          <w:iCs/>
          <w:color w:val="ED7D31" w:themeColor="accent2"/>
          <w:szCs w:val="24"/>
        </w:rPr>
      </w:pPr>
      <w:r w:rsidRPr="00DB6768">
        <w:rPr>
          <w:rFonts w:ascii="Abadi" w:hAnsi="Abadi" w:cstheme="minorHAnsi"/>
          <w:b/>
          <w:bCs/>
          <w:i/>
          <w:iCs/>
          <w:color w:val="ED7D31" w:themeColor="accent2"/>
          <w:szCs w:val="24"/>
        </w:rPr>
        <w:t>Green Economy</w:t>
      </w:r>
    </w:p>
    <w:p w14:paraId="4408DC55" w14:textId="7281F172" w:rsidR="00A7674C" w:rsidRPr="00DB6768" w:rsidRDefault="00A7674C" w:rsidP="003D7DAE">
      <w:pPr>
        <w:pStyle w:val="NoSpacing"/>
        <w:numPr>
          <w:ilvl w:val="0"/>
          <w:numId w:val="8"/>
        </w:numPr>
        <w:rPr>
          <w:rFonts w:ascii="Abadi" w:hAnsi="Abadi" w:cstheme="minorHAnsi"/>
          <w:szCs w:val="24"/>
        </w:rPr>
      </w:pPr>
      <w:r w:rsidRPr="00DB6768">
        <w:rPr>
          <w:rFonts w:ascii="Abadi" w:hAnsi="Abadi" w:cstheme="minorHAnsi"/>
          <w:szCs w:val="24"/>
        </w:rPr>
        <w:t>Ekonomi</w:t>
      </w:r>
    </w:p>
    <w:p w14:paraId="521C6C79" w14:textId="0997C6FD" w:rsidR="00F36DD0" w:rsidRPr="00DB6768" w:rsidRDefault="00A7674C" w:rsidP="00842305">
      <w:pPr>
        <w:pStyle w:val="NoSpacing"/>
        <w:ind w:left="1080" w:firstLine="360"/>
        <w:rPr>
          <w:rFonts w:ascii="Abadi" w:hAnsi="Abadi"/>
          <w:szCs w:val="24"/>
        </w:rPr>
      </w:pPr>
      <w:r w:rsidRPr="00DB6768">
        <w:rPr>
          <w:rFonts w:ascii="Abadi" w:hAnsi="Abadi"/>
          <w:szCs w:val="24"/>
        </w:rPr>
        <w:t xml:space="preserve">Masyarakat Baduy sebagai komunitas tradisional yang memiliki ciri khas tersendiri baik adat, budaya, maupun perekonomiannya. Masyarakat Baduy telah menggantungkan kehidupan di kegiataan berladang, tetapi mempunyai pekerjaan lain, seperti menjadi pedagang kerajinan, serta menjadi pemandu wisata. Selain itu, masyarakat Baduy bergantung pada kegiatan pertanian dan hasil kebun yang menjadi kebutuhan sehari-hari. Sementara untuk meningkatkan pendapatan yang didapat melalui, kerajinan, wisata, dan usaha penginapana tanpa melanggar adat serta </w:t>
      </w:r>
      <w:r w:rsidRPr="00DB6768">
        <w:rPr>
          <w:rFonts w:ascii="Abadi" w:hAnsi="Abadi"/>
          <w:szCs w:val="24"/>
        </w:rPr>
        <w:lastRenderedPageBreak/>
        <w:t xml:space="preserve">nilai-nilai mereka </w:t>
      </w:r>
      <w:r w:rsidRPr="00DB6768">
        <w:rPr>
          <w:rFonts w:ascii="Abadi" w:hAnsi="Abadi"/>
          <w:szCs w:val="24"/>
        </w:rPr>
        <w:fldChar w:fldCharType="begin" w:fldLock="1"/>
      </w:r>
      <w:r w:rsidR="00F36DD0" w:rsidRPr="00DB6768">
        <w:rPr>
          <w:rFonts w:ascii="Abadi" w:hAnsi="Abadi"/>
          <w:szCs w:val="24"/>
        </w:rPr>
        <w:instrText>ADDIN CSL_CITATION {"citationItems":[{"id":"ITEM-1","itemData":{"DOI":"doi.org/10.12345/jir.v7i2.93","ISSN":"2714-6049","abstract":"Baduy society, basically has been resting his life on agricultural production, beginners and hunting, petanian System in dry land (Samawa, Oma) with the type of agriculture depends only on the padi fields. Hunting is also done in a narrow area, just in the area of indigenous forest. Types of animals hunting, deer, langur and honey. Until now people still Applied expertise is centered on agriculture, hunting and began to diversify crop plantations, fruits and vegetables for domestic purposes only. With such rapid population growth, it is not comparable to the vast agricultural land traditionally Applied, Applied economic pressure gets very large. Despite Government efforts, aimed as a way out of the economic resources of all limitations are applied, but have not managed to significantly increase well-being make an impact for the majority of the community are applied. Baduy society economy system since around the year 1970 was fully acquainted with the market economy with the currency as a means of Exchange, barter System has been abandoned, except for the limited purposes of familial environment in it. Although a number of people have applied to migrate and convert, but relations between them remain awake well as fellow great-grandson. The real relationships are strengthened in the form of more specialized trade relations.","author":[{"dropping-particle":"","family":"Dachlan","given":"Moch Ali B","non-dropping-particle":"","parse-names":false,"suffix":""}],"container-title":"Journal Ilmiah Rinjani","id":"ITEM-1","issue":"2","issued":{"date-parts":[["2019"]]},"page":"1-10","title":"Kehidupan Ekonomi Masyarakat Baduy di Desa Kanekes Banten","type":"article-journal","volume":"7"},"uris":["http://www.mendeley.com/documents/?uuid=52c1b336-35e1-4176-a620-2fd969ab24e8"]}],"mendeley":{"formattedCitation":"(Dachlan, 2019)","plainTextFormattedCitation":"(Dachlan, 2019)","previouslyFormattedCitation":"(Dachlan, 2019)"},"properties":{"noteIndex":0},"schema":"https://github.com/citation-style-language/schema/raw/master/csl-citation.json"}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(Dachlan, 2019)</w:t>
      </w:r>
      <w:r w:rsidRPr="00DB6768">
        <w:rPr>
          <w:rFonts w:ascii="Abadi" w:hAnsi="Abadi"/>
          <w:szCs w:val="24"/>
        </w:rPr>
        <w:fldChar w:fldCharType="end"/>
      </w:r>
      <w:r w:rsidR="00F36DD0" w:rsidRPr="00DB6768">
        <w:rPr>
          <w:rFonts w:ascii="Abadi" w:hAnsi="Abadi"/>
          <w:szCs w:val="24"/>
        </w:rPr>
        <w:t xml:space="preserve">. Pola produksi, konsumsi, dan distribusi yang mereka anut mencerminkan keselarasan antara kebutuhan ekonomi dan kelestarian lingkungan merupakan inti dari </w:t>
      </w:r>
      <w:r w:rsidR="00F36DD0" w:rsidRPr="00DB6768">
        <w:rPr>
          <w:rFonts w:ascii="Abadi" w:hAnsi="Abadi"/>
          <w:i/>
          <w:szCs w:val="24"/>
        </w:rPr>
        <w:t>green economy</w:t>
      </w:r>
      <w:r w:rsidR="00F36DD0" w:rsidRPr="00DB6768">
        <w:rPr>
          <w:rFonts w:ascii="Abadi" w:hAnsi="Abadi"/>
          <w:szCs w:val="24"/>
        </w:rPr>
        <w:t>, sebagai berikut:</w:t>
      </w:r>
    </w:p>
    <w:p w14:paraId="7E885E2B" w14:textId="77777777" w:rsidR="00842305" w:rsidRPr="00DB6768" w:rsidRDefault="00F36DD0" w:rsidP="00842305">
      <w:pPr>
        <w:pStyle w:val="NoSpacing"/>
        <w:numPr>
          <w:ilvl w:val="0"/>
          <w:numId w:val="9"/>
        </w:numPr>
        <w:rPr>
          <w:rFonts w:ascii="Abadi" w:hAnsi="Abadi"/>
          <w:szCs w:val="24"/>
        </w:rPr>
      </w:pPr>
      <w:r w:rsidRPr="00DB6768">
        <w:rPr>
          <w:rFonts w:ascii="Abadi" w:hAnsi="Abadi"/>
          <w:szCs w:val="24"/>
        </w:rPr>
        <w:t>Produksi</w:t>
      </w:r>
    </w:p>
    <w:p w14:paraId="02A66501" w14:textId="246CD732" w:rsidR="00F36DD0" w:rsidRPr="00DB6768" w:rsidRDefault="00F36DD0" w:rsidP="00842305">
      <w:pPr>
        <w:pStyle w:val="NoSpacing"/>
        <w:ind w:left="1440" w:firstLine="360"/>
        <w:rPr>
          <w:rFonts w:ascii="Abadi" w:hAnsi="Abadi"/>
          <w:szCs w:val="24"/>
        </w:rPr>
      </w:pPr>
      <w:r w:rsidRPr="00DB6768">
        <w:rPr>
          <w:rFonts w:ascii="Abadi" w:hAnsi="Abadi"/>
          <w:szCs w:val="24"/>
        </w:rPr>
        <w:t xml:space="preserve">Masyarakat Baduy punya cara yang unik dalam kehidupannya, mereka memproduksi barang dan memenuhi kebutuhan sehari dengan cara yang ramah lingkungan, seperti tidak merusak lingkungkan, menghasilkan sedikit limbah, dan selalu menjaga keseimbangan lingkungan. Akan hal ini, tindakan yang mereka lalukan selaras dengan </w:t>
      </w:r>
      <w:r w:rsidRPr="00DB6768">
        <w:rPr>
          <w:rFonts w:ascii="Abadi" w:hAnsi="Abadi"/>
          <w:i/>
          <w:iCs/>
          <w:szCs w:val="24"/>
        </w:rPr>
        <w:t xml:space="preserve">green finance </w:t>
      </w:r>
      <w:r w:rsidRPr="00DB6768">
        <w:rPr>
          <w:rFonts w:ascii="Abadi" w:hAnsi="Abadi"/>
          <w:szCs w:val="24"/>
        </w:rPr>
        <w:t xml:space="preserve">dan </w:t>
      </w:r>
      <w:r w:rsidRPr="00DB6768">
        <w:rPr>
          <w:rFonts w:ascii="Abadi" w:hAnsi="Abadi"/>
          <w:i/>
          <w:iCs/>
          <w:szCs w:val="24"/>
        </w:rPr>
        <w:t>green economy</w:t>
      </w:r>
      <w:r w:rsidRPr="00DB6768">
        <w:rPr>
          <w:rFonts w:ascii="Abadi" w:hAnsi="Abadi"/>
          <w:szCs w:val="24"/>
        </w:rPr>
        <w:t xml:space="preserve">. Kegiatan produksi yang dijalankan masyarakat Baduy tidak merusak lingkungan sesuai dengan aturan adat yang melarangnya. Masyarakat Baduy mampu menghasilkan barang-barang untuk memenuhi kebutuhan sehari-hari dan sebagai pendapatan yang dimiliki, seperti padi, pete, duren, pisang, kerajinan tangan dari bambu, dan kain tenun yang sumber daya nya berasal dari alam, tenaga kerja yang ikut serta adanya keluarga sendiri, dan bibit atau pupuk menggunakan pupuk alami yang sudah ada dari nenek moyang </w:t>
      </w:r>
      <w:r w:rsidRPr="00DB6768">
        <w:rPr>
          <w:rFonts w:ascii="Abadi" w:hAnsi="Abadi"/>
          <w:szCs w:val="24"/>
        </w:rPr>
        <w:fldChar w:fldCharType="begin" w:fldLock="1"/>
      </w:r>
      <w:r w:rsidRPr="00DB6768">
        <w:rPr>
          <w:rFonts w:ascii="Abadi" w:hAnsi="Abadi"/>
          <w:szCs w:val="24"/>
        </w:rPr>
        <w:instrText>ADDIN CSL_CITATION {"citationItems":[{"id":"ITEM-1","itemData":{"abstract":"Penelitian ini bertujuan untuk mengetahui faktor-faktor produksi apa yang berpengaruh terhadap hasil produksi merica di Desa Era Baru Kecamatan Tellulimpoe Kabupaten Sinjai. Populasi dalam penelitian ini adalah seluruh petani merica yang ada di Desa Era Baru Kecamatan Tellulimpoe Kabupaten Sinjai sebanyak 177 orang. Karena jumlah populasi lebih dari 100 orang, maka penarikan sampel dalam penelitian ini menggunakan sampel secara acak random sampling, sedangkan teknik pengambilan sampel menggunakan rumus dari Slovin. Teknik analisis data dengan menggunakan fungsi Cobb Douglas. Hasil penelitian menunjukkan bahwa (1) Faktor produksi luas lahan tenaga kerja, bibit dan pupuk secara simultan mempunyai pengaruh positif dan signifikan terhadap hasil produksi merica; (2) Secara parsial, faktor yang berpengaruh positif dan signifikan terhadap hasil produksi merica adalah luas lahan, tenaga kerja dan pupuk, sedangkan faktor yang berpengaruh positif tapi tidak signifikan adalah bibit. Hasil analisis data menunjukkan bahwa koefisien determinasi atau R2 sebesar 0,827 berarti variasi faktor produksi luas lahan, tenaga kerja, bibit dan pupuk memberikan kontribusi sebesar 82,7 % terhadap produksi merica, sedangkan sisanya 17,3 % dipengaruhi oleh faktor lain yang tidak diperhatikan dalam penelitian ini. Kenaikan produksi berdasarkan input luas lahan, tenaga kerja, bibit dan pupuk berada pada tahap Increasing to Scale, dimana membutuhkan input untuk mendapatkan hasil maksimal","author":[{"dropping-particle":"","family":"Muhyina Muin","given":"","non-dropping-particle":"","parse-names":false,"suffix":""}],"container-title":"Jurnal Economix","id":"ITEM-1","issue":"1","issued":{"date-parts":[["2017"]]},"page":"203-214","title":"Pengaruh Faktor Produksi Terhadap Hasil Produksi Merica Di Desa Era Baru Kecamatan Tellulimpoe Kabupaten Sinjai","type":"article-journal","volume":"5"},"uris":["http://www.mendeley.com/documents/?uuid=d17437d9-315f-47d4-8b95-bc7520c57c33"]}],"mendeley":{"formattedCitation":"(Muhyina Muin, 2017)","plainTextFormattedCitation":"(Muhyina Muin, 2017)","previouslyFormattedCitation":"(Muhyina Muin, 2017)"},"properties":{"noteIndex":0},"schema":"https://github.com/citation-style-language/schema/raw/master/csl-citation.json"}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(Muhyina Muin, 2017)</w:t>
      </w:r>
      <w:r w:rsidRPr="00DB6768">
        <w:rPr>
          <w:rFonts w:ascii="Abadi" w:hAnsi="Abadi"/>
          <w:szCs w:val="24"/>
        </w:rPr>
        <w:fldChar w:fldCharType="end"/>
      </w:r>
    </w:p>
    <w:p w14:paraId="2159FA57" w14:textId="1003570B" w:rsidR="00F36DD0" w:rsidRPr="00DB6768" w:rsidRDefault="00F36DD0" w:rsidP="003D7DAE">
      <w:pPr>
        <w:pStyle w:val="NoSpacing"/>
        <w:numPr>
          <w:ilvl w:val="0"/>
          <w:numId w:val="9"/>
        </w:numPr>
        <w:rPr>
          <w:rFonts w:ascii="Abadi" w:hAnsi="Abadi"/>
          <w:szCs w:val="24"/>
        </w:rPr>
      </w:pPr>
      <w:r w:rsidRPr="00DB6768">
        <w:rPr>
          <w:rFonts w:ascii="Abadi" w:hAnsi="Abadi"/>
          <w:szCs w:val="24"/>
        </w:rPr>
        <w:t xml:space="preserve">Konsumsi </w:t>
      </w:r>
    </w:p>
    <w:p w14:paraId="0D73E652" w14:textId="6C107716" w:rsidR="00F36DD0" w:rsidRPr="00DB6768" w:rsidRDefault="00F36DD0" w:rsidP="00842305">
      <w:pPr>
        <w:pStyle w:val="NoSpacing"/>
        <w:ind w:left="1440" w:firstLine="360"/>
        <w:rPr>
          <w:rFonts w:ascii="Abadi" w:hAnsi="Abadi"/>
          <w:szCs w:val="24"/>
        </w:rPr>
      </w:pPr>
      <w:r w:rsidRPr="00DB6768">
        <w:rPr>
          <w:rFonts w:ascii="Abadi" w:hAnsi="Abadi"/>
          <w:szCs w:val="24"/>
        </w:rPr>
        <w:t xml:space="preserve">Masyarakat Baduy memiliki cara hidup yang sederhana, tapi sangat bijak dalam hal mengonsumsi. Mereka tidak berlebihan dan hanya mengambil apa yang benar-benar mereka butuhkan dan menghindari gaya hidup boros. Selain membuat hidup mereka seimbang dan berkecukupan, pola konsumsi yang dilakukan berkontribusi pada pelestarian lingkungan, seperti hal nya mengonsumsi makanan yang berasal dari ladang. Pola ini mencerminkan prinsip </w:t>
      </w:r>
      <w:r w:rsidRPr="00DB6768">
        <w:rPr>
          <w:rFonts w:ascii="Abadi" w:hAnsi="Abadi"/>
          <w:i/>
          <w:iCs/>
          <w:szCs w:val="24"/>
        </w:rPr>
        <w:t>green economy</w:t>
      </w:r>
      <w:r w:rsidRPr="00DB6768">
        <w:rPr>
          <w:rFonts w:ascii="Abadi" w:hAnsi="Abadi"/>
          <w:szCs w:val="24"/>
        </w:rPr>
        <w:t xml:space="preserve">. Untuk ketahanan pangan masyarakat Baduy membuat sebuah lumbung padi yang dapat menyimpan ratusan kg gabah dan dapat bertahan 3 – 4 tahun, selain itu olah pangan yang mereka punya diolah dengan cara direbus, goreng, kukus, dan bakar. masyarakat Baduy menerapkan pola hidup sederhana dengan cara menggunakan energi dan sumber daya alam secara hemat. Dalam konteks ini, masyarakat Baduy menjadi agen perubahan yang dapat mendorong </w:t>
      </w:r>
      <w:r w:rsidRPr="00DB6768">
        <w:rPr>
          <w:rFonts w:ascii="Abadi" w:hAnsi="Abadi"/>
          <w:i/>
          <w:iCs/>
          <w:szCs w:val="24"/>
        </w:rPr>
        <w:t xml:space="preserve">green finance </w:t>
      </w:r>
      <w:r w:rsidRPr="00DB6768">
        <w:rPr>
          <w:rFonts w:ascii="Abadi" w:hAnsi="Abadi"/>
          <w:szCs w:val="24"/>
        </w:rPr>
        <w:t>melalui pilihan konsumsi yang bijak.</w:t>
      </w:r>
    </w:p>
    <w:p w14:paraId="4EB575E3" w14:textId="5D15D5E3" w:rsidR="00F36DD0" w:rsidRPr="00DB6768" w:rsidRDefault="00F36DD0" w:rsidP="003D7DAE">
      <w:pPr>
        <w:pStyle w:val="NoSpacing"/>
        <w:numPr>
          <w:ilvl w:val="0"/>
          <w:numId w:val="9"/>
        </w:numPr>
        <w:rPr>
          <w:rFonts w:ascii="Abadi" w:hAnsi="Abadi"/>
          <w:szCs w:val="24"/>
        </w:rPr>
      </w:pPr>
      <w:r w:rsidRPr="00DB6768">
        <w:rPr>
          <w:rFonts w:ascii="Abadi" w:hAnsi="Abadi"/>
          <w:szCs w:val="24"/>
        </w:rPr>
        <w:t xml:space="preserve">Distribusi </w:t>
      </w:r>
    </w:p>
    <w:p w14:paraId="620BF228" w14:textId="77777777" w:rsidR="00F36DD0" w:rsidRPr="00DB6768" w:rsidRDefault="00F36DD0" w:rsidP="00842305">
      <w:pPr>
        <w:pStyle w:val="NoSpacing"/>
        <w:ind w:left="1440" w:firstLine="360"/>
        <w:rPr>
          <w:rFonts w:ascii="Abadi" w:hAnsi="Abadi" w:cstheme="majorBidi"/>
          <w:szCs w:val="24"/>
        </w:rPr>
      </w:pPr>
      <w:r w:rsidRPr="00DB6768">
        <w:rPr>
          <w:rFonts w:ascii="Abadi" w:hAnsi="Abadi" w:cstheme="majorBidi"/>
          <w:szCs w:val="24"/>
        </w:rPr>
        <w:t xml:space="preserve">Seiring dengan berkembangnya pembangunan ekonomi di suatu daerah tentunya akan meningkatkan distribusi barang di daerah tersebut. Distribusi masyarakat Baduy luar berupa hasil perkebunan dan kerajinan yang di dapat. Pendistribusian yang dilakukan masyarakat Baduy sebagai </w:t>
      </w:r>
      <w:r w:rsidRPr="00DB6768">
        <w:rPr>
          <w:rFonts w:ascii="Abadi" w:hAnsi="Abadi" w:cstheme="majorBidi"/>
          <w:i/>
          <w:iCs/>
          <w:szCs w:val="24"/>
        </w:rPr>
        <w:t>touir guide</w:t>
      </w:r>
      <w:r w:rsidRPr="00DB6768">
        <w:rPr>
          <w:rFonts w:ascii="Abadi" w:hAnsi="Abadi" w:cstheme="majorBidi"/>
          <w:szCs w:val="24"/>
        </w:rPr>
        <w:t xml:space="preserve">, pengrajin, dan pengelolaan padi yang dilakukan melalui sumber daya alam, serta pengantar pengunjung, kerajinan, dan padi hanya menggunakan sumber daya manusia, yaitu dengan berjalan kaki akan tetapi, mereka juga mengadopsi teknologi informasi untuk memasarkan produk mereka, seperti madu dan kerajinan tangan ke pasar yang lebih luas, tanpa mengabaikan nilai-nilai adat. Berdasarkan hasil wawancara, informan MK menyampaikan bahwa masyarakat Baduy </w:t>
      </w:r>
      <w:r w:rsidRPr="00DB6768">
        <w:rPr>
          <w:rFonts w:ascii="Abadi" w:hAnsi="Abadi"/>
          <w:szCs w:val="24"/>
        </w:rPr>
        <w:t xml:space="preserve">dalam proses distribusi </w:t>
      </w:r>
      <w:r w:rsidRPr="00DB6768">
        <w:rPr>
          <w:rFonts w:ascii="Abadi" w:hAnsi="Abadi"/>
          <w:szCs w:val="24"/>
        </w:rPr>
        <w:lastRenderedPageBreak/>
        <w:t>barang maupun jasa dapat dilakukan melalui individu langsung atau ke tengkulak yang menjadi distributornya.</w:t>
      </w:r>
    </w:p>
    <w:p w14:paraId="7F55D27A" w14:textId="77777777" w:rsidR="00F36DD0" w:rsidRPr="00DB6768" w:rsidRDefault="00F36DD0" w:rsidP="003D7DAE">
      <w:pPr>
        <w:pStyle w:val="NoSpacing"/>
        <w:ind w:left="720" w:firstLine="720"/>
        <w:rPr>
          <w:rFonts w:ascii="Abadi" w:hAnsi="Abadi" w:cstheme="majorBidi"/>
          <w:szCs w:val="24"/>
        </w:rPr>
      </w:pPr>
      <w:r w:rsidRPr="00DB6768">
        <w:rPr>
          <w:rFonts w:ascii="Abadi" w:hAnsi="Abadi" w:cstheme="majorBidi"/>
          <w:szCs w:val="24"/>
        </w:rPr>
        <w:t>“Dijual ke tengkulak, lalu tengkulak jual lagi sendiri.”</w:t>
      </w:r>
    </w:p>
    <w:p w14:paraId="02CA40AF" w14:textId="298E577F" w:rsidR="00842305" w:rsidRPr="00DB6768" w:rsidRDefault="00F36DD0" w:rsidP="00842305">
      <w:pPr>
        <w:pStyle w:val="NoSpacing"/>
        <w:ind w:left="1080" w:firstLine="360"/>
        <w:rPr>
          <w:rFonts w:ascii="Abadi" w:hAnsi="Abadi" w:cstheme="majorBidi"/>
          <w:szCs w:val="24"/>
        </w:rPr>
      </w:pPr>
      <w:r w:rsidRPr="00DB6768">
        <w:rPr>
          <w:rFonts w:ascii="Abadi" w:hAnsi="Abadi" w:cstheme="majorBidi"/>
          <w:szCs w:val="24"/>
        </w:rPr>
        <w:t xml:space="preserve">Bukan hanya itu, distribusi berkelanjutan merupakan bagian dari konsep </w:t>
      </w:r>
      <w:r w:rsidRPr="00DB6768">
        <w:rPr>
          <w:rFonts w:ascii="Abadi" w:hAnsi="Abadi" w:cstheme="majorBidi"/>
          <w:i/>
          <w:iCs/>
          <w:szCs w:val="24"/>
        </w:rPr>
        <w:t xml:space="preserve">green economy </w:t>
      </w:r>
      <w:r w:rsidRPr="00DB6768">
        <w:rPr>
          <w:rFonts w:ascii="Abadi" w:hAnsi="Abadi" w:cstheme="majorBidi"/>
          <w:szCs w:val="24"/>
        </w:rPr>
        <w:t xml:space="preserve">yang berfokus suatu barang yang dikirim sampai ke tangan konsumen dengan cara efisien, adil, dan tidak merusak lingkungan. Di sisi lain, distribusi berkelanjutan ternyata menjadi bagian dari </w:t>
      </w:r>
      <w:r w:rsidRPr="00DB6768">
        <w:rPr>
          <w:rFonts w:ascii="Abadi" w:hAnsi="Abadi" w:cstheme="majorBidi"/>
          <w:i/>
          <w:iCs/>
          <w:szCs w:val="24"/>
        </w:rPr>
        <w:t xml:space="preserve">green finance </w:t>
      </w:r>
      <w:r w:rsidRPr="00DB6768">
        <w:rPr>
          <w:rFonts w:ascii="Abadi" w:hAnsi="Abadi" w:cstheme="majorBidi"/>
          <w:szCs w:val="24"/>
        </w:rPr>
        <w:t xml:space="preserve">yang dapat memunculkan perubahan melalui skema </w:t>
      </w:r>
      <w:r w:rsidRPr="00DB6768">
        <w:rPr>
          <w:rFonts w:ascii="Abadi" w:hAnsi="Abadi" w:cstheme="majorBidi"/>
          <w:i/>
          <w:iCs/>
          <w:szCs w:val="24"/>
        </w:rPr>
        <w:t>green finance</w:t>
      </w:r>
      <w:r w:rsidRPr="00DB6768">
        <w:rPr>
          <w:rFonts w:ascii="Abadi" w:hAnsi="Abadi" w:cstheme="majorBidi"/>
          <w:szCs w:val="24"/>
        </w:rPr>
        <w:t xml:space="preserve">, lembaga desa untuk mendapatkan dukungan dana dalam membangun sistem distribusi yang ramah lingkungan dan berbasis masyarakat </w:t>
      </w:r>
      <w:r w:rsidRPr="00DB6768">
        <w:rPr>
          <w:rFonts w:ascii="Abadi" w:hAnsi="Abadi" w:cstheme="majorBidi"/>
          <w:szCs w:val="24"/>
        </w:rPr>
        <w:fldChar w:fldCharType="begin" w:fldLock="1"/>
      </w:r>
      <w:r w:rsidR="003F6CD7" w:rsidRPr="00DB6768">
        <w:rPr>
          <w:rFonts w:ascii="Abadi" w:hAnsi="Abadi" w:cstheme="majorBidi"/>
          <w:szCs w:val="24"/>
        </w:rPr>
        <w:instrText>ADDIN CSL_CITATION {"citationItems":[{"id":"ITEM-1","itemData":{"DOI":"https://doi.org/10.1007/s44265-023-00020-3","abstract":"Studi ini mengulas secara komprehensif hubungan antara keuangan hijau dan pembangunan berkelanjutan, khususnya berfokus pada penanggulangan perubahan iklim dan pencapaian netralitas karbon. Dengan menggunakan metodologi tinjauan naratif, studi ini meneliti berbagai artikel dan publikasi ilmiah untuk mengidentifikasi tema utama, temuan, dan arah masa depan dalam keuangan hijau. Tinjauan ini menekankan peran penting investasi substansial dalam inisiatif hijau dan rendah karbon untuk mengatasi perubahan iklim secara efektif dan mendorong pertumbuhan ekonomi berkelanjutan. Tinjauan ini menyoroti perlunya kerangka regulasi yang kuat yang memfasilitasi ketersediaan keuangan hijau dan integrasi praktik netral karbon. Selain itu, makalah ini mengeksplorasi potensi investasi berdampak, di mana investor menerima pengembalian finansial yang lebih rendah sebagai imbalan atas manfaat nonfinansial dalam keuangan hijau. Studi ini menggarisbawahi peran kepemilikan institusional yang berpengaruh dalam membimbing perusahaan menuju peningkatan kinerja lingkungan dan sosial. Selain itu, mengintegrasikan faktor lingkungan, sosial, dan tata kelola (ESG) dalam keputusan investasi sangat penting untuk keuangan berkelanjutan. Dengan membahas persimpangan antara perubahan iklim dan manajemen risiko, tinjauan ini menyoroti implikasi risiko lingkungan pada pengambilan keputusan keuangan. Strategi komunikasi yang efektif dapat meningkatkan kesadaran publik dan dukungan terhadap kebijakan iklim. Studi ini diakhiri dengan menyerukan kolaborasi, penelitian lebih lanjut, dan langkah-langkah kebijakan untuk memajukan keuangan hijau dan mendorong pertumbuhan ekonomi berkelanjutan. Kajian ini merekomendasikan penyelarasan insentif keuangan dengan hasil yang berkelanjutan, mendorong transparansi, dan menggabungkan keadilan sosial dalam inisiatif keuangan hijau untuk berkontribusi terhadap pencapaian tujuan pembangunan berkelanjutan dan mempromosikan masa depan yang lebih hijau.","author":[{"dropping-particle":"","family":"Fu","given":"Chengbo","non-dropping-particle":"","parse-names":false,"suffix":""},{"dropping-particle":"","family":"Lu","given":"Lei","non-dropping-particle":"","parse-names":false,"suffix":""}],"container-title":"Digital Economy and Sustainable Development","id":"ITEM-1","issued":{"date-parts":[["2023"]]},"page":"1-20","title":"Memajukan keuangan hijau : Tinjauan Pembangunan Berkelanjutan","type":"article-journal","volume":"3"},"uris":["http://www.mendeley.com/documents/?uuid=ba78751d-72f2-46cb-a02a-8f4f86d824c1"]}],"mendeley":{"formattedCitation":"(Fu &amp; Lu, 2023)","plainTextFormattedCitation":"(Fu &amp; Lu, 2023)","previouslyFormattedCitation":"(Fu &amp; Lu, 2023)"},"properties":{"noteIndex":0},"schema":"https://github.com/citation-style-language/schema/raw/master/csl-citation.json"}</w:instrText>
      </w:r>
      <w:r w:rsidRPr="00DB6768">
        <w:rPr>
          <w:rFonts w:ascii="Abadi" w:hAnsi="Abadi" w:cstheme="majorBidi"/>
          <w:szCs w:val="24"/>
        </w:rPr>
        <w:fldChar w:fldCharType="separate"/>
      </w:r>
      <w:r w:rsidRPr="00DB6768">
        <w:rPr>
          <w:rFonts w:ascii="Abadi" w:hAnsi="Abadi" w:cstheme="majorBidi"/>
          <w:szCs w:val="24"/>
        </w:rPr>
        <w:t>(Fu &amp; Lu, 2023)</w:t>
      </w:r>
      <w:r w:rsidRPr="00DB6768">
        <w:rPr>
          <w:rFonts w:ascii="Abadi" w:hAnsi="Abadi" w:cstheme="majorBidi"/>
          <w:szCs w:val="24"/>
        </w:rPr>
        <w:fldChar w:fldCharType="end"/>
      </w:r>
      <w:r w:rsidR="00842305" w:rsidRPr="00DB6768">
        <w:rPr>
          <w:rFonts w:ascii="Abadi" w:hAnsi="Abadi" w:cstheme="majorBidi"/>
          <w:szCs w:val="24"/>
        </w:rPr>
        <w:t>.</w:t>
      </w:r>
    </w:p>
    <w:p w14:paraId="03B1C347" w14:textId="254BC7AA" w:rsidR="00842305" w:rsidRPr="00DB6768" w:rsidRDefault="00842305" w:rsidP="00842305">
      <w:pPr>
        <w:pStyle w:val="NoSpacing"/>
        <w:ind w:left="1080" w:firstLine="360"/>
        <w:rPr>
          <w:rFonts w:ascii="Abadi" w:hAnsi="Abadi" w:cstheme="majorBidi"/>
          <w:szCs w:val="24"/>
        </w:rPr>
      </w:pPr>
      <w:r w:rsidRPr="00DB6768">
        <w:rPr>
          <w:rFonts w:ascii="Abadi" w:hAnsi="Abadi"/>
        </w:rPr>
        <w:drawing>
          <wp:inline distT="0" distB="0" distL="0" distR="0" wp14:anchorId="36AB973B" wp14:editId="4C1EF4B9">
            <wp:extent cx="1518700" cy="2023273"/>
            <wp:effectExtent l="0" t="0" r="5715" b="0"/>
            <wp:docPr id="71" name="Picture 71" descr="A person sitting in front of a table with a display of colorful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6161" cy="2033213"/>
                    </a:xfrm>
                    <a:prstGeom prst="rect">
                      <a:avLst/>
                    </a:prstGeom>
                    <a:noFill/>
                    <a:ln>
                      <a:noFill/>
                    </a:ln>
                  </pic:spPr>
                </pic:pic>
              </a:graphicData>
            </a:graphic>
          </wp:inline>
        </w:drawing>
      </w:r>
      <w:r w:rsidRPr="00DB6768">
        <w:rPr>
          <w:rFonts w:ascii="Abadi" w:hAnsi="Abadi" w:cstheme="majorBidi"/>
          <w:szCs w:val="24"/>
        </w:rPr>
        <w:tab/>
      </w:r>
      <w:r w:rsidRPr="00DB6768">
        <w:rPr>
          <w:rFonts w:ascii="Abadi" w:hAnsi="Abadi"/>
        </w:rPr>
        <w:drawing>
          <wp:inline distT="0" distB="0" distL="0" distR="0" wp14:anchorId="67379395" wp14:editId="5A259843">
            <wp:extent cx="2242268" cy="168163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4882" cy="1683590"/>
                    </a:xfrm>
                    <a:prstGeom prst="rect">
                      <a:avLst/>
                    </a:prstGeom>
                    <a:noFill/>
                    <a:ln>
                      <a:noFill/>
                    </a:ln>
                  </pic:spPr>
                </pic:pic>
              </a:graphicData>
            </a:graphic>
          </wp:inline>
        </w:drawing>
      </w:r>
      <w:r w:rsidRPr="00DB6768">
        <w:rPr>
          <w:rFonts w:ascii="Abadi" w:hAnsi="Abadi" w:cstheme="majorBidi"/>
          <w:szCs w:val="24"/>
        </w:rPr>
        <w:tab/>
      </w:r>
    </w:p>
    <w:p w14:paraId="71462F63" w14:textId="6FE42519" w:rsidR="00842305" w:rsidRPr="00DB6768" w:rsidRDefault="00842305" w:rsidP="00842305">
      <w:pPr>
        <w:pStyle w:val="Caption"/>
        <w:jc w:val="center"/>
        <w:rPr>
          <w:rFonts w:ascii="Abadi" w:hAnsi="Abadi" w:cstheme="majorBidi"/>
          <w:color w:val="auto"/>
          <w:szCs w:val="24"/>
        </w:rPr>
      </w:pPr>
      <w:r w:rsidRPr="00DB6768">
        <w:rPr>
          <w:rFonts w:ascii="Abadi" w:hAnsi="Abadi"/>
          <w:color w:val="auto"/>
        </w:rPr>
        <w:t xml:space="preserve">Gambar 2. </w:t>
      </w:r>
      <w:r w:rsidRPr="00DB6768">
        <w:rPr>
          <w:rFonts w:ascii="Abadi" w:hAnsi="Abadi"/>
          <w:color w:val="auto"/>
        </w:rPr>
        <w:fldChar w:fldCharType="begin"/>
      </w:r>
      <w:r w:rsidRPr="00DB6768">
        <w:rPr>
          <w:rFonts w:ascii="Abadi" w:hAnsi="Abadi"/>
          <w:color w:val="auto"/>
        </w:rPr>
        <w:instrText xml:space="preserve"> SEQ Gambar_2. \* ARABIC </w:instrText>
      </w:r>
      <w:r w:rsidRPr="00DB6768">
        <w:rPr>
          <w:rFonts w:ascii="Abadi" w:hAnsi="Abadi"/>
          <w:color w:val="auto"/>
        </w:rPr>
        <w:fldChar w:fldCharType="separate"/>
      </w:r>
      <w:r w:rsidRPr="00DB6768">
        <w:rPr>
          <w:rFonts w:ascii="Abadi" w:hAnsi="Abadi"/>
          <w:color w:val="auto"/>
        </w:rPr>
        <w:t>6</w:t>
      </w:r>
      <w:r w:rsidRPr="00DB6768">
        <w:rPr>
          <w:rFonts w:ascii="Abadi" w:hAnsi="Abadi"/>
          <w:color w:val="auto"/>
        </w:rPr>
        <w:fldChar w:fldCharType="end"/>
      </w:r>
      <w:r w:rsidRPr="00DB6768">
        <w:rPr>
          <w:rFonts w:ascii="Abadi" w:hAnsi="Abadi"/>
          <w:color w:val="auto"/>
        </w:rPr>
        <w:t xml:space="preserve"> Penjualan barang kerajinan</w:t>
      </w:r>
    </w:p>
    <w:p w14:paraId="66FB915D" w14:textId="77777777" w:rsidR="00842305" w:rsidRPr="00DB6768" w:rsidRDefault="00842305" w:rsidP="00842305">
      <w:pPr>
        <w:pStyle w:val="NoSpacing"/>
        <w:ind w:left="1080" w:firstLine="360"/>
        <w:rPr>
          <w:rFonts w:ascii="Abadi" w:hAnsi="Abadi" w:cstheme="majorBidi"/>
          <w:szCs w:val="24"/>
        </w:rPr>
      </w:pPr>
    </w:p>
    <w:p w14:paraId="4608F9DC" w14:textId="10D685A3" w:rsidR="00F36DD0" w:rsidRPr="00DB6768" w:rsidRDefault="00F36DD0" w:rsidP="003D7DAE">
      <w:pPr>
        <w:pStyle w:val="NoSpacing"/>
        <w:numPr>
          <w:ilvl w:val="0"/>
          <w:numId w:val="8"/>
        </w:numPr>
        <w:rPr>
          <w:rFonts w:ascii="Abadi" w:hAnsi="Abadi" w:cstheme="majorBidi"/>
          <w:szCs w:val="24"/>
        </w:rPr>
      </w:pPr>
      <w:r w:rsidRPr="00DB6768">
        <w:rPr>
          <w:rFonts w:ascii="Abadi" w:hAnsi="Abadi" w:cstheme="majorBidi"/>
          <w:szCs w:val="24"/>
        </w:rPr>
        <w:t xml:space="preserve">Sosial </w:t>
      </w:r>
    </w:p>
    <w:p w14:paraId="3F5C7DD5" w14:textId="77777777" w:rsidR="00842305" w:rsidRPr="00DB6768" w:rsidRDefault="00F36DD0" w:rsidP="00842305">
      <w:pPr>
        <w:pStyle w:val="NoSpacing"/>
        <w:ind w:left="1080" w:firstLine="360"/>
        <w:rPr>
          <w:rFonts w:ascii="Abadi" w:hAnsi="Abadi"/>
          <w:szCs w:val="24"/>
        </w:rPr>
      </w:pPr>
      <w:r w:rsidRPr="00DB6768">
        <w:rPr>
          <w:rFonts w:ascii="Abadi" w:hAnsi="Abadi"/>
          <w:szCs w:val="24"/>
        </w:rPr>
        <w:t>Masyarakat Baduy memegang teguh nilai-nilai yang mereka pegang teguh dalam isu sosial, seperti menjunjung tinggi adat istiadat leluhur dan menjaga kelestarian alam di sekitar mereka, yang kini menjadi bagian dari gaya hidup mereka yang berkelanjutan. Salah satu contoh yang mereka miliki adalah cara mengelolaan sumber daya alam secara bersamaan dengan sistem gotong royong dan terbentuknya model ekonomi yang adil dan ramah lingkungan.</w:t>
      </w:r>
    </w:p>
    <w:p w14:paraId="3F0BDC42" w14:textId="77777777" w:rsidR="00842305" w:rsidRPr="00DB6768" w:rsidRDefault="00F36DD0" w:rsidP="00842305">
      <w:pPr>
        <w:pStyle w:val="NoSpacing"/>
        <w:ind w:left="1080" w:firstLine="360"/>
        <w:rPr>
          <w:rFonts w:ascii="Abadi" w:hAnsi="Abadi"/>
          <w:szCs w:val="24"/>
        </w:rPr>
      </w:pPr>
      <w:r w:rsidRPr="00DB6768">
        <w:rPr>
          <w:rFonts w:ascii="Abadi" w:hAnsi="Abadi"/>
          <w:szCs w:val="24"/>
        </w:rPr>
        <w:t xml:space="preserve">Saat melakukan observasi, peneliti melihat contoh nyata masyarakat Baduy. Di Baduy tolak ukur kesejahteraan atau kekayaan yang dimiliki bukan dilihat dari berapa banyak uang, kendaraan, dan barang elektronik, melainkan padi yang menjadi simbol kekayaan masyarakat Baduy terlihat dari banyak nya </w:t>
      </w:r>
      <w:r w:rsidRPr="00DB6768">
        <w:rPr>
          <w:rFonts w:ascii="Abadi" w:hAnsi="Abadi"/>
          <w:i/>
          <w:iCs/>
          <w:szCs w:val="24"/>
        </w:rPr>
        <w:t>leuit</w:t>
      </w:r>
      <w:r w:rsidRPr="00DB6768">
        <w:rPr>
          <w:rFonts w:ascii="Abadi" w:hAnsi="Abadi"/>
          <w:szCs w:val="24"/>
        </w:rPr>
        <w:t xml:space="preserve"> yang ada. Padi yang disimpan dalam </w:t>
      </w:r>
      <w:r w:rsidRPr="00DB6768">
        <w:rPr>
          <w:rFonts w:ascii="Abadi" w:hAnsi="Abadi"/>
          <w:i/>
          <w:iCs/>
          <w:szCs w:val="24"/>
        </w:rPr>
        <w:t>leuit</w:t>
      </w:r>
      <w:r w:rsidRPr="00DB6768">
        <w:rPr>
          <w:rFonts w:ascii="Abadi" w:hAnsi="Abadi"/>
          <w:szCs w:val="24"/>
        </w:rPr>
        <w:t xml:space="preserve"> dalam bentuk rumah dijaga dan dirawat, serta rumah yang memiliki leuit penuh akan dipandang sebagai sejahtera. Maka dari itu, padi yang menjadi simbol kekayaan tidak mengorbankan alam dan tetap menjaga keberlanjutan.</w:t>
      </w:r>
      <w:r w:rsidR="003F6CD7" w:rsidRPr="00DB6768">
        <w:rPr>
          <w:rFonts w:ascii="Abadi" w:hAnsi="Abadi"/>
          <w:szCs w:val="24"/>
        </w:rPr>
        <w:t xml:space="preserve"> Selain itu, padi yang dimiliki tidak dijual bebas, melainkan digunakan untuk memenuhi kebutuhan pangan keluarga. Setelah masa panen, padi akan disimpan dalam </w:t>
      </w:r>
      <w:r w:rsidR="003F6CD7" w:rsidRPr="00DB6768">
        <w:rPr>
          <w:rFonts w:ascii="Abadi" w:hAnsi="Abadi"/>
          <w:i/>
          <w:iCs/>
          <w:szCs w:val="24"/>
        </w:rPr>
        <w:t>leuit. Leuit</w:t>
      </w:r>
      <w:r w:rsidR="003F6CD7" w:rsidRPr="00DB6768">
        <w:rPr>
          <w:rFonts w:ascii="Abadi" w:hAnsi="Abadi"/>
          <w:szCs w:val="24"/>
        </w:rPr>
        <w:t xml:space="preserve"> ini menjadi bahan cadangan utama dan memiliki nilai simbolis yang tinggi. Menurut adat setempat setiap kepala keluarga yang sudah menikah wajib memiliki </w:t>
      </w:r>
      <w:r w:rsidR="003F6CD7" w:rsidRPr="00DB6768">
        <w:rPr>
          <w:rFonts w:ascii="Abadi" w:hAnsi="Abadi"/>
          <w:i/>
          <w:iCs/>
          <w:szCs w:val="24"/>
        </w:rPr>
        <w:t xml:space="preserve">leuit </w:t>
      </w:r>
      <w:r w:rsidR="003F6CD7" w:rsidRPr="00DB6768">
        <w:rPr>
          <w:rFonts w:ascii="Abadi" w:hAnsi="Abadi"/>
          <w:i/>
          <w:iCs/>
          <w:szCs w:val="24"/>
        </w:rPr>
        <w:fldChar w:fldCharType="begin" w:fldLock="1"/>
      </w:r>
      <w:r w:rsidR="003F6CD7" w:rsidRPr="00DB6768">
        <w:rPr>
          <w:rFonts w:ascii="Abadi" w:hAnsi="Abadi"/>
          <w:i/>
          <w:iCs/>
          <w:szCs w:val="24"/>
        </w:rPr>
        <w:instrText>ADDIN CSL_CITATION {"citationItems":[{"id":"ITEM-1","itemData":{"DOI":"10.1088/1755-1315/383/1/012032","ISSN":"17551315","abstract":"The Baduy Indigenous Community are in the Lebak Regency of Banten Province. The Baduy depends entirely on the agricultural sector, where the availability of agricultural land becomes very important. Baduy people have their customs related to the existence of agricultural land and have customary rights to the area and agricultural land. To ensure sustainable agriculture, the regulation of the local agricultural system, especially land use and management of the agricultural system is essential. This research explores how customs and traditions contribute to the achievement of sustainable agriculture in the indigenous Baduy community. The study used the qualitative methodology approach with research techniques observation, expert depth interview, people depth interview, literature study, and focus group discussion (FGD). The results of the study show that customs and traditions regulate local agricultural activities, both land tenure, and land-use arrangements and local agricultural activities. The existence of customary arrangements becomes the basic system of local Baduy farming that has an economic, social, and environmental perspective that is the basis for achieving sustainable agriculture in Baduy.","author":[{"dropping-particle":"","family":"Mirajiani","given":"","non-dropping-particle":"","parse-names":false,"suffix":""},{"dropping-particle":"","family":"Sulaeni","given":"","non-dropping-particle":"","parse-names":false,"suffix":""},{"dropping-particle":"","family":"Sutisna","given":"T.","non-dropping-particle":"","parse-names":false,"suffix":""}],"container-title":"IOP Conference Series: Earth and Environmental Science","id":"ITEM-1","issue":"1","issued":{"date-parts":[["2019"]]},"page":"1-8","title":"The Local Farming System Based on Custom and Tradition to Achieve Sustainable Agriculture in Baduy Indigenous Community","type":"article-journal","volume":"383"},"uris":["http://www.mendeley.com/documents/?uuid=f49fc51a-3b1c-494a-b85f-f8243d08d109"]}],"mendeley":{"formattedCitation":"(Mirajiani et al., 2019)","plainTextFormattedCitation":"(Mirajiani et al., 2019)","previouslyFormattedCitation":"(Mirajiani et al., 2019)"},"properties":{"noteIndex":0},"schema":"https://github.com/citation-style-language/schema/raw/master/csl-citation.json"}</w:instrText>
      </w:r>
      <w:r w:rsidR="003F6CD7" w:rsidRPr="00DB6768">
        <w:rPr>
          <w:rFonts w:ascii="Abadi" w:hAnsi="Abadi"/>
          <w:i/>
          <w:iCs/>
          <w:szCs w:val="24"/>
        </w:rPr>
        <w:fldChar w:fldCharType="separate"/>
      </w:r>
      <w:r w:rsidR="003F6CD7" w:rsidRPr="00DB6768">
        <w:rPr>
          <w:rFonts w:ascii="Abadi" w:hAnsi="Abadi"/>
          <w:iCs/>
          <w:szCs w:val="24"/>
        </w:rPr>
        <w:t>(Mirajiani et al., 2019)</w:t>
      </w:r>
      <w:r w:rsidR="003F6CD7" w:rsidRPr="00DB6768">
        <w:rPr>
          <w:rFonts w:ascii="Abadi" w:hAnsi="Abadi"/>
          <w:i/>
          <w:iCs/>
          <w:szCs w:val="24"/>
        </w:rPr>
        <w:fldChar w:fldCharType="end"/>
      </w:r>
      <w:r w:rsidR="003F6CD7" w:rsidRPr="00DB6768">
        <w:rPr>
          <w:rFonts w:ascii="Abadi" w:hAnsi="Abadi"/>
          <w:i/>
          <w:iCs/>
          <w:szCs w:val="24"/>
        </w:rPr>
        <w:t xml:space="preserve">. </w:t>
      </w:r>
      <w:r w:rsidR="003F6CD7" w:rsidRPr="00DB6768">
        <w:rPr>
          <w:rFonts w:ascii="Abadi" w:hAnsi="Abadi"/>
          <w:szCs w:val="24"/>
        </w:rPr>
        <w:t>Dalam pandangan</w:t>
      </w:r>
      <w:r w:rsidR="003F6CD7" w:rsidRPr="00DB6768">
        <w:rPr>
          <w:rFonts w:ascii="Abadi" w:hAnsi="Abadi"/>
          <w:i/>
          <w:iCs/>
          <w:szCs w:val="24"/>
        </w:rPr>
        <w:t xml:space="preserve"> green finance, </w:t>
      </w:r>
      <w:r w:rsidR="003F6CD7" w:rsidRPr="00DB6768">
        <w:rPr>
          <w:rFonts w:ascii="Abadi" w:hAnsi="Abadi"/>
          <w:szCs w:val="24"/>
        </w:rPr>
        <w:t xml:space="preserve">hal di atas merupakan bentuk dari keuangan berkelanjutan berbasis komunitas yang dimana </w:t>
      </w:r>
      <w:r w:rsidR="003F6CD7" w:rsidRPr="00DB6768">
        <w:rPr>
          <w:rFonts w:ascii="Abadi" w:hAnsi="Abadi"/>
          <w:szCs w:val="24"/>
        </w:rPr>
        <w:lastRenderedPageBreak/>
        <w:t>masyarakat Baduy hanya menggantungkan kebutuhannya pada sumber daya alam dan tidak bergantung pada pinjaman bank.</w:t>
      </w:r>
    </w:p>
    <w:p w14:paraId="3C4335F0" w14:textId="77777777" w:rsidR="00842305" w:rsidRPr="00DB6768" w:rsidRDefault="003F6CD7" w:rsidP="00842305">
      <w:pPr>
        <w:pStyle w:val="NoSpacing"/>
        <w:ind w:left="1080" w:firstLine="360"/>
        <w:rPr>
          <w:rFonts w:ascii="Abadi" w:hAnsi="Abadi"/>
          <w:szCs w:val="24"/>
        </w:rPr>
      </w:pPr>
      <w:r w:rsidRPr="00DB6768">
        <w:rPr>
          <w:rFonts w:ascii="Abadi" w:hAnsi="Abadi"/>
          <w:szCs w:val="24"/>
        </w:rPr>
        <w:t xml:space="preserve">Bukan hanya itu, saat melakukan observasi, peneliti menemukan contoh nyata masyarakat Baduy baik laki-laki maupun perempuan sedang bergotong royong dalam melakukan kegiatan sehari-hari, seperti melihat pembangunan rumah adat yang dilakukan secara bersamaan dan melihat anak-anak yang masih kecil sudah membantu orang tua nya berjualan. Hal ini bertujuan agar para pengunjung dapat merasakan nuasana kehidupan damai di tengah-tengah derasnya nilai-nilai budaya baru yang mengancam terjadinya pergeseran tatanan nilai kehidupan masyarakat Baduy </w:t>
      </w:r>
      <w:r w:rsidRPr="00DB6768">
        <w:rPr>
          <w:rFonts w:ascii="Abadi" w:hAnsi="Abadi"/>
          <w:szCs w:val="24"/>
        </w:rPr>
        <w:fldChar w:fldCharType="begin" w:fldLock="1"/>
      </w:r>
      <w:r w:rsidRPr="00DB6768">
        <w:rPr>
          <w:rFonts w:ascii="Abadi" w:hAnsi="Abadi"/>
          <w:szCs w:val="24"/>
        </w:rPr>
        <w:instrText>ADDIN CSL_CITATION {"citationItems":[{"id":"ITEM-1","itemData":{"DOI":"10.37640/jcv.v3i2.1879","abstract":"Penelitian ini menitikberatkan pada analisis realitas masyarakat Suku Baduy dalam menjaga hubungan harmonis dengan alam serta ketaatan mereka dalam melestarikan lingkungan melalui hukum adat. Pendekatan kualitatif digunakan karena memungkinkan pemahaman mendalam terhadap realitas sosial, yang diyakini terbentuk oleh kesadaran individu. Lokasi penelitian adalah Desa Kanekes, Kabupaten Lebak, Provinsi Banten, yang dipilih karena kuatnya tradisi adat Baduy yang masih dijalankan di sana. Untuk memvalidasi data, teknik triangulasi sumber dan teori digunakan, melibatkan tahapan pengumpulan, reduksi, penyajian data, dan verifikasi. Kearifan lokal masyarakat Baduy mencerminkan nilai-nilai keberlangsungan hidup yang patut dicontohkan, termasuk hidup damai, rukun, bermoral, penuh kasih, serta harmoni dengan lingkungan. Mereka memiliki pepatah, \"Lamun diciwit nyeri ulah sok nyiwit batur,\" yang mengajarkan tentang tidak menyakiti orang lain, tidak hanya dalam interaksi dengan luar tetapi juga antar sesama anggota Baduy, khususnya dalam konteks hubungan antar gender. Pentingnya pelestarian alam tercermin dalam keyakinan mereka akan kehidupan berkelanjutan, yang mendorong tanggung jawab dan pengabdian dalam menjaga lingkungan sekitar mereka. Suku Baduy memegang prinsip hidup yang mencerminkan kearifan lokal yang berharga, dapat menjadi teladan dalam menjaga harmoni, melestarikan alam, serta menghormati tradisi dan adat.","author":[{"dropping-particle":"","family":"Abduh","given":"Mohamad","non-dropping-particle":"","parse-names":false,"suffix":""},{"dropping-particle":"","family":"Ma'arif","given":"Asep Samsul","non-dropping-particle":"","parse-names":false,"suffix":""},{"dropping-particle":"","family":"Ari","given":"Dian","non-dropping-particle":"","parse-names":false,"suffix":""},{"dropping-particle":"","family":"Nurmalawati","given":"Nita Novia","non-dropping-particle":"","parse-names":false,"suffix":""},{"dropping-particle":"","family":"Unaedi","given":"Reddy","non-dropping-particle":"","parse-names":false,"suffix":""}],"container-title":"Jurnal Citizenship Virtues","id":"ITEM-1","issue":"2","issued":{"date-parts":[["2023"]]},"page":"607-614","title":"Implementasi Gaya Hidup Berkelanjutan Masyarakat Suku Baduy Banten","type":"article-journal","volume":"3"},"uris":["http://www.mendeley.com/documents/?uuid=bb7ae96e-7731-4f6a-98a2-3bc6d1ef7689"]}],"mendeley":{"formattedCitation":"(Abduh et al., 2023)","plainTextFormattedCitation":"(Abduh et al., 2023)","previouslyFormattedCitation":"(Abduh et al., 2023)"},"properties":{"noteIndex":0},"schema":"https://github.com/citation-style-language/schema/raw/master/csl-citation.json"}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(Abduh et al., 2023)</w:t>
      </w:r>
      <w:r w:rsidRPr="00DB6768">
        <w:rPr>
          <w:rFonts w:ascii="Abadi" w:hAnsi="Abadi"/>
          <w:szCs w:val="24"/>
        </w:rPr>
        <w:fldChar w:fldCharType="end"/>
      </w:r>
      <w:r w:rsidR="00842305" w:rsidRPr="00DB6768">
        <w:rPr>
          <w:rFonts w:ascii="Abadi" w:hAnsi="Abadi"/>
          <w:szCs w:val="24"/>
        </w:rPr>
        <w:t>.</w:t>
      </w:r>
    </w:p>
    <w:p w14:paraId="7B581126" w14:textId="797901D7" w:rsidR="003F6CD7" w:rsidRPr="00DB6768" w:rsidRDefault="003F6CD7" w:rsidP="00842305">
      <w:pPr>
        <w:pStyle w:val="NoSpacing"/>
        <w:ind w:left="1080" w:firstLine="360"/>
        <w:rPr>
          <w:rFonts w:ascii="Abadi" w:hAnsi="Abadi" w:cstheme="majorBidi"/>
          <w:szCs w:val="24"/>
        </w:rPr>
      </w:pPr>
      <w:r w:rsidRPr="00DB6768">
        <w:rPr>
          <w:rFonts w:ascii="Abadi" w:hAnsi="Abadi"/>
          <w:szCs w:val="24"/>
        </w:rPr>
        <w:t xml:space="preserve">Akan tetapi, masyarakat Baduy saat ini dapat mengalami perubahan sosial yang cepat dengan adopsi teknologi dalam berbagai aspek kehidupan jika tidak berpegang teguh dengan aturan adat istiadat setempat. Hal ini, terlihat dari cara mereka berpakaian, perpindahan pekerjaan yang sebelumnya berladang sekarang beralih menjadi pedagang akan hal itu untuk memenuhi kebutuhan sehari-hari, dan penggunaan alat elektornik, seperti handphone yang telah dimiliki oleh beberapa masyarakat Baduy. Dengan demikian, hal ini menunjukkan bagaimana interaksi dan kegiatan sehari-hari mereka telah berubah </w:t>
      </w:r>
      <w:r w:rsidRPr="00DB6768">
        <w:rPr>
          <w:rFonts w:ascii="Abadi" w:hAnsi="Abadi"/>
          <w:szCs w:val="24"/>
        </w:rPr>
        <w:fldChar w:fldCharType="begin" w:fldLock="1"/>
      </w:r>
      <w:r w:rsidRPr="00DB6768">
        <w:rPr>
          <w:rFonts w:ascii="Abadi" w:hAnsi="Abadi"/>
          <w:szCs w:val="24"/>
        </w:rPr>
        <w:instrText>ADDIN CSL_CITATION {"citationItems":[{"id":"ITEM-1","itemData":{"DOI":"10.21009/eips.004.1.02","abstract":"Abstract This study aims at obtaining data on the role of the community of Baduy Luar guides in an effort to maintain local wisdom along with socio-cultural changes that occur in the Baduy Luar village, Kanekes Village, Lebak Regency, Banten. The researcher uses a qualitative approach. Data collection techniques are carried out by semi-structured interviews, observations, analysis of documents and field notes. The results of the study concluded that the tourism services carried out by the HPI-DPU Baduy were still very simple in general but were in accordance with the concept of tourism services, starting from transfers, guiding tours, and transfer out. The concept of service they are doing is directly related to their strategy in maintaining local wisdom. Their role is at least in the three dimensions of local wisdom, namely: (1) local values; (2) local resources; and (3) local group solidarity. The socio-cultural changes that occur in the Baduy Luar community in the tour community are caused by several factors. Internally, changes occur because of Baduy’s people attitude who are increasingly open. Then externally, changes occur because the Baduy people interact more intensively with outside communities such as meeting tourists, trading, participating in training and farming outside their area. Keywords: guide community, Baduy community, local wisdom","author":[{"dropping-particle":"","family":"Firdaus","given":"Muhammad Nova","non-dropping-particle":"","parse-names":false,"suffix":""},{"dropping-particle":"","family":"Budiaman","given":"","non-dropping-particle":"","parse-names":false,"suffix":""},{"dropping-particle":"","family":"Nova Scorviana Herminasari","given":"","non-dropping-particle":"","parse-names":false,"suffix":""}],"container-title":"Edukasi IPS","id":"ITEM-1","issue":"1","issued":{"date-parts":[["2020"]]},"page":"11-20","title":"Peran Komunitas Pramuwisata Baduy Luar Dalam Mempertahankan Kearifan Lokal","type":"article-journal","volume":"4"},"uris":["http://www.mendeley.com/documents/?uuid=73c1980c-81cd-4050-ac0d-12776ca9d861"]}],"mendeley":{"formattedCitation":"(Firdaus et al., 2020)","plainTextFormattedCitation":"(Firdaus et al., 2020)","previouslyFormattedCitation":"(Firdaus et al., 2020)"},"properties":{"noteIndex":0},"schema":"https://github.com/citation-style-language/schema/raw/master/csl-citation.json"}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(Firdaus et al., 2020)</w:t>
      </w:r>
      <w:r w:rsidRPr="00DB6768">
        <w:rPr>
          <w:rFonts w:ascii="Abadi" w:hAnsi="Abadi"/>
          <w:szCs w:val="24"/>
        </w:rPr>
        <w:fldChar w:fldCharType="end"/>
      </w:r>
      <w:r w:rsidRPr="00DB6768">
        <w:rPr>
          <w:rFonts w:ascii="Abadi" w:hAnsi="Abadi"/>
          <w:szCs w:val="24"/>
        </w:rPr>
        <w:t xml:space="preserve">. Tidak terlepas dari itu, </w:t>
      </w:r>
      <w:r w:rsidRPr="00DB6768">
        <w:rPr>
          <w:rFonts w:ascii="Abadi" w:hAnsi="Abadi" w:cstheme="majorBidi"/>
          <w:szCs w:val="24"/>
        </w:rPr>
        <w:t xml:space="preserve">masyarakat Baduy mempunyai aturan adat yang sudah ada secara turun menurun, namun tidak memiliki aturan tertulis. Apabila, melanggar aturan yang ada di Baduy maka, akan dikenakan sanksi dari </w:t>
      </w:r>
      <w:r w:rsidRPr="00DB6768">
        <w:rPr>
          <w:rFonts w:ascii="Abadi" w:hAnsi="Abadi" w:cstheme="majorBidi"/>
          <w:i/>
          <w:iCs/>
          <w:szCs w:val="24"/>
        </w:rPr>
        <w:t>puun</w:t>
      </w:r>
      <w:r w:rsidRPr="00DB6768">
        <w:rPr>
          <w:rFonts w:ascii="Abadi" w:hAnsi="Abadi" w:cstheme="majorBidi"/>
          <w:szCs w:val="24"/>
        </w:rPr>
        <w:t xml:space="preserve"> bahkan masyarakat Baduy percaya adanya karma jika melanggar aturan adat yang ada. Sanksi yang didapat bukan hanya hukuman semata, tapi mencerminkan cara hidup untuk mempertahankan keseimbangan dengan alam. Praktik ini selaras dengan bagian dari </w:t>
      </w:r>
      <w:r w:rsidRPr="00DB6768">
        <w:rPr>
          <w:rFonts w:ascii="Abadi" w:hAnsi="Abadi" w:cstheme="majorBidi"/>
          <w:i/>
          <w:iCs/>
          <w:szCs w:val="24"/>
        </w:rPr>
        <w:t xml:space="preserve">green economy </w:t>
      </w:r>
      <w:r w:rsidRPr="00DB6768">
        <w:rPr>
          <w:rFonts w:ascii="Abadi" w:hAnsi="Abadi" w:cstheme="majorBidi"/>
          <w:szCs w:val="24"/>
        </w:rPr>
        <w:t>yang mencerminkan nilai-nilai budaya yang mendukung berkelanjutan.</w:t>
      </w:r>
    </w:p>
    <w:p w14:paraId="330721AF" w14:textId="33A3F37E" w:rsidR="00842305" w:rsidRPr="00DB6768" w:rsidRDefault="00842305" w:rsidP="00842305">
      <w:pPr>
        <w:pStyle w:val="NoSpacing"/>
        <w:ind w:firstLine="0"/>
        <w:rPr>
          <w:rFonts w:ascii="Abadi" w:hAnsi="Abadi" w:cstheme="majorBidi"/>
          <w:szCs w:val="24"/>
        </w:rPr>
      </w:pPr>
    </w:p>
    <w:p w14:paraId="33C0F61A" w14:textId="7C9402F2" w:rsidR="00842305" w:rsidRPr="00DB6768" w:rsidRDefault="00842305" w:rsidP="00842305">
      <w:pPr>
        <w:pStyle w:val="NoSpacing"/>
        <w:ind w:left="1080" w:firstLine="360"/>
        <w:jc w:val="center"/>
        <w:rPr>
          <w:rFonts w:ascii="Abadi" w:hAnsi="Abadi" w:cstheme="majorBidi"/>
          <w:szCs w:val="24"/>
        </w:rPr>
      </w:pPr>
      <w:r w:rsidRPr="00DB6768">
        <w:rPr>
          <w:rFonts w:ascii="Abadi" w:hAnsi="Abadi"/>
        </w:rPr>
        <w:lastRenderedPageBreak/>
        <w:drawing>
          <wp:inline distT="0" distB="0" distL="0" distR="0" wp14:anchorId="50347EE1" wp14:editId="362C158C">
            <wp:extent cx="1465677" cy="1892410"/>
            <wp:effectExtent l="0" t="0" r="1270" b="0"/>
            <wp:docPr id="53" name="Picture 53" descr="A group of people working on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972" b="5470"/>
                    <a:stretch/>
                  </pic:blipFill>
                  <pic:spPr bwMode="auto">
                    <a:xfrm>
                      <a:off x="0" y="0"/>
                      <a:ext cx="1473299" cy="1902251"/>
                    </a:xfrm>
                    <a:prstGeom prst="rect">
                      <a:avLst/>
                    </a:prstGeom>
                    <a:noFill/>
                    <a:ln>
                      <a:noFill/>
                    </a:ln>
                    <a:extLst>
                      <a:ext uri="{53640926-AAD7-44D8-BBD7-CCE9431645EC}">
                        <a14:shadowObscured xmlns:a14="http://schemas.microsoft.com/office/drawing/2010/main"/>
                      </a:ext>
                    </a:extLst>
                  </pic:spPr>
                </pic:pic>
              </a:graphicData>
            </a:graphic>
          </wp:inline>
        </w:drawing>
      </w:r>
      <w:r w:rsidRPr="00DB6768">
        <w:rPr>
          <w:rFonts w:ascii="Abadi" w:hAnsi="Abadi"/>
        </w:rPr>
        <w:drawing>
          <wp:inline distT="0" distB="0" distL="0" distR="0" wp14:anchorId="54ADD2B2" wp14:editId="26C63E74">
            <wp:extent cx="3337917" cy="14699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3124" b="13848"/>
                    <a:stretch/>
                  </pic:blipFill>
                  <pic:spPr bwMode="auto">
                    <a:xfrm>
                      <a:off x="0" y="0"/>
                      <a:ext cx="3340875" cy="1471301"/>
                    </a:xfrm>
                    <a:prstGeom prst="rect">
                      <a:avLst/>
                    </a:prstGeom>
                    <a:noFill/>
                    <a:ln>
                      <a:noFill/>
                    </a:ln>
                    <a:extLst>
                      <a:ext uri="{53640926-AAD7-44D8-BBD7-CCE9431645EC}">
                        <a14:shadowObscured xmlns:a14="http://schemas.microsoft.com/office/drawing/2010/main"/>
                      </a:ext>
                    </a:extLst>
                  </pic:spPr>
                </pic:pic>
              </a:graphicData>
            </a:graphic>
          </wp:inline>
        </w:drawing>
      </w:r>
    </w:p>
    <w:p w14:paraId="38D37FC9" w14:textId="4E528022" w:rsidR="00842305" w:rsidRPr="00DB6768" w:rsidRDefault="00842305" w:rsidP="00842305">
      <w:pPr>
        <w:pStyle w:val="Caption"/>
        <w:jc w:val="center"/>
        <w:rPr>
          <w:rFonts w:ascii="Abadi" w:hAnsi="Abadi" w:cstheme="majorBidi"/>
          <w:color w:val="auto"/>
          <w:szCs w:val="24"/>
        </w:rPr>
      </w:pPr>
      <w:r w:rsidRPr="00DB6768">
        <w:rPr>
          <w:rFonts w:ascii="Abadi" w:hAnsi="Abadi"/>
          <w:color w:val="auto"/>
        </w:rPr>
        <w:t xml:space="preserve">Gambar 2. </w:t>
      </w:r>
      <w:r w:rsidRPr="00DB6768">
        <w:rPr>
          <w:rFonts w:ascii="Abadi" w:hAnsi="Abadi"/>
          <w:color w:val="auto"/>
        </w:rPr>
        <w:fldChar w:fldCharType="begin"/>
      </w:r>
      <w:r w:rsidRPr="00DB6768">
        <w:rPr>
          <w:rFonts w:ascii="Abadi" w:hAnsi="Abadi"/>
          <w:color w:val="auto"/>
        </w:rPr>
        <w:instrText xml:space="preserve"> SEQ Gambar_2. \* ARABIC </w:instrText>
      </w:r>
      <w:r w:rsidRPr="00DB6768">
        <w:rPr>
          <w:rFonts w:ascii="Abadi" w:hAnsi="Abadi"/>
          <w:color w:val="auto"/>
        </w:rPr>
        <w:fldChar w:fldCharType="separate"/>
      </w:r>
      <w:r w:rsidRPr="00DB6768">
        <w:rPr>
          <w:rFonts w:ascii="Abadi" w:hAnsi="Abadi"/>
          <w:color w:val="auto"/>
        </w:rPr>
        <w:t>7</w:t>
      </w:r>
      <w:r w:rsidRPr="00DB6768">
        <w:rPr>
          <w:rFonts w:ascii="Abadi" w:hAnsi="Abadi"/>
          <w:color w:val="auto"/>
        </w:rPr>
        <w:fldChar w:fldCharType="end"/>
      </w:r>
      <w:r w:rsidRPr="00DB6768">
        <w:rPr>
          <w:rFonts w:ascii="Abadi" w:hAnsi="Abadi"/>
          <w:color w:val="auto"/>
        </w:rPr>
        <w:t xml:space="preserve"> Kegiatan Gotong royong</w:t>
      </w:r>
    </w:p>
    <w:p w14:paraId="21909AB5" w14:textId="14BEFD6E" w:rsidR="003F6CD7" w:rsidRPr="00DB6768" w:rsidRDefault="003F6CD7" w:rsidP="003D7DAE">
      <w:pPr>
        <w:pStyle w:val="NoSpacing"/>
        <w:numPr>
          <w:ilvl w:val="0"/>
          <w:numId w:val="8"/>
        </w:numPr>
        <w:rPr>
          <w:rFonts w:ascii="Abadi" w:hAnsi="Abadi"/>
          <w:szCs w:val="24"/>
        </w:rPr>
      </w:pPr>
      <w:r w:rsidRPr="00DB6768">
        <w:rPr>
          <w:rFonts w:ascii="Abadi" w:hAnsi="Abadi" w:cstheme="majorBidi"/>
          <w:szCs w:val="24"/>
        </w:rPr>
        <w:t xml:space="preserve">Lingkungan </w:t>
      </w:r>
    </w:p>
    <w:p w14:paraId="0F132946" w14:textId="77777777" w:rsidR="00842305" w:rsidRPr="00DB6768" w:rsidRDefault="003F6CD7" w:rsidP="00842305">
      <w:pPr>
        <w:pStyle w:val="NoSpacing"/>
        <w:ind w:left="1080" w:firstLine="540"/>
        <w:rPr>
          <w:rFonts w:ascii="Abadi" w:hAnsi="Abadi"/>
          <w:szCs w:val="24"/>
        </w:rPr>
      </w:pPr>
      <w:r w:rsidRPr="00DB6768">
        <w:rPr>
          <w:rFonts w:ascii="Abadi" w:hAnsi="Abadi"/>
          <w:szCs w:val="24"/>
        </w:rPr>
        <w:t xml:space="preserve">Lingkungan alam memiliki peran penting dalam membentuk kebudayaan suatu masyarakat. Setiap masyarakat akan mengembangkan gaya hidup dan nilai-nilai tata lingkungan yang berbeda-beda, tergantung pada keadaan alam tempat mereka tinggal. Di wilayah masyarakat Baduy tinggal, kualitas lingkungan masih sangat baik terlihat dari masih terjaganya keanekaragaman hayati, baik flora maupun fauna </w:t>
      </w:r>
      <w:r w:rsidRPr="00DB6768">
        <w:rPr>
          <w:rFonts w:ascii="Abadi" w:hAnsi="Abadi"/>
          <w:szCs w:val="24"/>
        </w:rPr>
        <w:fldChar w:fldCharType="begin" w:fldLock="1"/>
      </w:r>
      <w:r w:rsidRPr="00DB6768">
        <w:rPr>
          <w:rFonts w:ascii="Abadi" w:hAnsi="Abadi"/>
          <w:szCs w:val="24"/>
        </w:rPr>
        <w:instrText>ADDIN CSL_CITATION {"citationItems":[{"id":"ITEM-1","itemData":{"DOI":"10.15575/al-tsaqafa.v15i1.3037","ISSN":"02165937","abstract":"The environmental crisis created by human activity in the modern era has threatened the existence of planet earth and the lives of various creatures in it. These problems are not adequately addressed by scientific technology and methods alone, but a strategy that can fundamentally and radically change the way people view and behave towards their environment. This study examines the principles of Islamic teachings and their implementation in local wisdom practices of the Sundanese people, as one of the strategies for the development of morals and the way of view of human beings towards nature and the environment.","author":[{"dropping-particle":"","family":"Suyatman","given":"Ujang","non-dropping-particle":"","parse-names":false,"suffix":""}],"container-title":"Al-Tsaqafa: Jurnal Ilmiah Peradaban Islam","id":"ITEM-1","issue":"1","issued":{"date-parts":[["2018"]]},"page":"77-88","title":"Teologi Lingkungan dalam Kearifan Lokal Masyarakat Sunda","type":"article-journal","volume":"15"},"uris":["http://www.mendeley.com/documents/?uuid=5d1fec80-abac-400e-8db0-d2d89075e4bb"]}],"mendeley":{"formattedCitation":"(Suyatman, 2018)","plainTextFormattedCitation":"(Suyatman, 2018)","previouslyFormattedCitation":"(Suyatman, 2018)"},"properties":{"noteIndex":0},"schema":"https://github.com/citation-style-language/schema/raw/master/csl-citation.json"}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(Suyatman, 2018)</w:t>
      </w:r>
      <w:r w:rsidRPr="00DB6768">
        <w:rPr>
          <w:rFonts w:ascii="Abadi" w:hAnsi="Abadi"/>
          <w:szCs w:val="24"/>
        </w:rPr>
        <w:fldChar w:fldCharType="end"/>
      </w:r>
      <w:r w:rsidRPr="00DB6768">
        <w:rPr>
          <w:rFonts w:ascii="Abadi" w:hAnsi="Abadi"/>
          <w:szCs w:val="24"/>
        </w:rPr>
        <w:t xml:space="preserve">. Bagi masyarakat Baduy lingkungan alam bukan sesuatu yang harus ditundukkan, melainkan harus dihormati, dipelihara, dan dirawat </w:t>
      </w:r>
      <w:r w:rsidRPr="00DB6768">
        <w:rPr>
          <w:rFonts w:ascii="Abadi" w:hAnsi="Abadi"/>
          <w:szCs w:val="24"/>
        </w:rPr>
        <w:fldChar w:fldCharType="begin" w:fldLock="1"/>
      </w:r>
      <w:r w:rsidR="00A502AC" w:rsidRPr="00DB6768">
        <w:rPr>
          <w:rFonts w:ascii="Abadi" w:hAnsi="Abadi"/>
          <w:szCs w:val="24"/>
        </w:rPr>
        <w:instrText>ADDIN CSL_CITATION {"citationItems":[{"id":"ITEM-1","itemData":{"DOI":"10.15294/komunitas.v4i1.2390","ISSN":"2460-7312","abstract":"Tujuan penelitian ini adalah untuk mendiskusikan kearifan lokal adat masyarakat Sunda dalam hubungan dengan lingkungan alam. Penelitian dilakukan secara kualitatif terhadap masyarakat Sunda Kanekes. Penelitian ini menghasilkan temuan bahwa pada dasarnya kearifan lokal masyarakat Sunda Kanekes disarikan dari pengalaman masyarakat Sunda lama yang sangat akrab dengan lingkungannya dan sudah lama hidup dalam budaya masyarakat peladang. Kearifan lokal adat, suatu kondisi sosial dan budaya yang didalamnya terkandung khasanah nilai-nilai budaya yang menghargai dan adaptif dengan alam sekitar, dan tertata secara ajeg dalam suatu tatanan adat istiadat suatu masyarakat. Walau sering dianggap kuno, nilai-nilai yang mereka ajarkan dan praktek yang mereka jalankan masih merupakan cara yang terbaik untuk memelihara lingkungan di zaman post-modern.Â The objective of this study is to discuss the wisdom of indigenous traditional Sundanese community in relation to natural environment. The research is done qualitatively in Kanekes Sundanese traditional community. The research found that the distinguished Kanekes local knowledge regarding to the environment is creatively developed by the community from their everyday exepriences of living with natures, being friends with nature and their experience as farming communities. The local wisdom of Kanekes community, which contains cultural values of respect and adaptive to the environment, and life based upon traditional norms. Though often stereotyped as primitive, their living values and practices of life are still the best instrument to conserve environment in post-modern age.","author":[{"dropping-particle":"","family":"Indrawardana","given":"Ira","non-dropping-particle":"","parse-names":false,"suffix":""}],"container-title":"Komunitas","id":"ITEM-1","issue":"1","issued":{"date-parts":[["2012"]]},"page":"1-8","title":"Kearifan Lokal Adat Masyarakat Sunda Dalam Hubungan Dengan Lingkungan Alam","type":"article-journal","volume":"4"},"uris":["http://www.mendeley.com/documents/?uuid=b81b23c0-e8db-4ce4-bed0-a42bd007587c"]}],"mendeley":{"formattedCitation":"(Indrawardana, 2012)","plainTextFormattedCitation":"(Indrawardana, 2012)","previouslyFormattedCitation":"(Indrawardana, 2012)"},"properties":{"noteIndex":0},"schema":"https://github.com/citation-style-language/schema/raw/master/csl-citation.json"}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(Indrawardana, 2012)</w:t>
      </w:r>
      <w:r w:rsidRPr="00DB6768">
        <w:rPr>
          <w:rFonts w:ascii="Abadi" w:hAnsi="Abadi"/>
          <w:szCs w:val="24"/>
        </w:rPr>
        <w:fldChar w:fldCharType="end"/>
      </w:r>
      <w:r w:rsidRPr="00DB6768">
        <w:rPr>
          <w:rFonts w:ascii="Abadi" w:hAnsi="Abadi"/>
          <w:szCs w:val="24"/>
        </w:rPr>
        <w:t xml:space="preserve"> Hal ini terlihat dari cara mereka bertani tanpa menggunakan bahan kimia, mendaur ulang sampah, dan penggunaan air. Semua kebiasaan ini mencerminkan kemampuan mereka untuk hidup selaras dengan alam yang menjadi bagian dari kearifan lokal yang diwarisan secara turun-menurun.</w:t>
      </w:r>
    </w:p>
    <w:p w14:paraId="6F506D5D" w14:textId="77777777" w:rsidR="00842305" w:rsidRPr="00DB6768" w:rsidRDefault="00A502AC" w:rsidP="00842305">
      <w:pPr>
        <w:pStyle w:val="NoSpacing"/>
        <w:ind w:left="1080" w:firstLine="540"/>
        <w:rPr>
          <w:rFonts w:ascii="Abadi" w:hAnsi="Abadi"/>
          <w:szCs w:val="24"/>
        </w:rPr>
      </w:pPr>
      <w:r w:rsidRPr="00DB6768">
        <w:rPr>
          <w:rFonts w:ascii="Abadi" w:hAnsi="Abadi"/>
          <w:szCs w:val="24"/>
        </w:rPr>
        <w:t xml:space="preserve">Hal ini selaras dengan di atas, mengenai penggunaan bibit pada saat berladang. Masyarakat Baduy menjalankan pertanian secara tradisional dengan tetap menjaga keseimbangan alam sama hal nya dengan penggunaan pupuk atau bibit yang akan digunakan untuk berladang. Pupuk yang digunakan berasal dari daun-daunan kering dan sisa hasil panen, seperti pacing pentul serta biasanya pupuk sudah ada diwariskan secara turun menurun. Pada aspek </w:t>
      </w:r>
      <w:r w:rsidRPr="00DB6768">
        <w:rPr>
          <w:rFonts w:ascii="Abadi" w:hAnsi="Abadi"/>
          <w:i/>
          <w:szCs w:val="24"/>
        </w:rPr>
        <w:t xml:space="preserve">green economy </w:t>
      </w:r>
      <w:r w:rsidRPr="00DB6768">
        <w:rPr>
          <w:rFonts w:ascii="Abadi" w:hAnsi="Abadi"/>
          <w:szCs w:val="24"/>
        </w:rPr>
        <w:t xml:space="preserve">sendiri, pupuk alami memiliki peran besar dalam menjaga kesuburan tanah dalam jangka panjang, mengurangi pencemaraan tanah dan air, serta tidak bergantung pada pertanian industri. Pertanian organik pun berfokus pada pemanfaatan berkelanjutan sumber daya alam yang tersedia, pertumbuhan berkelanjutan, dan penyediaan dukungan keuangan yang efektif </w:t>
      </w:r>
      <w:r w:rsidRPr="00DB6768">
        <w:rPr>
          <w:rFonts w:ascii="Abadi" w:hAnsi="Abadi"/>
          <w:szCs w:val="24"/>
        </w:rPr>
        <w:fldChar w:fldCharType="begin" w:fldLock="1"/>
      </w:r>
      <w:r w:rsidR="007C7F73" w:rsidRPr="00DB6768">
        <w:rPr>
          <w:rFonts w:ascii="Abadi" w:hAnsi="Abadi"/>
          <w:szCs w:val="24"/>
        </w:rPr>
        <w:instrText>ADDIN CSL_CITATION {"citationItems":[{"id":"ITEM-1","itemData":{"DOI":"10.9734/air/2024/v25i31058","abstract":"Organic farming, as a sustainable alternative to conventional high-input practices reliant on synthetic fertilizers, fungicides, and pesticides, prioritizes the vitality of soil as a living ecosystem. Embracing practices such as crop rotation, animal manures, crop residues, green manures, and biological pest and disease control, organic agriculture aims to uphold soil health and productivity. By meeting present food demands in an environmentally conscientious manner, organic farming also safeguards the needs of future generations, thereby preserving and nurturing our ecosystem. Modern agriculture has detrimentally impacted the environment, leading to issues such as decreased soil fertility, elevated water hardness, insect resistance development, reduced genetic diversity in plants, heightened levels of toxic residues in the food chain and animal feed, contributing to health problems and environmental degradation. In contrast, organic farming nurtures plants with essential macronutrients and micronutrients while simultaneously enhancing soil physical, chemical, and biological characteristics. Guided by the ethos of sustainability, organic farming prioritizes mitigating health risks linked to synthetic inputs and cultivating a healthier ecosystem. The minimal environmental footprint of organic farming positions it as a practical solution for tackling urgent concerns like soil degradation, water pollution, and global ecological well-being. Essentially, organic farming stands out as a beacon of sustainable agriculture, paving the way to reconcile food production with environmental conservation. Moreover, organic farming's low environmental impact presents an opportunity to rehabilitate and enhance degraded agricultural lands.","author":[{"dropping-particle":"","family":"Raj","given":"Janak","non-dropping-particle":"","parse-names":false,"suffix":""},{"dropping-particle":"","family":"Jat","given":"Sarita","non-dropping-particle":"","parse-names":false,"suffix":""},{"dropping-particle":"","family":"Kumar","given":"Manish","non-dropping-particle":"","parse-names":false,"suffix":""},{"dropping-particle":"","family":"Reema","given":".","non-dropping-particle":"","parse-names":false,"suffix":""},{"dropping-particle":"","family":"Yadav","given":"Anuradha","non-dropping-particle":"","parse-names":false,"suffix":""}],"container-title":"Advances in Research","id":"ITEM-1","issue":"3","issued":{"date-parts":[["2024"]]},"page":"128-136","title":"The Role of Organic Farming in Sustainable Agriculture","type":"article-journal","volume":"25"},"uris":["http://www.mendeley.com/documents/?uuid=d43a2c92-ac5a-4099-8fde-4502623d86a6"]}],"mendeley":{"formattedCitation":"(Raj et al., 2024)","plainTextFormattedCitation":"(Raj et al., 2024)","previouslyFormattedCitation":"(Raj et al., 2024)"},"properties":{"noteIndex":0},"schema":"https://github.com/citation-style-language/schema/raw/master/csl-citation.json"}</w:instrText>
      </w:r>
      <w:r w:rsidRPr="00DB6768">
        <w:rPr>
          <w:rFonts w:ascii="Abadi" w:hAnsi="Abadi"/>
          <w:szCs w:val="24"/>
        </w:rPr>
        <w:fldChar w:fldCharType="separate"/>
      </w:r>
      <w:r w:rsidRPr="00DB6768">
        <w:rPr>
          <w:rFonts w:ascii="Abadi" w:hAnsi="Abadi"/>
          <w:szCs w:val="24"/>
        </w:rPr>
        <w:t>(Raj et al., 2024)</w:t>
      </w:r>
      <w:r w:rsidRPr="00DB6768">
        <w:rPr>
          <w:rFonts w:ascii="Abadi" w:hAnsi="Abadi"/>
          <w:szCs w:val="24"/>
        </w:rPr>
        <w:fldChar w:fldCharType="end"/>
      </w:r>
      <w:r w:rsidRPr="00DB6768">
        <w:rPr>
          <w:rFonts w:ascii="Abadi" w:hAnsi="Abadi"/>
          <w:szCs w:val="24"/>
        </w:rPr>
        <w:t xml:space="preserve">. </w:t>
      </w:r>
    </w:p>
    <w:p w14:paraId="6EF49208" w14:textId="74E42445" w:rsidR="00A502AC" w:rsidRPr="00DB6768" w:rsidRDefault="00A502AC" w:rsidP="00842305">
      <w:pPr>
        <w:pStyle w:val="NoSpacing"/>
        <w:ind w:left="1080" w:firstLine="540"/>
        <w:rPr>
          <w:rFonts w:ascii="Abadi" w:hAnsi="Abadi"/>
          <w:szCs w:val="24"/>
        </w:rPr>
      </w:pPr>
      <w:r w:rsidRPr="00DB6768">
        <w:rPr>
          <w:rFonts w:ascii="Abadi" w:hAnsi="Abadi"/>
          <w:szCs w:val="24"/>
        </w:rPr>
        <w:lastRenderedPageBreak/>
        <w:t>Bukan hanya penggunaan pupuk alami, tetapi sisa sampah yang ada di masyarakat Baduy tidak boleh dibuang sembarangan, sampah yang dimiliki di setiap rumah masing-masing dapat dikelola dengan menjadi kerajinan tangan ataupun dibakar. Terlihat pada saat melakukan penelitian di sekitar lingkungan rumah minimnya sampah yang terlihat, tidak ada plastik berserakan, limbah yang mencemari lingkungan, dan tersedia nya tempat sampah yang terbuat dari anyaman bambu yang dapat didaur ulang kembali, selain itu hampir semua barang yang digunakan berasal dari alam serta dapat diurai kembali. Demikian, cara hidup masyarakat Baduy menjalakan praktik ramah lingkungan yang telah diwariskan secara turun menurun.</w:t>
      </w:r>
    </w:p>
    <w:p w14:paraId="568F501D" w14:textId="7B808430" w:rsidR="00F36DD0" w:rsidRPr="00DB6768" w:rsidRDefault="00E61027" w:rsidP="003D7DAE">
      <w:pPr>
        <w:pStyle w:val="NoSpacing"/>
        <w:ind w:left="900" w:firstLine="720"/>
        <w:rPr>
          <w:rFonts w:ascii="Abadi" w:hAnsi="Abadi"/>
          <w:szCs w:val="24"/>
        </w:rPr>
      </w:pPr>
      <w:r w:rsidRPr="00DB6768">
        <w:rPr>
          <w:rFonts w:ascii="Abadi" w:hAnsi="Abadi"/>
          <w:szCs w:val="24"/>
        </w:rPr>
        <w:t xml:space="preserve">Pada aspek lingkungan menjadi salah satu bagian dari </w:t>
      </w:r>
      <w:r w:rsidRPr="00DB6768">
        <w:rPr>
          <w:rFonts w:ascii="Abadi" w:hAnsi="Abadi"/>
          <w:i/>
          <w:iCs/>
          <w:szCs w:val="24"/>
        </w:rPr>
        <w:t>green finance</w:t>
      </w:r>
      <w:r w:rsidRPr="00DB6768">
        <w:rPr>
          <w:rFonts w:ascii="Abadi" w:hAnsi="Abadi"/>
          <w:szCs w:val="24"/>
        </w:rPr>
        <w:t xml:space="preserve">, dalam konteks </w:t>
      </w:r>
      <w:r w:rsidRPr="00DB6768">
        <w:rPr>
          <w:rFonts w:ascii="Abadi" w:hAnsi="Abadi"/>
          <w:i/>
          <w:iCs/>
          <w:szCs w:val="24"/>
        </w:rPr>
        <w:t xml:space="preserve">green finance </w:t>
      </w:r>
      <w:r w:rsidRPr="00DB6768">
        <w:rPr>
          <w:rFonts w:ascii="Abadi" w:hAnsi="Abadi"/>
          <w:szCs w:val="24"/>
        </w:rPr>
        <w:t xml:space="preserve">bahwa lingkungan menjadi bagian yang penting untuk mendukung layanan keuangan yang dialokasikan untuk proyek-proyek hijau yang tidak menyebabkan kerusakan lingkungan dan mendorong efisiensi sumber daya, seperti hal nya diatas. Maka dari itu, </w:t>
      </w:r>
      <w:r w:rsidRPr="00DB6768">
        <w:rPr>
          <w:rFonts w:ascii="Abadi" w:hAnsi="Abadi"/>
          <w:i/>
          <w:iCs/>
          <w:szCs w:val="24"/>
        </w:rPr>
        <w:t xml:space="preserve">green finance </w:t>
      </w:r>
      <w:r w:rsidRPr="00DB6768">
        <w:rPr>
          <w:rFonts w:ascii="Abadi" w:hAnsi="Abadi"/>
          <w:szCs w:val="24"/>
        </w:rPr>
        <w:t xml:space="preserve">disini menjadi sebuah alat keuangan yang mewujudkan tujuan dari </w:t>
      </w:r>
      <w:r w:rsidRPr="00DB6768">
        <w:rPr>
          <w:rFonts w:ascii="Abadi" w:hAnsi="Abadi"/>
          <w:i/>
          <w:iCs/>
          <w:szCs w:val="24"/>
        </w:rPr>
        <w:t xml:space="preserve">green economy </w:t>
      </w:r>
      <w:r w:rsidRPr="00DB6768">
        <w:rPr>
          <w:rFonts w:ascii="Abadi" w:hAnsi="Abadi"/>
          <w:szCs w:val="24"/>
        </w:rPr>
        <w:t>di sektor lingkungan.</w:t>
      </w:r>
    </w:p>
    <w:p w14:paraId="0C5C2BF0" w14:textId="470E4B76" w:rsidR="00842305" w:rsidRPr="00DB6768" w:rsidRDefault="00842305" w:rsidP="003D7DAE">
      <w:pPr>
        <w:pStyle w:val="NoSpacing"/>
        <w:ind w:left="900" w:firstLine="720"/>
        <w:rPr>
          <w:rFonts w:ascii="Abadi" w:hAnsi="Abadi"/>
          <w:szCs w:val="24"/>
        </w:rPr>
      </w:pPr>
    </w:p>
    <w:p w14:paraId="0A71CD54" w14:textId="0DFCE1EF" w:rsidR="00842305" w:rsidRPr="00DB6768" w:rsidRDefault="00842305" w:rsidP="00842305">
      <w:pPr>
        <w:pStyle w:val="NoSpacing"/>
        <w:ind w:firstLine="0"/>
        <w:rPr>
          <w:rFonts w:ascii="Abadi" w:hAnsi="Abadi"/>
          <w:szCs w:val="24"/>
        </w:rPr>
      </w:pPr>
      <w:r w:rsidRPr="00DB6768">
        <w:rPr>
          <w:rFonts w:ascii="Abadi" w:hAnsi="Abadi"/>
        </w:rPr>
        <w:drawing>
          <wp:inline distT="0" distB="0" distL="0" distR="0" wp14:anchorId="2FC73CC2" wp14:editId="7240B481">
            <wp:extent cx="1264257" cy="1776372"/>
            <wp:effectExtent l="0" t="0" r="0" b="0"/>
            <wp:docPr id="56" name="Picture 56" descr="A person walking on a dirt path in the middle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375" b="11371"/>
                    <a:stretch/>
                  </pic:blipFill>
                  <pic:spPr bwMode="auto">
                    <a:xfrm>
                      <a:off x="0" y="0"/>
                      <a:ext cx="1268312" cy="1782069"/>
                    </a:xfrm>
                    <a:prstGeom prst="rect">
                      <a:avLst/>
                    </a:prstGeom>
                    <a:noFill/>
                    <a:ln>
                      <a:noFill/>
                    </a:ln>
                    <a:extLst>
                      <a:ext uri="{53640926-AAD7-44D8-BBD7-CCE9431645EC}">
                        <a14:shadowObscured xmlns:a14="http://schemas.microsoft.com/office/drawing/2010/main"/>
                      </a:ext>
                    </a:extLst>
                  </pic:spPr>
                </pic:pic>
              </a:graphicData>
            </a:graphic>
          </wp:inline>
        </w:drawing>
      </w:r>
      <w:r w:rsidRPr="00DB6768">
        <w:rPr>
          <w:rFonts w:ascii="Abadi" w:hAnsi="Abadi"/>
          <w:szCs w:val="24"/>
        </w:rPr>
        <w:tab/>
      </w:r>
      <w:r w:rsidRPr="00DB6768">
        <w:rPr>
          <w:rFonts w:ascii="Abadi" w:hAnsi="Abadi"/>
        </w:rPr>
        <w:drawing>
          <wp:inline distT="0" distB="0" distL="0" distR="0" wp14:anchorId="4A9F7FE1" wp14:editId="52D7239D">
            <wp:extent cx="1881955" cy="1375576"/>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1192" cy="1382328"/>
                    </a:xfrm>
                    <a:prstGeom prst="rect">
                      <a:avLst/>
                    </a:prstGeom>
                    <a:noFill/>
                    <a:ln>
                      <a:noFill/>
                    </a:ln>
                  </pic:spPr>
                </pic:pic>
              </a:graphicData>
            </a:graphic>
          </wp:inline>
        </w:drawing>
      </w:r>
      <w:r w:rsidRPr="00DB6768">
        <w:rPr>
          <w:rFonts w:ascii="Abadi" w:hAnsi="Abadi"/>
        </w:rPr>
        <w:t xml:space="preserve">   </w:t>
      </w:r>
      <w:r w:rsidRPr="00DB6768">
        <w:rPr>
          <w:rFonts w:ascii="Abadi" w:hAnsi="Abadi"/>
        </w:rPr>
        <w:drawing>
          <wp:inline distT="0" distB="0" distL="0" distR="0" wp14:anchorId="703DBB7F" wp14:editId="2836354A">
            <wp:extent cx="2034285" cy="1017270"/>
            <wp:effectExtent l="0" t="0" r="4445" b="0"/>
            <wp:docPr id="55" name="Picture 55" descr="A wood planks in the w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2655" cy="1026456"/>
                    </a:xfrm>
                    <a:prstGeom prst="rect">
                      <a:avLst/>
                    </a:prstGeom>
                    <a:noFill/>
                    <a:ln>
                      <a:noFill/>
                    </a:ln>
                  </pic:spPr>
                </pic:pic>
              </a:graphicData>
            </a:graphic>
          </wp:inline>
        </w:drawing>
      </w:r>
      <w:r w:rsidRPr="00DB6768">
        <w:rPr>
          <w:rFonts w:ascii="Abadi" w:hAnsi="Abadi"/>
          <w:szCs w:val="24"/>
        </w:rPr>
        <w:tab/>
      </w:r>
    </w:p>
    <w:p w14:paraId="28D14525" w14:textId="0476CCCC" w:rsidR="00842305" w:rsidRPr="00DB6768" w:rsidRDefault="00842305" w:rsidP="003D1B9D">
      <w:pPr>
        <w:pStyle w:val="Caption"/>
        <w:jc w:val="center"/>
        <w:rPr>
          <w:rFonts w:ascii="Abadi" w:hAnsi="Abadi"/>
          <w:color w:val="auto"/>
          <w:szCs w:val="24"/>
        </w:rPr>
      </w:pPr>
      <w:r w:rsidRPr="00DB6768">
        <w:rPr>
          <w:rFonts w:ascii="Abadi" w:hAnsi="Abadi"/>
          <w:color w:val="auto"/>
        </w:rPr>
        <w:t xml:space="preserve">Gambar 2. </w:t>
      </w:r>
      <w:r w:rsidRPr="00DB6768">
        <w:rPr>
          <w:rFonts w:ascii="Abadi" w:hAnsi="Abadi"/>
          <w:color w:val="auto"/>
        </w:rPr>
        <w:fldChar w:fldCharType="begin"/>
      </w:r>
      <w:r w:rsidRPr="00DB6768">
        <w:rPr>
          <w:rFonts w:ascii="Abadi" w:hAnsi="Abadi"/>
          <w:color w:val="auto"/>
        </w:rPr>
        <w:instrText xml:space="preserve"> SEQ Gambar_2. \* ARABIC </w:instrText>
      </w:r>
      <w:r w:rsidRPr="00DB6768">
        <w:rPr>
          <w:rFonts w:ascii="Abadi" w:hAnsi="Abadi"/>
          <w:color w:val="auto"/>
        </w:rPr>
        <w:fldChar w:fldCharType="separate"/>
      </w:r>
      <w:r w:rsidRPr="00DB6768">
        <w:rPr>
          <w:rFonts w:ascii="Abadi" w:hAnsi="Abadi"/>
          <w:color w:val="auto"/>
        </w:rPr>
        <w:t>8</w:t>
      </w:r>
      <w:r w:rsidRPr="00DB6768">
        <w:rPr>
          <w:rFonts w:ascii="Abadi" w:hAnsi="Abadi"/>
          <w:color w:val="auto"/>
        </w:rPr>
        <w:fldChar w:fldCharType="end"/>
      </w:r>
      <w:r w:rsidRPr="00DB6768">
        <w:rPr>
          <w:rFonts w:ascii="Abadi" w:hAnsi="Abadi"/>
          <w:color w:val="auto"/>
        </w:rPr>
        <w:t xml:space="preserve"> Hutan, tempat sampah, dan aliran air</w:t>
      </w:r>
      <w:r w:rsidR="003D1B9D" w:rsidRPr="00DB6768">
        <w:rPr>
          <w:rFonts w:ascii="Abadi" w:hAnsi="Abadi"/>
          <w:color w:val="auto"/>
        </w:rPr>
        <w:t xml:space="preserve"> menggunakan bambu</w:t>
      </w:r>
    </w:p>
    <w:p w14:paraId="0036D224" w14:textId="77777777" w:rsidR="00A7674C" w:rsidRPr="00DB6768" w:rsidRDefault="00A7674C" w:rsidP="003D7DAE">
      <w:pPr>
        <w:pStyle w:val="NoSpacing"/>
        <w:ind w:left="1440" w:firstLine="0"/>
        <w:rPr>
          <w:rFonts w:ascii="Abadi" w:hAnsi="Abadi" w:cstheme="minorHAnsi"/>
          <w:szCs w:val="24"/>
        </w:rPr>
      </w:pPr>
    </w:p>
    <w:p w14:paraId="76743878" w14:textId="77777777" w:rsidR="00290A7F" w:rsidRPr="00DB6768" w:rsidRDefault="00290A7F" w:rsidP="003D7DAE">
      <w:pPr>
        <w:pStyle w:val="NoSpacing"/>
        <w:ind w:firstLine="0"/>
        <w:rPr>
          <w:rFonts w:ascii="Abadi" w:hAnsi="Abadi" w:cstheme="minorHAnsi"/>
          <w:b/>
          <w:color w:val="ED7D31" w:themeColor="accent2"/>
          <w:szCs w:val="24"/>
          <w:lang w:val="id-ID"/>
        </w:rPr>
      </w:pPr>
      <w:r w:rsidRPr="00DB6768">
        <w:rPr>
          <w:rFonts w:ascii="Abadi" w:hAnsi="Abadi" w:cstheme="minorHAnsi"/>
          <w:b/>
          <w:color w:val="ED7D31" w:themeColor="accent2"/>
          <w:szCs w:val="24"/>
          <w:lang w:val="id-ID"/>
        </w:rPr>
        <w:t>Penutup</w:t>
      </w:r>
    </w:p>
    <w:p w14:paraId="3F50F88B" w14:textId="2B743A7A" w:rsidR="003D7DAE" w:rsidRPr="00DB6768" w:rsidRDefault="003D7DAE" w:rsidP="003D7DAE">
      <w:pPr>
        <w:spacing w:line="240" w:lineRule="auto"/>
        <w:ind w:firstLine="720"/>
        <w:rPr>
          <w:rFonts w:ascii="Abadi" w:hAnsi="Abadi"/>
          <w:szCs w:val="24"/>
        </w:rPr>
      </w:pPr>
      <w:r w:rsidRPr="00DB6768">
        <w:rPr>
          <w:rFonts w:ascii="Abadi" w:hAnsi="Abadi"/>
          <w:szCs w:val="24"/>
        </w:rPr>
        <w:t xml:space="preserve">Implementasi </w:t>
      </w:r>
      <w:r w:rsidRPr="00DB6768">
        <w:rPr>
          <w:rFonts w:ascii="Abadi" w:hAnsi="Abadi"/>
          <w:i/>
          <w:iCs/>
          <w:szCs w:val="24"/>
        </w:rPr>
        <w:t xml:space="preserve">green finance </w:t>
      </w:r>
      <w:r w:rsidRPr="00DB6768">
        <w:rPr>
          <w:rFonts w:ascii="Abadi" w:hAnsi="Abadi"/>
          <w:szCs w:val="24"/>
        </w:rPr>
        <w:t xml:space="preserve">dalam kehidupan masyarakat Baduy sudah berjalan cukup baik, mulai dari aspek penggunaan hemat energi hingga aspek investasi hijau. Selain itu, masyarakat Baduy juga menerapkan </w:t>
      </w:r>
      <w:r w:rsidRPr="00DB6768">
        <w:rPr>
          <w:rFonts w:ascii="Abadi" w:hAnsi="Abadi"/>
          <w:i/>
          <w:iCs/>
          <w:szCs w:val="24"/>
        </w:rPr>
        <w:t xml:space="preserve">green finance </w:t>
      </w:r>
      <w:r w:rsidRPr="00DB6768">
        <w:rPr>
          <w:rFonts w:ascii="Abadi" w:hAnsi="Abadi"/>
          <w:szCs w:val="24"/>
        </w:rPr>
        <w:t>dari bagian indikator</w:t>
      </w:r>
      <w:r w:rsidRPr="00DB6768">
        <w:rPr>
          <w:rFonts w:ascii="Abadi" w:hAnsi="Abadi"/>
          <w:i/>
          <w:iCs/>
          <w:szCs w:val="24"/>
        </w:rPr>
        <w:t xml:space="preserve"> green economy </w:t>
      </w:r>
      <w:r w:rsidRPr="00DB6768">
        <w:rPr>
          <w:rFonts w:ascii="Abadi" w:hAnsi="Abadi"/>
          <w:szCs w:val="24"/>
        </w:rPr>
        <w:t>yang mencakup</w:t>
      </w:r>
      <w:r w:rsidRPr="00DB6768">
        <w:rPr>
          <w:rFonts w:ascii="Abadi" w:hAnsi="Abadi"/>
          <w:i/>
          <w:iCs/>
          <w:szCs w:val="24"/>
        </w:rPr>
        <w:t xml:space="preserve"> </w:t>
      </w:r>
      <w:r w:rsidRPr="00DB6768">
        <w:rPr>
          <w:rFonts w:ascii="Abadi" w:hAnsi="Abadi"/>
          <w:szCs w:val="24"/>
        </w:rPr>
        <w:t xml:space="preserve">tiga aspek, yaitu ekonomi, sosial, dan lingkungan. Dalam hal ini, praktik </w:t>
      </w:r>
      <w:r w:rsidRPr="00DB6768">
        <w:rPr>
          <w:rFonts w:ascii="Abadi" w:hAnsi="Abadi"/>
          <w:i/>
          <w:szCs w:val="24"/>
        </w:rPr>
        <w:t xml:space="preserve">green finance </w:t>
      </w:r>
      <w:r w:rsidRPr="00DB6768">
        <w:rPr>
          <w:rFonts w:ascii="Abadi" w:hAnsi="Abadi"/>
          <w:szCs w:val="24"/>
        </w:rPr>
        <w:t xml:space="preserve">yang dijalankan masyarakat Baduy secara alami berkaitan erat dengan prinsip </w:t>
      </w:r>
      <w:r w:rsidRPr="00DB6768">
        <w:rPr>
          <w:rFonts w:ascii="Abadi" w:hAnsi="Abadi"/>
          <w:i/>
          <w:szCs w:val="24"/>
        </w:rPr>
        <w:t>green economy</w:t>
      </w:r>
      <w:r w:rsidRPr="00DB6768">
        <w:rPr>
          <w:rFonts w:ascii="Abadi" w:hAnsi="Abadi"/>
          <w:szCs w:val="24"/>
        </w:rPr>
        <w:t xml:space="preserve"> yang menenkankan pada keseimbangan ekonomi, sosial, dan lingkungan tanpa mengenal istilah modern, sebab itu kedua konsep ini sudah menjadi bagian kehidupan sehari-hari masyarakat Baduy.</w:t>
      </w:r>
    </w:p>
    <w:p w14:paraId="26EAC856" w14:textId="24F436B5" w:rsidR="00290A7F" w:rsidRPr="00DB6768" w:rsidRDefault="003D7DAE" w:rsidP="003D7DAE">
      <w:pPr>
        <w:spacing w:line="240" w:lineRule="auto"/>
        <w:ind w:right="49" w:firstLine="720"/>
        <w:rPr>
          <w:rFonts w:ascii="Abadi" w:hAnsi="Abadi" w:cstheme="minorHAnsi"/>
          <w:b/>
          <w:szCs w:val="24"/>
          <w:lang w:val="id-ID"/>
        </w:rPr>
      </w:pPr>
      <w:r w:rsidRPr="00DB6768">
        <w:rPr>
          <w:rFonts w:ascii="Abadi" w:hAnsi="Abadi"/>
          <w:szCs w:val="24"/>
        </w:rPr>
        <w:t xml:space="preserve">Penerapan </w:t>
      </w:r>
      <w:r w:rsidRPr="00DB6768">
        <w:rPr>
          <w:rFonts w:ascii="Abadi" w:hAnsi="Abadi"/>
          <w:i/>
          <w:iCs/>
          <w:szCs w:val="24"/>
        </w:rPr>
        <w:t xml:space="preserve">green finance </w:t>
      </w:r>
      <w:r w:rsidRPr="00DB6768">
        <w:rPr>
          <w:rFonts w:ascii="Abadi" w:hAnsi="Abadi"/>
          <w:szCs w:val="24"/>
        </w:rPr>
        <w:t xml:space="preserve">bukan hanya sebatas pada pengelolaan keuangan yang ramah lingkungan, tetapi menjadi bagian dari gaya hidup masyarakat Baduy yang sederhana, mandiri, dan selaras dengan alam yang tercermin dalam adat budaya. Hal ini, menunjukkan bahwa </w:t>
      </w:r>
      <w:r w:rsidRPr="00DB6768">
        <w:rPr>
          <w:rFonts w:ascii="Abadi" w:hAnsi="Abadi"/>
          <w:i/>
          <w:iCs/>
          <w:szCs w:val="24"/>
        </w:rPr>
        <w:t xml:space="preserve">green finance </w:t>
      </w:r>
      <w:r w:rsidRPr="00DB6768">
        <w:rPr>
          <w:rFonts w:ascii="Abadi" w:hAnsi="Abadi"/>
          <w:szCs w:val="24"/>
        </w:rPr>
        <w:t xml:space="preserve">dan </w:t>
      </w:r>
      <w:r w:rsidRPr="00DB6768">
        <w:rPr>
          <w:rFonts w:ascii="Abadi" w:hAnsi="Abadi"/>
          <w:i/>
          <w:iCs/>
          <w:szCs w:val="24"/>
        </w:rPr>
        <w:t xml:space="preserve">green economy </w:t>
      </w:r>
      <w:r w:rsidRPr="00DB6768">
        <w:rPr>
          <w:rFonts w:ascii="Abadi" w:hAnsi="Abadi"/>
          <w:szCs w:val="24"/>
        </w:rPr>
        <w:t>dapat bertumbuh dari kearifan lokal, bukan hanya dari kebijakan atau sistem formal.</w:t>
      </w:r>
    </w:p>
    <w:p w14:paraId="1AAAAD50" w14:textId="77777777" w:rsidR="00290A7F" w:rsidRPr="00DB6768" w:rsidRDefault="00290A7F" w:rsidP="003D7DAE">
      <w:pPr>
        <w:spacing w:line="240" w:lineRule="auto"/>
        <w:ind w:right="49" w:firstLine="0"/>
        <w:rPr>
          <w:rFonts w:ascii="Abadi" w:hAnsi="Abadi" w:cstheme="minorHAnsi"/>
          <w:b/>
          <w:szCs w:val="24"/>
          <w:lang w:val="id-ID"/>
        </w:rPr>
      </w:pPr>
    </w:p>
    <w:p w14:paraId="22941079" w14:textId="77777777" w:rsidR="00290A7F" w:rsidRPr="00DB6768" w:rsidRDefault="00290A7F" w:rsidP="003D7DAE">
      <w:pPr>
        <w:pStyle w:val="NoSpacing"/>
        <w:ind w:firstLine="0"/>
        <w:rPr>
          <w:rFonts w:ascii="Abadi" w:hAnsi="Abadi" w:cstheme="minorHAnsi"/>
          <w:b/>
          <w:color w:val="ED7D31" w:themeColor="accent2"/>
          <w:szCs w:val="24"/>
          <w:lang w:val="id-ID"/>
        </w:rPr>
      </w:pPr>
      <w:bookmarkStart w:id="7" w:name="_Hlk523768789"/>
      <w:r w:rsidRPr="00DB6768">
        <w:rPr>
          <w:rFonts w:ascii="Abadi" w:hAnsi="Abadi" w:cstheme="minorHAnsi"/>
          <w:b/>
          <w:color w:val="ED7D31" w:themeColor="accent2"/>
          <w:szCs w:val="24"/>
          <w:lang w:val="id-ID"/>
        </w:rPr>
        <w:lastRenderedPageBreak/>
        <w:t>Ucapan Terima Kasih</w:t>
      </w:r>
    </w:p>
    <w:p w14:paraId="2548C25B" w14:textId="77777777" w:rsidR="00290A7F" w:rsidRPr="00DB6768" w:rsidRDefault="00290A7F" w:rsidP="003D7DAE">
      <w:pPr>
        <w:pStyle w:val="NoSpacing"/>
        <w:ind w:firstLine="0"/>
        <w:rPr>
          <w:rFonts w:ascii="Abadi" w:hAnsi="Abadi" w:cstheme="minorHAnsi"/>
          <w:szCs w:val="24"/>
        </w:rPr>
      </w:pPr>
      <w:r w:rsidRPr="00DB6768">
        <w:rPr>
          <w:rFonts w:ascii="Abadi" w:hAnsi="Abadi" w:cstheme="minorHAnsi"/>
          <w:szCs w:val="24"/>
        </w:rPr>
        <w:t>Bagian ini adalah bentuk apresiasi terhadap lembaga, orang, atau pihak-pihak yang turut membantu secara signifikan, entah itu saat proses penelitian, analisis data atau saat proses penulisan. (Maksimal 1 paragraf).</w:t>
      </w:r>
    </w:p>
    <w:p w14:paraId="7354F313" w14:textId="77777777" w:rsidR="00290A7F" w:rsidRPr="00DB6768" w:rsidRDefault="00290A7F" w:rsidP="003D7DAE">
      <w:pPr>
        <w:pStyle w:val="NoSpacing"/>
        <w:ind w:firstLine="0"/>
        <w:rPr>
          <w:rFonts w:ascii="Abadi" w:hAnsi="Abadi" w:cstheme="minorHAnsi"/>
          <w:szCs w:val="24"/>
        </w:rPr>
      </w:pPr>
    </w:p>
    <w:p w14:paraId="1CFE0DD3" w14:textId="77777777" w:rsidR="00290A7F" w:rsidRPr="00DB6768" w:rsidRDefault="00290A7F" w:rsidP="003D7DAE">
      <w:pPr>
        <w:pStyle w:val="NoSpacing"/>
        <w:ind w:firstLine="0"/>
        <w:rPr>
          <w:rFonts w:ascii="Abadi" w:hAnsi="Abadi" w:cstheme="minorHAnsi"/>
          <w:szCs w:val="24"/>
        </w:rPr>
      </w:pPr>
      <w:r w:rsidRPr="00DB6768">
        <w:rPr>
          <w:rFonts w:ascii="Abadi" w:hAnsi="Abadi" w:cstheme="minorHAnsi"/>
          <w:i/>
          <w:iCs/>
          <w:szCs w:val="24"/>
          <w:highlight w:val="yellow"/>
        </w:rPr>
        <w:t>Contoh</w:t>
      </w:r>
      <w:r w:rsidRPr="00DB6768">
        <w:rPr>
          <w:rFonts w:ascii="Abadi" w:hAnsi="Abadi" w:cstheme="minorHAnsi"/>
          <w:szCs w:val="24"/>
          <w:highlight w:val="yellow"/>
        </w:rPr>
        <w:t>:</w:t>
      </w:r>
    </w:p>
    <w:p w14:paraId="59651D1C" w14:textId="77777777" w:rsidR="00290A7F" w:rsidRPr="00DB6768" w:rsidRDefault="00290A7F" w:rsidP="003D7DAE">
      <w:pPr>
        <w:pStyle w:val="NoSpacing"/>
        <w:ind w:firstLine="0"/>
        <w:rPr>
          <w:rFonts w:ascii="Abadi" w:hAnsi="Abadi" w:cstheme="minorHAnsi"/>
          <w:szCs w:val="24"/>
        </w:rPr>
      </w:pPr>
      <w:r w:rsidRPr="00DB6768">
        <w:rPr>
          <w:rFonts w:ascii="Abadi" w:hAnsi="Abadi" w:cstheme="minorHAnsi"/>
          <w:szCs w:val="24"/>
        </w:rPr>
        <w:t xml:space="preserve">Terima kasih kepada Ilham Rosyid Hasibun karena telah membantu proses penggalian data selama penelitian lapangan. </w:t>
      </w:r>
    </w:p>
    <w:bookmarkEnd w:id="7"/>
    <w:p w14:paraId="63609FD8" w14:textId="77777777" w:rsidR="00290A7F" w:rsidRPr="00DB6768" w:rsidRDefault="00290A7F" w:rsidP="003D7DAE">
      <w:pPr>
        <w:spacing w:line="240" w:lineRule="auto"/>
        <w:ind w:right="49" w:firstLine="0"/>
        <w:rPr>
          <w:rFonts w:ascii="Abadi" w:hAnsi="Abadi" w:cstheme="minorHAnsi"/>
          <w:b/>
          <w:szCs w:val="24"/>
          <w:lang w:val="id-ID"/>
        </w:rPr>
      </w:pPr>
    </w:p>
    <w:p w14:paraId="0CE10E45" w14:textId="77777777" w:rsidR="00290A7F" w:rsidRPr="00DB6768" w:rsidRDefault="00290A7F" w:rsidP="003D7DAE">
      <w:pPr>
        <w:pStyle w:val="NoSpacing"/>
        <w:ind w:firstLine="0"/>
        <w:rPr>
          <w:rFonts w:ascii="Abadi" w:hAnsi="Abadi" w:cstheme="minorHAnsi"/>
          <w:b/>
          <w:color w:val="ED7D31" w:themeColor="accent2"/>
          <w:szCs w:val="24"/>
          <w:lang w:val="id-ID"/>
        </w:rPr>
      </w:pPr>
      <w:r w:rsidRPr="00DB6768">
        <w:rPr>
          <w:rFonts w:ascii="Abadi" w:hAnsi="Abadi" w:cstheme="minorHAnsi"/>
          <w:b/>
          <w:color w:val="ED7D31" w:themeColor="accent2"/>
          <w:szCs w:val="24"/>
          <w:lang w:val="id-ID"/>
        </w:rPr>
        <w:t>Daftar Pustaka</w:t>
      </w:r>
    </w:p>
    <w:p w14:paraId="5E9431B2" w14:textId="47E3962B" w:rsidR="00290A7F" w:rsidRPr="00DB6768" w:rsidRDefault="00290A7F" w:rsidP="003D7DAE">
      <w:pPr>
        <w:pStyle w:val="NoSpacing"/>
        <w:ind w:firstLine="0"/>
        <w:rPr>
          <w:rFonts w:ascii="Abadi" w:hAnsi="Abadi" w:cstheme="minorHAnsi"/>
          <w:szCs w:val="24"/>
        </w:rPr>
      </w:pPr>
      <w:r w:rsidRPr="00DB6768">
        <w:rPr>
          <w:rFonts w:ascii="Abadi" w:hAnsi="Abadi" w:cstheme="minorHAnsi"/>
          <w:szCs w:val="24"/>
        </w:rPr>
        <w:t xml:space="preserve"> </w:t>
      </w:r>
    </w:p>
    <w:p w14:paraId="458975DB" w14:textId="52E32EF0"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cstheme="minorHAnsi"/>
          <w:szCs w:val="24"/>
        </w:rPr>
        <w:fldChar w:fldCharType="begin" w:fldLock="1"/>
      </w:r>
      <w:r w:rsidRPr="00DB6768">
        <w:rPr>
          <w:rFonts w:ascii="Abadi" w:hAnsi="Abadi" w:cstheme="minorHAnsi"/>
          <w:szCs w:val="24"/>
        </w:rPr>
        <w:instrText xml:space="preserve">ADDIN Mendeley Bibliography CSL_BIBLIOGRAPHY </w:instrText>
      </w:r>
      <w:r w:rsidRPr="00DB6768">
        <w:rPr>
          <w:rFonts w:ascii="Abadi" w:hAnsi="Abadi" w:cstheme="minorHAnsi"/>
          <w:szCs w:val="24"/>
        </w:rPr>
        <w:fldChar w:fldCharType="separate"/>
      </w:r>
      <w:r w:rsidRPr="00DB6768">
        <w:rPr>
          <w:rFonts w:ascii="Abadi" w:hAnsi="Abadi"/>
          <w:szCs w:val="24"/>
        </w:rPr>
        <w:t xml:space="preserve">Abduh, M., Ma’arif, A. S., Ari, D., Nurmalawati, N. N., &amp; Unaedi, R. (2023). Implementasi Gaya Hidup Berkelanjutan Masyarakat Suku Baduy Banten. </w:t>
      </w:r>
      <w:r w:rsidRPr="00DB6768">
        <w:rPr>
          <w:rFonts w:ascii="Abadi" w:hAnsi="Abadi"/>
          <w:i/>
          <w:iCs/>
          <w:szCs w:val="24"/>
        </w:rPr>
        <w:t>Jurnal Citizenship Virtues</w:t>
      </w:r>
      <w:r w:rsidRPr="00DB6768">
        <w:rPr>
          <w:rFonts w:ascii="Abadi" w:hAnsi="Abadi"/>
          <w:szCs w:val="24"/>
        </w:rPr>
        <w:t xml:space="preserve">, </w:t>
      </w:r>
      <w:r w:rsidRPr="00DB6768">
        <w:rPr>
          <w:rFonts w:ascii="Abadi" w:hAnsi="Abadi"/>
          <w:i/>
          <w:iCs/>
          <w:szCs w:val="24"/>
        </w:rPr>
        <w:t>3</w:t>
      </w:r>
      <w:r w:rsidRPr="00DB6768">
        <w:rPr>
          <w:rFonts w:ascii="Abadi" w:hAnsi="Abadi"/>
          <w:szCs w:val="24"/>
        </w:rPr>
        <w:t>(2), 607–614. https://doi.org/10.37640/jcv.v3i2.1879</w:t>
      </w:r>
    </w:p>
    <w:p w14:paraId="457B2FB2"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Aisah, A., Rahmadia, F. I., Mentari, G., &amp; Permana, I. (2023). Analisis Implementasi Green Economy di Indonesia. </w:t>
      </w:r>
      <w:r w:rsidRPr="00DB6768">
        <w:rPr>
          <w:rFonts w:ascii="Abadi" w:hAnsi="Abadi"/>
          <w:i/>
          <w:iCs/>
          <w:szCs w:val="24"/>
        </w:rPr>
        <w:t>Prestise: Jurnal Pengabdian Kepada Masyarakat Bidang Ekonomi Dan Bisnis</w:t>
      </w:r>
      <w:r w:rsidRPr="00DB6768">
        <w:rPr>
          <w:rFonts w:ascii="Abadi" w:hAnsi="Abadi"/>
          <w:szCs w:val="24"/>
        </w:rPr>
        <w:t xml:space="preserve">, </w:t>
      </w:r>
      <w:r w:rsidRPr="00DB6768">
        <w:rPr>
          <w:rFonts w:ascii="Abadi" w:hAnsi="Abadi"/>
          <w:i/>
          <w:iCs/>
          <w:szCs w:val="24"/>
        </w:rPr>
        <w:t>3</w:t>
      </w:r>
      <w:r w:rsidRPr="00DB6768">
        <w:rPr>
          <w:rFonts w:ascii="Abadi" w:hAnsi="Abadi"/>
          <w:szCs w:val="24"/>
        </w:rPr>
        <w:t>(1), 16–31. https://doi.org/10.15575/prestise.v3i1.30446</w:t>
      </w:r>
    </w:p>
    <w:p w14:paraId="21E1910A"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Arianto, P. (2020). Modul Metode Penelitian Kualitatif. In </w:t>
      </w:r>
      <w:r w:rsidRPr="00DB6768">
        <w:rPr>
          <w:rFonts w:ascii="Abadi" w:hAnsi="Abadi"/>
          <w:i/>
          <w:iCs/>
          <w:szCs w:val="24"/>
        </w:rPr>
        <w:t>Metode penelitian</w:t>
      </w:r>
      <w:r w:rsidRPr="00DB6768">
        <w:rPr>
          <w:rFonts w:ascii="Abadi" w:hAnsi="Abadi"/>
          <w:szCs w:val="24"/>
        </w:rPr>
        <w:t xml:space="preserve"> (A.Pambudi, Vol. 5, Issue July). Komunikasi UII.</w:t>
      </w:r>
    </w:p>
    <w:p w14:paraId="6585EA26"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Dachlan, M. A. B. (2019). Kehidupan Ekonomi Masyarakat Baduy di Desa Kanekes Banten. </w:t>
      </w:r>
      <w:r w:rsidRPr="00DB6768">
        <w:rPr>
          <w:rFonts w:ascii="Abadi" w:hAnsi="Abadi"/>
          <w:i/>
          <w:iCs/>
          <w:szCs w:val="24"/>
        </w:rPr>
        <w:t>Journal Ilmiah Rinjani</w:t>
      </w:r>
      <w:r w:rsidRPr="00DB6768">
        <w:rPr>
          <w:rFonts w:ascii="Abadi" w:hAnsi="Abadi"/>
          <w:szCs w:val="24"/>
        </w:rPr>
        <w:t xml:space="preserve">, </w:t>
      </w:r>
      <w:r w:rsidRPr="00DB6768">
        <w:rPr>
          <w:rFonts w:ascii="Abadi" w:hAnsi="Abadi"/>
          <w:i/>
          <w:iCs/>
          <w:szCs w:val="24"/>
        </w:rPr>
        <w:t>7</w:t>
      </w:r>
      <w:r w:rsidRPr="00DB6768">
        <w:rPr>
          <w:rFonts w:ascii="Abadi" w:hAnsi="Abadi"/>
          <w:szCs w:val="24"/>
        </w:rPr>
        <w:t>(2), 1–10. https://doi.org/doi.org/10.12345/jir.v7i2.93</w:t>
      </w:r>
    </w:p>
    <w:p w14:paraId="5D749283"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Delyuzir Dwiyan Randy. (2024). Baduy Dalam dan Baduy Luar (Studi Kasus</w:t>
      </w:r>
      <w:r w:rsidRPr="00DB6768">
        <w:rPr>
          <w:rFonts w:ascii="Arial" w:hAnsi="Arial" w:cs="Arial"/>
          <w:szCs w:val="24"/>
        </w:rPr>
        <w:t> </w:t>
      </w:r>
      <w:r w:rsidRPr="00DB6768">
        <w:rPr>
          <w:rFonts w:ascii="Abadi" w:hAnsi="Abadi"/>
          <w:szCs w:val="24"/>
        </w:rPr>
        <w:t xml:space="preserve">: Kampung Cibeo dan Kampung Kedukteg ) A Comparative Study of The Traditional House Architecture of Inner Baduy and Outer Baduy. </w:t>
      </w:r>
      <w:r w:rsidRPr="00DB6768">
        <w:rPr>
          <w:rFonts w:ascii="Abadi" w:hAnsi="Abadi"/>
          <w:i/>
          <w:iCs/>
          <w:szCs w:val="24"/>
        </w:rPr>
        <w:t>Arsitekta Dan Kota Berkelanjutan</w:t>
      </w:r>
      <w:r w:rsidRPr="00DB6768">
        <w:rPr>
          <w:rFonts w:ascii="Abadi" w:hAnsi="Abadi"/>
          <w:szCs w:val="24"/>
        </w:rPr>
        <w:t xml:space="preserve">, </w:t>
      </w:r>
      <w:r w:rsidRPr="00DB6768">
        <w:rPr>
          <w:rFonts w:ascii="Abadi" w:hAnsi="Abadi"/>
          <w:i/>
          <w:iCs/>
          <w:szCs w:val="24"/>
        </w:rPr>
        <w:t>06</w:t>
      </w:r>
      <w:r w:rsidRPr="00DB6768">
        <w:rPr>
          <w:rFonts w:ascii="Abadi" w:hAnsi="Abadi"/>
          <w:szCs w:val="24"/>
        </w:rPr>
        <w:t>(02), 105–115.</w:t>
      </w:r>
    </w:p>
    <w:p w14:paraId="5C259C35"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Faridl Widhagdha, M., &amp; Ediyono, S. (2022). Case Study Approach in Community Empowerment Research in Indonesia. </w:t>
      </w:r>
      <w:r w:rsidRPr="00DB6768">
        <w:rPr>
          <w:rFonts w:ascii="Abadi" w:hAnsi="Abadi"/>
          <w:i/>
          <w:iCs/>
          <w:szCs w:val="24"/>
        </w:rPr>
        <w:t>Indonesian Journal of Social Responsibility Review (IJSRR)</w:t>
      </w:r>
      <w:r w:rsidRPr="00DB6768">
        <w:rPr>
          <w:rFonts w:ascii="Abadi" w:hAnsi="Abadi"/>
          <w:szCs w:val="24"/>
        </w:rPr>
        <w:t xml:space="preserve">, </w:t>
      </w:r>
      <w:r w:rsidRPr="00DB6768">
        <w:rPr>
          <w:rFonts w:ascii="Abadi" w:hAnsi="Abadi"/>
          <w:i/>
          <w:iCs/>
          <w:szCs w:val="24"/>
        </w:rPr>
        <w:t>1</w:t>
      </w:r>
      <w:r w:rsidRPr="00DB6768">
        <w:rPr>
          <w:rFonts w:ascii="Abadi" w:hAnsi="Abadi"/>
          <w:szCs w:val="24"/>
        </w:rPr>
        <w:t>(1), 71–76. https://doi.org/10.55381/ijsrr.v1i1.19</w:t>
      </w:r>
    </w:p>
    <w:p w14:paraId="29E67752"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Firdaus, M. N., Budiaman, &amp; Nova Scorviana Herminasari. (2020). Peran Komunitas Pramuwisata Baduy Luar Dalam Mempertahankan Kearifan Lokal. </w:t>
      </w:r>
      <w:r w:rsidRPr="00DB6768">
        <w:rPr>
          <w:rFonts w:ascii="Abadi" w:hAnsi="Abadi"/>
          <w:i/>
          <w:iCs/>
          <w:szCs w:val="24"/>
        </w:rPr>
        <w:t>Edukasi IPS</w:t>
      </w:r>
      <w:r w:rsidRPr="00DB6768">
        <w:rPr>
          <w:rFonts w:ascii="Abadi" w:hAnsi="Abadi"/>
          <w:szCs w:val="24"/>
        </w:rPr>
        <w:t xml:space="preserve">, </w:t>
      </w:r>
      <w:r w:rsidRPr="00DB6768">
        <w:rPr>
          <w:rFonts w:ascii="Abadi" w:hAnsi="Abadi"/>
          <w:i/>
          <w:iCs/>
          <w:szCs w:val="24"/>
        </w:rPr>
        <w:t>4</w:t>
      </w:r>
      <w:r w:rsidRPr="00DB6768">
        <w:rPr>
          <w:rFonts w:ascii="Abadi" w:hAnsi="Abadi"/>
          <w:szCs w:val="24"/>
        </w:rPr>
        <w:t>(1), 11–20. https://doi.org/10.21009/eips.004.1.02</w:t>
      </w:r>
    </w:p>
    <w:p w14:paraId="097C4502"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Firmansyah, M. (2022). Konsep Turunan Green economy dan Penerapannya: Sebuah Analisis Literatur. </w:t>
      </w:r>
      <w:r w:rsidRPr="00DB6768">
        <w:rPr>
          <w:rFonts w:ascii="Abadi" w:hAnsi="Abadi"/>
          <w:i/>
          <w:iCs/>
          <w:szCs w:val="24"/>
        </w:rPr>
        <w:t>Ecoplan</w:t>
      </w:r>
      <w:r w:rsidRPr="00DB6768">
        <w:rPr>
          <w:rFonts w:ascii="Abadi" w:hAnsi="Abadi"/>
          <w:szCs w:val="24"/>
        </w:rPr>
        <w:t xml:space="preserve">, </w:t>
      </w:r>
      <w:r w:rsidRPr="00DB6768">
        <w:rPr>
          <w:rFonts w:ascii="Abadi" w:hAnsi="Abadi"/>
          <w:i/>
          <w:iCs/>
          <w:szCs w:val="24"/>
        </w:rPr>
        <w:t>5</w:t>
      </w:r>
      <w:r w:rsidRPr="00DB6768">
        <w:rPr>
          <w:rFonts w:ascii="Abadi" w:hAnsi="Abadi"/>
          <w:szCs w:val="24"/>
        </w:rPr>
        <w:t>(2), 141–149. https://doi.org/10.20527/ecoplan.v5i2.543</w:t>
      </w:r>
    </w:p>
    <w:p w14:paraId="7F700463"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Fu, C., &amp; Lu, L. (2023). Memajukan keuangan hijau</w:t>
      </w:r>
      <w:r w:rsidRPr="00DB6768">
        <w:rPr>
          <w:rFonts w:ascii="Arial" w:hAnsi="Arial" w:cs="Arial"/>
          <w:szCs w:val="24"/>
        </w:rPr>
        <w:t> </w:t>
      </w:r>
      <w:r w:rsidRPr="00DB6768">
        <w:rPr>
          <w:rFonts w:ascii="Abadi" w:hAnsi="Abadi"/>
          <w:szCs w:val="24"/>
        </w:rPr>
        <w:t xml:space="preserve">: Tinjauan Pembangunan Berkelanjutan. </w:t>
      </w:r>
      <w:r w:rsidRPr="00DB6768">
        <w:rPr>
          <w:rFonts w:ascii="Abadi" w:hAnsi="Abadi"/>
          <w:i/>
          <w:iCs/>
          <w:szCs w:val="24"/>
        </w:rPr>
        <w:t>Digital Economy and Sustainable Development</w:t>
      </w:r>
      <w:r w:rsidRPr="00DB6768">
        <w:rPr>
          <w:rFonts w:ascii="Abadi" w:hAnsi="Abadi"/>
          <w:szCs w:val="24"/>
        </w:rPr>
        <w:t xml:space="preserve">, </w:t>
      </w:r>
      <w:r w:rsidRPr="00DB6768">
        <w:rPr>
          <w:rFonts w:ascii="Abadi" w:hAnsi="Abadi"/>
          <w:i/>
          <w:iCs/>
          <w:szCs w:val="24"/>
        </w:rPr>
        <w:t>3</w:t>
      </w:r>
      <w:r w:rsidRPr="00DB6768">
        <w:rPr>
          <w:rFonts w:ascii="Abadi" w:hAnsi="Abadi"/>
          <w:szCs w:val="24"/>
        </w:rPr>
        <w:t>, 1–20. https://doi.org/https://doi.org/10.1007/s44265-023-00020-3</w:t>
      </w:r>
    </w:p>
    <w:p w14:paraId="07653FAE"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Guo, C. Q., Wang, X., Cao, D. D., &amp; Hou, Y. G. (2022). The Impact of Green Finance on Carbon Emission--Analysis Based on Mediation Effect and Spatial Effect. </w:t>
      </w:r>
      <w:r w:rsidRPr="00DB6768">
        <w:rPr>
          <w:rFonts w:ascii="Abadi" w:hAnsi="Abadi"/>
          <w:i/>
          <w:iCs/>
          <w:szCs w:val="24"/>
        </w:rPr>
        <w:t>Frontiers in Environmental Science</w:t>
      </w:r>
      <w:r w:rsidRPr="00DB6768">
        <w:rPr>
          <w:rFonts w:ascii="Abadi" w:hAnsi="Abadi"/>
          <w:szCs w:val="24"/>
        </w:rPr>
        <w:t xml:space="preserve">, </w:t>
      </w:r>
      <w:r w:rsidRPr="00DB6768">
        <w:rPr>
          <w:rFonts w:ascii="Abadi" w:hAnsi="Abadi"/>
          <w:i/>
          <w:iCs/>
          <w:szCs w:val="24"/>
        </w:rPr>
        <w:t>10</w:t>
      </w:r>
      <w:r w:rsidRPr="00DB6768">
        <w:rPr>
          <w:rFonts w:ascii="Abadi" w:hAnsi="Abadi"/>
          <w:szCs w:val="24"/>
        </w:rPr>
        <w:t>(March), 1–17. https://doi.org/10.3389/fenvs.2022.844988</w:t>
      </w:r>
    </w:p>
    <w:p w14:paraId="5248B779"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Ilic, B. S. (2023). Green Economy and Green Finance as a Contribution to Sustainable Green Activities at The Global Level. </w:t>
      </w:r>
      <w:r w:rsidRPr="00DB6768">
        <w:rPr>
          <w:rFonts w:ascii="Abadi" w:hAnsi="Abadi"/>
          <w:i/>
          <w:iCs/>
          <w:szCs w:val="24"/>
        </w:rPr>
        <w:t>Reference Module in Social Sciences</w:t>
      </w:r>
      <w:r w:rsidRPr="00DB6768">
        <w:rPr>
          <w:rFonts w:ascii="Abadi" w:hAnsi="Abadi"/>
          <w:szCs w:val="24"/>
        </w:rPr>
        <w:t xml:space="preserve">, </w:t>
      </w:r>
      <w:r w:rsidRPr="00DB6768">
        <w:rPr>
          <w:rFonts w:ascii="Abadi" w:hAnsi="Abadi"/>
          <w:i/>
          <w:iCs/>
          <w:szCs w:val="24"/>
        </w:rPr>
        <w:t>September</w:t>
      </w:r>
      <w:r w:rsidRPr="00DB6768">
        <w:rPr>
          <w:rFonts w:ascii="Abadi" w:hAnsi="Abadi"/>
          <w:szCs w:val="24"/>
        </w:rPr>
        <w:t>, 0–6. https://doi.org/10.1016/b978-0-44-313776-1.00138-0</w:t>
      </w:r>
    </w:p>
    <w:p w14:paraId="4AB37ED0"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Indrawardana, I. (2012). Kearifan Lokal Adat Masyarakat Sunda Dalam Hubungan Dengan Lingkungan Alam. </w:t>
      </w:r>
      <w:r w:rsidRPr="00DB6768">
        <w:rPr>
          <w:rFonts w:ascii="Abadi" w:hAnsi="Abadi"/>
          <w:i/>
          <w:iCs/>
          <w:szCs w:val="24"/>
        </w:rPr>
        <w:t>Komunitas</w:t>
      </w:r>
      <w:r w:rsidRPr="00DB6768">
        <w:rPr>
          <w:rFonts w:ascii="Abadi" w:hAnsi="Abadi"/>
          <w:szCs w:val="24"/>
        </w:rPr>
        <w:t xml:space="preserve">, </w:t>
      </w:r>
      <w:r w:rsidRPr="00DB6768">
        <w:rPr>
          <w:rFonts w:ascii="Abadi" w:hAnsi="Abadi"/>
          <w:i/>
          <w:iCs/>
          <w:szCs w:val="24"/>
        </w:rPr>
        <w:t>4</w:t>
      </w:r>
      <w:r w:rsidRPr="00DB6768">
        <w:rPr>
          <w:rFonts w:ascii="Abadi" w:hAnsi="Abadi"/>
          <w:szCs w:val="24"/>
        </w:rPr>
        <w:t xml:space="preserve">(1), 1–8. </w:t>
      </w:r>
      <w:r w:rsidRPr="00DB6768">
        <w:rPr>
          <w:rFonts w:ascii="Abadi" w:hAnsi="Abadi"/>
          <w:szCs w:val="24"/>
        </w:rPr>
        <w:lastRenderedPageBreak/>
        <w:t>https://doi.org/10.15294/komunitas.v4i1.2390</w:t>
      </w:r>
    </w:p>
    <w:p w14:paraId="6314D3F1"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Jiang, L., Wang, H., Tong, A., Hu, Z., Duan, H., Zhang, X., &amp; Wang, Y. (2020). The measurement of green finance development index and its poverty reduction effect: Dynamic panel analysis based on improved entropy method. </w:t>
      </w:r>
      <w:r w:rsidRPr="00DB6768">
        <w:rPr>
          <w:rFonts w:ascii="Abadi" w:hAnsi="Abadi"/>
          <w:i/>
          <w:iCs/>
          <w:szCs w:val="24"/>
        </w:rPr>
        <w:t>Discrete Dynamics in Nature and Society</w:t>
      </w:r>
      <w:r w:rsidRPr="00DB6768">
        <w:rPr>
          <w:rFonts w:ascii="Abadi" w:hAnsi="Abadi"/>
          <w:szCs w:val="24"/>
        </w:rPr>
        <w:t xml:space="preserve">, </w:t>
      </w:r>
      <w:r w:rsidRPr="00DB6768">
        <w:rPr>
          <w:rFonts w:ascii="Abadi" w:hAnsi="Abadi"/>
          <w:i/>
          <w:iCs/>
          <w:szCs w:val="24"/>
        </w:rPr>
        <w:t>2020</w:t>
      </w:r>
      <w:r w:rsidRPr="00DB6768">
        <w:rPr>
          <w:rFonts w:ascii="Abadi" w:hAnsi="Abadi"/>
          <w:szCs w:val="24"/>
        </w:rPr>
        <w:t>. https://doi.org/10.1155/2020/8851684</w:t>
      </w:r>
    </w:p>
    <w:p w14:paraId="3113B159"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Kaharuddin. (2021). Kualitatif</w:t>
      </w:r>
      <w:r w:rsidRPr="00DB6768">
        <w:rPr>
          <w:rFonts w:ascii="Arial" w:hAnsi="Arial" w:cs="Arial"/>
          <w:szCs w:val="24"/>
        </w:rPr>
        <w:t> </w:t>
      </w:r>
      <w:r w:rsidRPr="00DB6768">
        <w:rPr>
          <w:rFonts w:ascii="Abadi" w:hAnsi="Abadi"/>
          <w:szCs w:val="24"/>
        </w:rPr>
        <w:t xml:space="preserve">: Ciri dan Karakter Sebagai Metodologi. </w:t>
      </w:r>
      <w:r w:rsidRPr="00DB6768">
        <w:rPr>
          <w:rFonts w:ascii="Abadi" w:hAnsi="Abadi"/>
          <w:i/>
          <w:iCs/>
          <w:szCs w:val="24"/>
        </w:rPr>
        <w:t>Jurnal Pendidikan</w:t>
      </w:r>
      <w:r w:rsidRPr="00DB6768">
        <w:rPr>
          <w:rFonts w:ascii="Abadi" w:hAnsi="Abadi"/>
          <w:szCs w:val="24"/>
        </w:rPr>
        <w:t xml:space="preserve">, </w:t>
      </w:r>
      <w:r w:rsidRPr="00DB6768">
        <w:rPr>
          <w:rFonts w:ascii="Abadi" w:hAnsi="Abadi"/>
          <w:i/>
          <w:iCs/>
          <w:szCs w:val="24"/>
        </w:rPr>
        <w:t>IX</w:t>
      </w:r>
      <w:r w:rsidRPr="00DB6768">
        <w:rPr>
          <w:rFonts w:ascii="Abadi" w:hAnsi="Abadi"/>
          <w:szCs w:val="24"/>
        </w:rPr>
        <w:t>(1), 1–8. http://journal.unismuh.ac.id/index.php/equilibrium</w:t>
      </w:r>
    </w:p>
    <w:p w14:paraId="5B877347"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Keiner, &amp; Marco. (2005). History</w:t>
      </w:r>
      <w:r w:rsidRPr="00DB6768">
        <w:rPr>
          <w:rFonts w:ascii="Abadi" w:eastAsia="MS Mincho" w:hAnsi="Abadi" w:cs="MS Mincho"/>
          <w:szCs w:val="24"/>
        </w:rPr>
        <w:t>，</w:t>
      </w:r>
      <w:r w:rsidRPr="00DB6768">
        <w:rPr>
          <w:rFonts w:ascii="Abadi" w:hAnsi="Abadi"/>
          <w:szCs w:val="24"/>
        </w:rPr>
        <w:t xml:space="preserve">definitions and models of sustainable development. </w:t>
      </w:r>
      <w:r w:rsidRPr="00DB6768">
        <w:rPr>
          <w:rFonts w:ascii="Abadi" w:hAnsi="Abadi"/>
          <w:i/>
          <w:iCs/>
          <w:szCs w:val="24"/>
        </w:rPr>
        <w:t>ETH Zurich Research Collection</w:t>
      </w:r>
      <w:r w:rsidRPr="00DB6768">
        <w:rPr>
          <w:rFonts w:ascii="Abadi" w:hAnsi="Abadi"/>
          <w:szCs w:val="24"/>
        </w:rPr>
        <w:t xml:space="preserve">, </w:t>
      </w:r>
      <w:r w:rsidRPr="00DB6768">
        <w:rPr>
          <w:rFonts w:ascii="Abadi" w:hAnsi="Abadi"/>
          <w:i/>
          <w:iCs/>
          <w:szCs w:val="24"/>
        </w:rPr>
        <w:t>21</w:t>
      </w:r>
      <w:r w:rsidRPr="00DB6768">
        <w:rPr>
          <w:rFonts w:ascii="Abadi" w:hAnsi="Abadi"/>
          <w:szCs w:val="24"/>
        </w:rPr>
        <w:t>(6), 12–19. https://doi.org/10.3929/ethz-a-010025751</w:t>
      </w:r>
    </w:p>
    <w:p w14:paraId="765E63B9"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Lv, C., Bian, B., Lee, C. C., &amp; He, Z. (2021). Regional gap and the trend of green finance development in China. </w:t>
      </w:r>
      <w:r w:rsidRPr="00DB6768">
        <w:rPr>
          <w:rFonts w:ascii="Abadi" w:hAnsi="Abadi"/>
          <w:i/>
          <w:iCs/>
          <w:szCs w:val="24"/>
        </w:rPr>
        <w:t>Energy Economics</w:t>
      </w:r>
      <w:r w:rsidRPr="00DB6768">
        <w:rPr>
          <w:rFonts w:ascii="Abadi" w:hAnsi="Abadi"/>
          <w:szCs w:val="24"/>
        </w:rPr>
        <w:t xml:space="preserve">, </w:t>
      </w:r>
      <w:r w:rsidRPr="00DB6768">
        <w:rPr>
          <w:rFonts w:ascii="Abadi" w:hAnsi="Abadi"/>
          <w:i/>
          <w:iCs/>
          <w:szCs w:val="24"/>
        </w:rPr>
        <w:t>102</w:t>
      </w:r>
      <w:r w:rsidRPr="00DB6768">
        <w:rPr>
          <w:rFonts w:ascii="Abadi" w:hAnsi="Abadi"/>
          <w:szCs w:val="24"/>
        </w:rPr>
        <w:t>(July), 105476. https://doi.org/10.1016/j.eneco.2021.105476</w:t>
      </w:r>
    </w:p>
    <w:p w14:paraId="1E24B6DB"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Martin, V. (2023). Green Finance: Regulation and Instruments. </w:t>
      </w:r>
      <w:r w:rsidRPr="00DB6768">
        <w:rPr>
          <w:rFonts w:ascii="Abadi" w:hAnsi="Abadi"/>
          <w:i/>
          <w:iCs/>
          <w:szCs w:val="24"/>
        </w:rPr>
        <w:t>Journal of Central Banking Theory and Practice</w:t>
      </w:r>
      <w:r w:rsidRPr="00DB6768">
        <w:rPr>
          <w:rFonts w:ascii="Abadi" w:hAnsi="Abadi"/>
          <w:szCs w:val="24"/>
        </w:rPr>
        <w:t xml:space="preserve">, </w:t>
      </w:r>
      <w:r w:rsidRPr="00DB6768">
        <w:rPr>
          <w:rFonts w:ascii="Abadi" w:hAnsi="Abadi"/>
          <w:i/>
          <w:iCs/>
          <w:szCs w:val="24"/>
        </w:rPr>
        <w:t>12</w:t>
      </w:r>
      <w:r w:rsidRPr="00DB6768">
        <w:rPr>
          <w:rFonts w:ascii="Abadi" w:hAnsi="Abadi"/>
          <w:szCs w:val="24"/>
        </w:rPr>
        <w:t>(2), 185–209. https://doi.org/10.2478/jcbtp-2023-0019</w:t>
      </w:r>
    </w:p>
    <w:p w14:paraId="0187B2C6"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Mirajiani, M., &amp; Widi, S. W. (2022). Pengetahuan Lokal Masyarakat Adat Baduy Dalam Pranata Sosial Untuk Menunjang Ketahanan Pangan. </w:t>
      </w:r>
      <w:r w:rsidRPr="00DB6768">
        <w:rPr>
          <w:rFonts w:ascii="Abadi" w:hAnsi="Abadi"/>
          <w:i/>
          <w:iCs/>
          <w:szCs w:val="24"/>
        </w:rPr>
        <w:t>Jurnal Penyuluhan Dan Pemberdayaan Masyarakat</w:t>
      </w:r>
      <w:r w:rsidRPr="00DB6768">
        <w:rPr>
          <w:rFonts w:ascii="Abadi" w:hAnsi="Abadi"/>
          <w:szCs w:val="24"/>
        </w:rPr>
        <w:t xml:space="preserve">, </w:t>
      </w:r>
      <w:r w:rsidRPr="00DB6768">
        <w:rPr>
          <w:rFonts w:ascii="Abadi" w:hAnsi="Abadi"/>
          <w:i/>
          <w:iCs/>
          <w:szCs w:val="24"/>
        </w:rPr>
        <w:t>1</w:t>
      </w:r>
      <w:r w:rsidRPr="00DB6768">
        <w:rPr>
          <w:rFonts w:ascii="Abadi" w:hAnsi="Abadi"/>
          <w:szCs w:val="24"/>
        </w:rPr>
        <w:t>(1), 1–8. https://doi.org/10.59066/jppm.v1i1.2</w:t>
      </w:r>
    </w:p>
    <w:p w14:paraId="4DE206C8"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Mirajiani, Sulaeni, &amp; Sutisna, T. (2019). The Local Farming System Based on Custom and Tradition to Achieve Sustainable Agriculture in Baduy Indigenous Community. </w:t>
      </w:r>
      <w:r w:rsidRPr="00DB6768">
        <w:rPr>
          <w:rFonts w:ascii="Abadi" w:hAnsi="Abadi"/>
          <w:i/>
          <w:iCs/>
          <w:szCs w:val="24"/>
        </w:rPr>
        <w:t>IOP Conference Series: Earth and Environmental Science</w:t>
      </w:r>
      <w:r w:rsidRPr="00DB6768">
        <w:rPr>
          <w:rFonts w:ascii="Abadi" w:hAnsi="Abadi"/>
          <w:szCs w:val="24"/>
        </w:rPr>
        <w:t xml:space="preserve">, </w:t>
      </w:r>
      <w:r w:rsidRPr="00DB6768">
        <w:rPr>
          <w:rFonts w:ascii="Abadi" w:hAnsi="Abadi"/>
          <w:i/>
          <w:iCs/>
          <w:szCs w:val="24"/>
        </w:rPr>
        <w:t>383</w:t>
      </w:r>
      <w:r w:rsidRPr="00DB6768">
        <w:rPr>
          <w:rFonts w:ascii="Abadi" w:hAnsi="Abadi"/>
          <w:szCs w:val="24"/>
        </w:rPr>
        <w:t>(1), 1–8. https://doi.org/10.1088/1755-1315/383/1/012032</w:t>
      </w:r>
    </w:p>
    <w:p w14:paraId="732B10FA"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Muhyina Muin. (2017). Pengaruh Faktor Produksi Terhadap Hasil Produksi Merica Di Desa Era Baru Kecamatan Tellulimpoe Kabupaten Sinjai. </w:t>
      </w:r>
      <w:r w:rsidRPr="00DB6768">
        <w:rPr>
          <w:rFonts w:ascii="Abadi" w:hAnsi="Abadi"/>
          <w:i/>
          <w:iCs/>
          <w:szCs w:val="24"/>
        </w:rPr>
        <w:t>Jurnal Economix</w:t>
      </w:r>
      <w:r w:rsidRPr="00DB6768">
        <w:rPr>
          <w:rFonts w:ascii="Abadi" w:hAnsi="Abadi"/>
          <w:szCs w:val="24"/>
        </w:rPr>
        <w:t xml:space="preserve">, </w:t>
      </w:r>
      <w:r w:rsidRPr="00DB6768">
        <w:rPr>
          <w:rFonts w:ascii="Abadi" w:hAnsi="Abadi"/>
          <w:i/>
          <w:iCs/>
          <w:szCs w:val="24"/>
        </w:rPr>
        <w:t>5</w:t>
      </w:r>
      <w:r w:rsidRPr="00DB6768">
        <w:rPr>
          <w:rFonts w:ascii="Abadi" w:hAnsi="Abadi"/>
          <w:szCs w:val="24"/>
        </w:rPr>
        <w:t>(1), 203–214. https://ojs.unm.ac.id/economix/article/view/5374/3114</w:t>
      </w:r>
    </w:p>
    <w:p w14:paraId="563748D2"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Mulyani, S. (2015). Peran Gusjigang dan Penerapan Akuantasi Terhadap Literasi Keuangan Pra-Nikah. </w:t>
      </w:r>
      <w:r w:rsidRPr="00DB6768">
        <w:rPr>
          <w:rFonts w:ascii="Abadi" w:hAnsi="Abadi"/>
          <w:i/>
          <w:iCs/>
          <w:szCs w:val="24"/>
        </w:rPr>
        <w:t>Ekonomi Dinamika Dan Bisnis</w:t>
      </w:r>
      <w:r w:rsidRPr="00DB6768">
        <w:rPr>
          <w:rFonts w:ascii="Abadi" w:hAnsi="Abadi"/>
          <w:szCs w:val="24"/>
        </w:rPr>
        <w:t xml:space="preserve">, </w:t>
      </w:r>
      <w:r w:rsidRPr="00DB6768">
        <w:rPr>
          <w:rFonts w:ascii="Abadi" w:hAnsi="Abadi"/>
          <w:i/>
          <w:iCs/>
          <w:szCs w:val="24"/>
        </w:rPr>
        <w:t>12</w:t>
      </w:r>
      <w:r w:rsidRPr="00DB6768">
        <w:rPr>
          <w:rFonts w:ascii="Abadi" w:hAnsi="Abadi"/>
          <w:szCs w:val="24"/>
        </w:rPr>
        <w:t>(2), 159–172. http://ejournal.unisnu.ac.id/JDEB/article/view/375%0Ahttp://ejournal.unisnu.ac.id/JDEB/article/download/375/708</w:t>
      </w:r>
    </w:p>
    <w:p w14:paraId="21F17FD3"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Mustagfiroh, L., &amp; Supriyadi, A. (2024). Efektivitas Penggunaan QRIS sebagai Media Pembayaran dalam Meningkatkan Perkembangan UMKM di Jepara. </w:t>
      </w:r>
      <w:r w:rsidRPr="00DB6768">
        <w:rPr>
          <w:rFonts w:ascii="Abadi" w:hAnsi="Abadi"/>
          <w:i/>
          <w:iCs/>
          <w:szCs w:val="24"/>
        </w:rPr>
        <w:t>JEBIKSU</w:t>
      </w:r>
      <w:r w:rsidRPr="00DB6768">
        <w:rPr>
          <w:rFonts w:ascii="Arial" w:hAnsi="Arial" w:cs="Arial"/>
          <w:i/>
          <w:iCs/>
          <w:szCs w:val="24"/>
        </w:rPr>
        <w:t> </w:t>
      </w:r>
      <w:r w:rsidRPr="00DB6768">
        <w:rPr>
          <w:rFonts w:ascii="Abadi" w:hAnsi="Abadi"/>
          <w:i/>
          <w:iCs/>
          <w:szCs w:val="24"/>
        </w:rPr>
        <w:t>: Jurnal Ekonomi Dan Bisnis Islam IAIN Kudus</w:t>
      </w:r>
      <w:r w:rsidRPr="00DB6768">
        <w:rPr>
          <w:rFonts w:ascii="Abadi" w:hAnsi="Abadi"/>
          <w:szCs w:val="24"/>
        </w:rPr>
        <w:t xml:space="preserve">, </w:t>
      </w:r>
      <w:r w:rsidRPr="00DB6768">
        <w:rPr>
          <w:rFonts w:ascii="Abadi" w:hAnsi="Abadi"/>
          <w:i/>
          <w:iCs/>
          <w:szCs w:val="24"/>
        </w:rPr>
        <w:t>2</w:t>
      </w:r>
      <w:r w:rsidRPr="00DB6768">
        <w:rPr>
          <w:rFonts w:ascii="Abadi" w:hAnsi="Abadi"/>
          <w:szCs w:val="24"/>
        </w:rPr>
        <w:t>(2), 204–218. http://jim.ac.id/index.php/JEBISKU/</w:t>
      </w:r>
    </w:p>
    <w:p w14:paraId="48C18BD5"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Ningsih, M. M. (2024). Pembiayaan Ramah Lingkungan Terhadap Sub Sektor Energi Baru Dan Terbarukan Di Indonesia. </w:t>
      </w:r>
      <w:r w:rsidRPr="00DB6768">
        <w:rPr>
          <w:rFonts w:ascii="Abadi" w:hAnsi="Abadi"/>
          <w:i/>
          <w:iCs/>
          <w:szCs w:val="24"/>
        </w:rPr>
        <w:t>Jurnal Energi Baru Dan Terbarukan</w:t>
      </w:r>
      <w:r w:rsidRPr="00DB6768">
        <w:rPr>
          <w:rFonts w:ascii="Abadi" w:hAnsi="Abadi"/>
          <w:szCs w:val="24"/>
        </w:rPr>
        <w:t xml:space="preserve">, </w:t>
      </w:r>
      <w:r w:rsidRPr="00DB6768">
        <w:rPr>
          <w:rFonts w:ascii="Abadi" w:hAnsi="Abadi"/>
          <w:i/>
          <w:iCs/>
          <w:szCs w:val="24"/>
        </w:rPr>
        <w:t>5</w:t>
      </w:r>
      <w:r w:rsidRPr="00DB6768">
        <w:rPr>
          <w:rFonts w:ascii="Abadi" w:hAnsi="Abadi"/>
          <w:szCs w:val="24"/>
        </w:rPr>
        <w:t>(2), 12–29. https://doi.org/10.14710/jebt.2024.22805</w:t>
      </w:r>
    </w:p>
    <w:p w14:paraId="441E3D79"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Niyazbekova, S., Semenov, A., Syzdykova, E., Irisheva, A., Bikashev, D., &amp; Varzin, V. (2024). Green Loans and Projects Aimed at Protecting The Environment and Increasing The Sustainability of The Economy. </w:t>
      </w:r>
      <w:r w:rsidRPr="00DB6768">
        <w:rPr>
          <w:rFonts w:ascii="Abadi" w:hAnsi="Abadi"/>
          <w:i/>
          <w:iCs/>
          <w:szCs w:val="24"/>
        </w:rPr>
        <w:t>BIO Web of Conferences</w:t>
      </w:r>
      <w:r w:rsidRPr="00DB6768">
        <w:rPr>
          <w:rFonts w:ascii="Abadi" w:hAnsi="Abadi"/>
          <w:szCs w:val="24"/>
        </w:rPr>
        <w:t xml:space="preserve">, </w:t>
      </w:r>
      <w:r w:rsidRPr="00DB6768">
        <w:rPr>
          <w:rFonts w:ascii="Abadi" w:hAnsi="Abadi"/>
          <w:i/>
          <w:iCs/>
          <w:szCs w:val="24"/>
        </w:rPr>
        <w:t>93</w:t>
      </w:r>
      <w:r w:rsidRPr="00DB6768">
        <w:rPr>
          <w:rFonts w:ascii="Abadi" w:hAnsi="Abadi"/>
          <w:szCs w:val="24"/>
        </w:rPr>
        <w:t>(05012), 1–10. https://doi.org/10.1051/bioconf/20249305012</w:t>
      </w:r>
    </w:p>
    <w:p w14:paraId="572935A7"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Pratama, B. A., &amp; Firmansyah, A. (2024). Pembiayaan Hijau: Akselerasi Pembangunan Berkelanjutan Demi Mencapai Net Zero Emission. </w:t>
      </w:r>
      <w:r w:rsidRPr="00DB6768">
        <w:rPr>
          <w:rFonts w:ascii="Abadi" w:hAnsi="Abadi"/>
          <w:i/>
          <w:iCs/>
          <w:szCs w:val="24"/>
        </w:rPr>
        <w:t>Journal of Law, Administration, and Social Science</w:t>
      </w:r>
      <w:r w:rsidRPr="00DB6768">
        <w:rPr>
          <w:rFonts w:ascii="Abadi" w:hAnsi="Abadi"/>
          <w:szCs w:val="24"/>
        </w:rPr>
        <w:t xml:space="preserve">, </w:t>
      </w:r>
      <w:r w:rsidRPr="00DB6768">
        <w:rPr>
          <w:rFonts w:ascii="Abadi" w:hAnsi="Abadi"/>
          <w:i/>
          <w:iCs/>
          <w:szCs w:val="24"/>
        </w:rPr>
        <w:t>4</w:t>
      </w:r>
      <w:r w:rsidRPr="00DB6768">
        <w:rPr>
          <w:rFonts w:ascii="Abadi" w:hAnsi="Abadi"/>
          <w:szCs w:val="24"/>
        </w:rPr>
        <w:t>(1), 150–160. https://doi.org/10.54957/jolas.v4i1.743</w:t>
      </w:r>
    </w:p>
    <w:p w14:paraId="62FC3AAE"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Purnaweni, H. (2004). Implementasi Kebijakan Lingkungan Di Indonesia: Hambatan Dan Tuntutan. </w:t>
      </w:r>
      <w:r w:rsidRPr="00DB6768">
        <w:rPr>
          <w:rFonts w:ascii="Abadi" w:hAnsi="Abadi"/>
          <w:i/>
          <w:iCs/>
          <w:szCs w:val="24"/>
        </w:rPr>
        <w:t>“Dialogue” JIAKP</w:t>
      </w:r>
      <w:r w:rsidRPr="00DB6768">
        <w:rPr>
          <w:rFonts w:ascii="Abadi" w:hAnsi="Abadi"/>
          <w:szCs w:val="24"/>
        </w:rPr>
        <w:t xml:space="preserve">, </w:t>
      </w:r>
      <w:r w:rsidRPr="00DB6768">
        <w:rPr>
          <w:rFonts w:ascii="Abadi" w:hAnsi="Abadi"/>
          <w:i/>
          <w:iCs/>
          <w:szCs w:val="24"/>
        </w:rPr>
        <w:t>1</w:t>
      </w:r>
      <w:r w:rsidRPr="00DB6768">
        <w:rPr>
          <w:rFonts w:ascii="Abadi" w:hAnsi="Abadi"/>
          <w:szCs w:val="24"/>
        </w:rPr>
        <w:t>, 500–512.</w:t>
      </w:r>
    </w:p>
    <w:p w14:paraId="01641E73"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lastRenderedPageBreak/>
        <w:t xml:space="preserve">Raj, J., Jat, S., Kumar, M., Reema, ., &amp; Yadav, A. (2024). The Role of Organic Farming in Sustainable Agriculture. </w:t>
      </w:r>
      <w:r w:rsidRPr="00DB6768">
        <w:rPr>
          <w:rFonts w:ascii="Abadi" w:hAnsi="Abadi"/>
          <w:i/>
          <w:iCs/>
          <w:szCs w:val="24"/>
        </w:rPr>
        <w:t>Advances in Research</w:t>
      </w:r>
      <w:r w:rsidRPr="00DB6768">
        <w:rPr>
          <w:rFonts w:ascii="Abadi" w:hAnsi="Abadi"/>
          <w:szCs w:val="24"/>
        </w:rPr>
        <w:t xml:space="preserve">, </w:t>
      </w:r>
      <w:r w:rsidRPr="00DB6768">
        <w:rPr>
          <w:rFonts w:ascii="Abadi" w:hAnsi="Abadi"/>
          <w:i/>
          <w:iCs/>
          <w:szCs w:val="24"/>
        </w:rPr>
        <w:t>25</w:t>
      </w:r>
      <w:r w:rsidRPr="00DB6768">
        <w:rPr>
          <w:rFonts w:ascii="Abadi" w:hAnsi="Abadi"/>
          <w:szCs w:val="24"/>
        </w:rPr>
        <w:t>(3), 128–136. https://doi.org/10.9734/air/2024/v25i31058</w:t>
      </w:r>
    </w:p>
    <w:p w14:paraId="78F0D134"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Shershneva, E. G., &amp; Kondyukova, E. S. (2020). Green Banking as a Progressive Format of Financial Activity in Transition to Sustainable Economy. </w:t>
      </w:r>
      <w:r w:rsidRPr="00DB6768">
        <w:rPr>
          <w:rFonts w:ascii="Abadi" w:hAnsi="Abadi"/>
          <w:i/>
          <w:iCs/>
          <w:szCs w:val="24"/>
        </w:rPr>
        <w:t>IOP Conference Series: Materials Science and Engineering</w:t>
      </w:r>
      <w:r w:rsidRPr="00DB6768">
        <w:rPr>
          <w:rFonts w:ascii="Abadi" w:hAnsi="Abadi"/>
          <w:szCs w:val="24"/>
        </w:rPr>
        <w:t xml:space="preserve">, </w:t>
      </w:r>
      <w:r w:rsidRPr="00DB6768">
        <w:rPr>
          <w:rFonts w:ascii="Abadi" w:hAnsi="Abadi"/>
          <w:i/>
          <w:iCs/>
          <w:szCs w:val="24"/>
        </w:rPr>
        <w:t>753</w:t>
      </w:r>
      <w:r w:rsidRPr="00DB6768">
        <w:rPr>
          <w:rFonts w:ascii="Abadi" w:hAnsi="Abadi"/>
          <w:szCs w:val="24"/>
        </w:rPr>
        <w:t>(7). https://doi.org/10.1088/1757-899X/753/7/072003</w:t>
      </w:r>
    </w:p>
    <w:p w14:paraId="4996B745"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Soleha, F., Rizal, M., &amp; Wahyuningtiyas, N. (2024). Pengaruh Green Finance Terhadap Nilai Perusahaan Sektor Infrastruktur Yang Terdaftar Di Bursa Efek Indonesia. </w:t>
      </w:r>
      <w:r w:rsidRPr="00DB6768">
        <w:rPr>
          <w:rFonts w:ascii="Abadi" w:hAnsi="Abadi"/>
          <w:i/>
          <w:iCs/>
          <w:szCs w:val="24"/>
        </w:rPr>
        <w:t>E-Jurnal Riset Manajemen</w:t>
      </w:r>
      <w:r w:rsidRPr="00DB6768">
        <w:rPr>
          <w:rFonts w:ascii="Abadi" w:hAnsi="Abadi"/>
          <w:szCs w:val="24"/>
        </w:rPr>
        <w:t xml:space="preserve">, </w:t>
      </w:r>
      <w:r w:rsidRPr="00DB6768">
        <w:rPr>
          <w:rFonts w:ascii="Abadi" w:hAnsi="Abadi"/>
          <w:i/>
          <w:iCs/>
          <w:szCs w:val="24"/>
        </w:rPr>
        <w:t>13</w:t>
      </w:r>
      <w:r w:rsidRPr="00DB6768">
        <w:rPr>
          <w:rFonts w:ascii="Abadi" w:hAnsi="Abadi"/>
          <w:szCs w:val="24"/>
        </w:rPr>
        <w:t>(01), 627–638.</w:t>
      </w:r>
    </w:p>
    <w:p w14:paraId="3601AF5A"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Sulistiyowati Liliek. (2024). Persepsi Istilah “Green” Dalam Green Financial dan Green Fintech Pada UMKM Bumi Semendung. </w:t>
      </w:r>
      <w:r w:rsidRPr="00DB6768">
        <w:rPr>
          <w:rFonts w:ascii="Abadi" w:hAnsi="Abadi"/>
          <w:i/>
          <w:iCs/>
          <w:szCs w:val="24"/>
        </w:rPr>
        <w:t>Jurnal Pengabdian Masyarakat</w:t>
      </w:r>
      <w:r w:rsidRPr="00DB6768">
        <w:rPr>
          <w:rFonts w:ascii="Abadi" w:hAnsi="Abadi"/>
          <w:szCs w:val="24"/>
        </w:rPr>
        <w:t xml:space="preserve">, </w:t>
      </w:r>
      <w:r w:rsidRPr="00DB6768">
        <w:rPr>
          <w:rFonts w:ascii="Abadi" w:hAnsi="Abadi"/>
          <w:i/>
          <w:iCs/>
          <w:szCs w:val="24"/>
        </w:rPr>
        <w:t>03</w:t>
      </w:r>
      <w:r w:rsidRPr="00DB6768">
        <w:rPr>
          <w:rFonts w:ascii="Abadi" w:hAnsi="Abadi"/>
          <w:szCs w:val="24"/>
        </w:rPr>
        <w:t>(2), 1–13.</w:t>
      </w:r>
    </w:p>
    <w:p w14:paraId="79B0EF00"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Suyatman, U. (2018). Teologi Lingkungan dalam Kearifan Lokal Masyarakat Sunda. </w:t>
      </w:r>
      <w:r w:rsidRPr="00DB6768">
        <w:rPr>
          <w:rFonts w:ascii="Abadi" w:hAnsi="Abadi"/>
          <w:i/>
          <w:iCs/>
          <w:szCs w:val="24"/>
        </w:rPr>
        <w:t>Al-Tsaqafa: Jurnal Ilmiah Peradaban Islam</w:t>
      </w:r>
      <w:r w:rsidRPr="00DB6768">
        <w:rPr>
          <w:rFonts w:ascii="Abadi" w:hAnsi="Abadi"/>
          <w:szCs w:val="24"/>
        </w:rPr>
        <w:t xml:space="preserve">, </w:t>
      </w:r>
      <w:r w:rsidRPr="00DB6768">
        <w:rPr>
          <w:rFonts w:ascii="Abadi" w:hAnsi="Abadi"/>
          <w:i/>
          <w:iCs/>
          <w:szCs w:val="24"/>
        </w:rPr>
        <w:t>15</w:t>
      </w:r>
      <w:r w:rsidRPr="00DB6768">
        <w:rPr>
          <w:rFonts w:ascii="Abadi" w:hAnsi="Abadi"/>
          <w:szCs w:val="24"/>
        </w:rPr>
        <w:t>(1), 77–88. https://doi.org/10.15575/al-tsaqafa.v15i1.3037</w:t>
      </w:r>
    </w:p>
    <w:p w14:paraId="13CDD501"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 xml:space="preserve">Turfboer, J., &amp; Silvius, G. (2021). Start Marketing Your Project; the Relationships of Marketing By the Project With Stakeholder Engagement and Project Success. </w:t>
      </w:r>
      <w:r w:rsidRPr="00DB6768">
        <w:rPr>
          <w:rFonts w:ascii="Abadi" w:hAnsi="Abadi"/>
          <w:i/>
          <w:iCs/>
          <w:szCs w:val="24"/>
        </w:rPr>
        <w:t>Journal of Modern Project Management</w:t>
      </w:r>
      <w:r w:rsidRPr="00DB6768">
        <w:rPr>
          <w:rFonts w:ascii="Abadi" w:hAnsi="Abadi"/>
          <w:szCs w:val="24"/>
        </w:rPr>
        <w:t xml:space="preserve">, </w:t>
      </w:r>
      <w:r w:rsidRPr="00DB6768">
        <w:rPr>
          <w:rFonts w:ascii="Abadi" w:hAnsi="Abadi"/>
          <w:i/>
          <w:iCs/>
          <w:szCs w:val="24"/>
        </w:rPr>
        <w:t>10</w:t>
      </w:r>
      <w:r w:rsidRPr="00DB6768">
        <w:rPr>
          <w:rFonts w:ascii="Abadi" w:hAnsi="Abadi"/>
          <w:szCs w:val="24"/>
        </w:rPr>
        <w:t>(1), 113–127. https://doi.org/10.19255/JMPM02708</w:t>
      </w:r>
    </w:p>
    <w:p w14:paraId="5A714088" w14:textId="77777777" w:rsidR="007C7F73" w:rsidRPr="00DB6768" w:rsidRDefault="007C7F73" w:rsidP="007C7F73">
      <w:pPr>
        <w:widowControl w:val="0"/>
        <w:autoSpaceDE w:val="0"/>
        <w:autoSpaceDN w:val="0"/>
        <w:adjustRightInd w:val="0"/>
        <w:spacing w:line="240" w:lineRule="auto"/>
        <w:ind w:left="480" w:hanging="480"/>
        <w:rPr>
          <w:rFonts w:ascii="Abadi" w:hAnsi="Abadi"/>
          <w:szCs w:val="24"/>
        </w:rPr>
      </w:pPr>
      <w:r w:rsidRPr="00DB6768">
        <w:rPr>
          <w:rFonts w:ascii="Abadi" w:hAnsi="Abadi"/>
          <w:szCs w:val="24"/>
        </w:rPr>
        <w:t>Uluda</w:t>
      </w:r>
      <w:r w:rsidRPr="00DB6768">
        <w:rPr>
          <w:rFonts w:ascii="Calibri" w:hAnsi="Calibri" w:cs="Calibri"/>
          <w:szCs w:val="24"/>
        </w:rPr>
        <w:t>ğ</w:t>
      </w:r>
      <w:r w:rsidRPr="00DB6768">
        <w:rPr>
          <w:rFonts w:ascii="Abadi" w:hAnsi="Abadi"/>
          <w:szCs w:val="24"/>
        </w:rPr>
        <w:t xml:space="preserve">, O. (2020). Transfer of L1 processing strategies to the interpretation of sentence-level L2 input: A cross-linguistic comparison on the resolution of relative clause attachment ambiguities. In </w:t>
      </w:r>
      <w:r w:rsidRPr="00DB6768">
        <w:rPr>
          <w:rFonts w:ascii="Abadi" w:hAnsi="Abadi"/>
          <w:i/>
          <w:iCs/>
          <w:szCs w:val="24"/>
        </w:rPr>
        <w:t>Eurasian Journal of Applied Linguistics</w:t>
      </w:r>
      <w:r w:rsidRPr="00DB6768">
        <w:rPr>
          <w:rFonts w:ascii="Abadi" w:hAnsi="Abadi"/>
          <w:szCs w:val="24"/>
        </w:rPr>
        <w:t xml:space="preserve"> (Vol. 6, Issue 2). https://doi.org/10.32601/ejal.775796</w:t>
      </w:r>
    </w:p>
    <w:p w14:paraId="45C591F3" w14:textId="77777777" w:rsidR="007C7F73" w:rsidRPr="00DB6768" w:rsidRDefault="007C7F73" w:rsidP="007C7F73">
      <w:pPr>
        <w:widowControl w:val="0"/>
        <w:autoSpaceDE w:val="0"/>
        <w:autoSpaceDN w:val="0"/>
        <w:adjustRightInd w:val="0"/>
        <w:spacing w:line="240" w:lineRule="auto"/>
        <w:ind w:left="480" w:hanging="480"/>
        <w:rPr>
          <w:rFonts w:ascii="Abadi" w:hAnsi="Abadi"/>
        </w:rPr>
      </w:pPr>
      <w:r w:rsidRPr="00DB6768">
        <w:rPr>
          <w:rFonts w:ascii="Abadi" w:hAnsi="Abadi"/>
          <w:szCs w:val="24"/>
        </w:rPr>
        <w:t xml:space="preserve">Volz, U., Böhnke, J., Eidt, V., Knierim, L., Richert, K., &amp; Roeber, G. M. (2015). Financing The Green Transformation: How to make Green Finance Work In Indonesia. In </w:t>
      </w:r>
      <w:r w:rsidRPr="00DB6768">
        <w:rPr>
          <w:rFonts w:ascii="Abadi" w:hAnsi="Abadi"/>
          <w:i/>
          <w:iCs/>
          <w:szCs w:val="24"/>
        </w:rPr>
        <w:t>Financing the Green Transformation: How to Make Green Finance Work in Indonesia</w:t>
      </w:r>
      <w:r w:rsidRPr="00DB6768">
        <w:rPr>
          <w:rFonts w:ascii="Abadi" w:hAnsi="Abadi"/>
          <w:szCs w:val="24"/>
        </w:rPr>
        <w:t>. Palgrave Macmillan. https://doi.org/10.1007/978-1-137-48612-7</w:t>
      </w:r>
    </w:p>
    <w:p w14:paraId="764352FA" w14:textId="6B91C944" w:rsidR="00290A7F" w:rsidRPr="00DB6768" w:rsidRDefault="007C7F73" w:rsidP="003D7DAE">
      <w:pPr>
        <w:pStyle w:val="NoSpacing"/>
        <w:ind w:firstLine="0"/>
        <w:rPr>
          <w:rFonts w:ascii="Abadi" w:hAnsi="Abadi" w:cstheme="minorHAnsi"/>
          <w:szCs w:val="24"/>
        </w:rPr>
      </w:pPr>
      <w:r w:rsidRPr="00DB6768">
        <w:rPr>
          <w:rFonts w:ascii="Abadi" w:hAnsi="Abadi" w:cstheme="minorHAnsi"/>
          <w:szCs w:val="24"/>
        </w:rPr>
        <w:fldChar w:fldCharType="end"/>
      </w:r>
    </w:p>
    <w:p w14:paraId="0FD32E72" w14:textId="77777777" w:rsidR="00290A7F" w:rsidRPr="00DB6768" w:rsidRDefault="00290A7F" w:rsidP="003D7DAE">
      <w:pPr>
        <w:pStyle w:val="NoSpacing"/>
        <w:ind w:firstLine="0"/>
        <w:rPr>
          <w:rFonts w:ascii="Abadi" w:hAnsi="Abadi" w:cstheme="minorHAnsi"/>
          <w:szCs w:val="24"/>
        </w:rPr>
      </w:pPr>
    </w:p>
    <w:p w14:paraId="33A97500" w14:textId="77777777" w:rsidR="00290A7F" w:rsidRPr="00DB6768" w:rsidRDefault="00290A7F" w:rsidP="003D7DAE">
      <w:pPr>
        <w:spacing w:line="240" w:lineRule="auto"/>
        <w:ind w:firstLine="0"/>
        <w:rPr>
          <w:rFonts w:ascii="Abadi" w:hAnsi="Abadi" w:cstheme="minorHAnsi"/>
          <w:szCs w:val="24"/>
        </w:rPr>
      </w:pPr>
    </w:p>
    <w:p w14:paraId="06FA5393" w14:textId="77777777" w:rsidR="00290A7F" w:rsidRPr="00DB6768" w:rsidRDefault="00290A7F" w:rsidP="003D7DAE">
      <w:pPr>
        <w:spacing w:line="240" w:lineRule="auto"/>
        <w:rPr>
          <w:rFonts w:ascii="Abadi" w:hAnsi="Abadi" w:cstheme="minorHAnsi"/>
          <w:szCs w:val="24"/>
        </w:rPr>
      </w:pPr>
    </w:p>
    <w:bookmarkEnd w:id="2"/>
    <w:p w14:paraId="685A6F2F" w14:textId="77777777" w:rsidR="00290A7F" w:rsidRPr="00DB6768" w:rsidRDefault="00290A7F" w:rsidP="003D7DAE">
      <w:pPr>
        <w:pStyle w:val="NoSpacing"/>
        <w:ind w:firstLine="0"/>
        <w:rPr>
          <w:rFonts w:ascii="Abadi" w:hAnsi="Abadi" w:cstheme="minorHAnsi"/>
          <w:szCs w:val="24"/>
        </w:rPr>
      </w:pPr>
    </w:p>
    <w:sectPr w:rsidR="00290A7F" w:rsidRPr="00DB6768" w:rsidSect="00290A7F">
      <w:headerReference w:type="even" r:id="rId22"/>
      <w:headerReference w:type="default" r:id="rId23"/>
      <w:footerReference w:type="even" r:id="rId24"/>
      <w:footerReference w:type="default" r:id="rId25"/>
      <w:footerReference w:type="first" r:id="rId26"/>
      <w:endnotePr>
        <w:numFmt w:val="decimal"/>
      </w:endnotePr>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406F9" w14:textId="77777777" w:rsidR="001E7BD3" w:rsidRDefault="001E7BD3">
      <w:pPr>
        <w:spacing w:line="240" w:lineRule="auto"/>
      </w:pPr>
      <w:r>
        <w:separator/>
      </w:r>
    </w:p>
  </w:endnote>
  <w:endnote w:type="continuationSeparator" w:id="0">
    <w:p w14:paraId="31853071" w14:textId="77777777" w:rsidR="001E7BD3" w:rsidRDefault="001E7B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Lustria">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heme="minorHAnsi" w:hAnsiTheme="minorHAnsi" w:cstheme="minorHAnsi"/>
      </w:rPr>
      <w:id w:val="-675654387"/>
      <w:docPartObj>
        <w:docPartGallery w:val="Page Numbers (Bottom of Page)"/>
        <w:docPartUnique/>
      </w:docPartObj>
    </w:sdtPr>
    <w:sdtEndPr>
      <w:rPr>
        <w:rStyle w:val="PageNumber"/>
      </w:rPr>
    </w:sdtEndPr>
    <w:sdtContent>
      <w:p w14:paraId="08861CC5" w14:textId="02F142F2" w:rsidR="00EC3C66" w:rsidRPr="002A3471" w:rsidRDefault="00EC3C66" w:rsidP="002A3471">
        <w:pPr>
          <w:pStyle w:val="Footer"/>
          <w:framePr w:wrap="none" w:vAnchor="text" w:hAnchor="margin" w:xAlign="outside" w:y="1"/>
          <w:jc w:val="right"/>
          <w:rPr>
            <w:rStyle w:val="PageNumber"/>
            <w:rFonts w:asciiTheme="minorHAnsi" w:hAnsiTheme="minorHAnsi" w:cstheme="minorHAnsi"/>
          </w:rPr>
        </w:pPr>
        <w:r w:rsidRPr="002A3471">
          <w:rPr>
            <w:rStyle w:val="PageNumber"/>
            <w:rFonts w:asciiTheme="minorHAnsi" w:hAnsiTheme="minorHAnsi" w:cstheme="minorHAnsi"/>
          </w:rPr>
          <w:fldChar w:fldCharType="begin"/>
        </w:r>
        <w:r w:rsidRPr="002A3471">
          <w:rPr>
            <w:rStyle w:val="PageNumber"/>
            <w:rFonts w:asciiTheme="minorHAnsi" w:hAnsiTheme="minorHAnsi" w:cstheme="minorHAnsi"/>
          </w:rPr>
          <w:instrText xml:space="preserve"> PAGE </w:instrText>
        </w:r>
        <w:r w:rsidRPr="002A3471">
          <w:rPr>
            <w:rStyle w:val="PageNumber"/>
            <w:rFonts w:asciiTheme="minorHAnsi" w:hAnsiTheme="minorHAnsi" w:cstheme="minorHAnsi"/>
          </w:rPr>
          <w:fldChar w:fldCharType="separate"/>
        </w:r>
        <w:r w:rsidRPr="002A3471">
          <w:rPr>
            <w:rStyle w:val="PageNumber"/>
            <w:rFonts w:asciiTheme="minorHAnsi" w:hAnsiTheme="minorHAnsi" w:cstheme="minorHAnsi"/>
          </w:rPr>
          <w:t>16</w:t>
        </w:r>
        <w:r w:rsidRPr="002A3471">
          <w:rPr>
            <w:rStyle w:val="PageNumber"/>
            <w:rFonts w:asciiTheme="minorHAnsi" w:hAnsiTheme="minorHAnsi" w:cstheme="minorHAnsi"/>
          </w:rPr>
          <w:fldChar w:fldCharType="end"/>
        </w:r>
      </w:p>
    </w:sdtContent>
  </w:sdt>
  <w:p w14:paraId="45A0FF42" w14:textId="77777777" w:rsidR="00EC3C66" w:rsidRPr="004B55E4" w:rsidRDefault="00EC3C66" w:rsidP="002A3471">
    <w:pPr>
      <w:pStyle w:val="Footer"/>
      <w:framePr w:wrap="none" w:vAnchor="text" w:hAnchor="margin" w:xAlign="outside" w:y="1"/>
      <w:ind w:right="360" w:firstLine="360"/>
      <w:rPr>
        <w:rStyle w:val="PageNumber"/>
        <w:rFonts w:ascii="Franklin Gothic Medium" w:hAnsi="Franklin Gothic Medium"/>
        <w:sz w:val="20"/>
        <w:szCs w:val="20"/>
      </w:rPr>
    </w:pPr>
  </w:p>
  <w:p w14:paraId="4C6D5C3F" w14:textId="77777777" w:rsidR="00EC3C66" w:rsidRPr="004B55E4" w:rsidRDefault="00EC3C66" w:rsidP="002438B9">
    <w:pPr>
      <w:pStyle w:val="Footer"/>
      <w:ind w:right="360" w:firstLine="0"/>
      <w:rPr>
        <w:rFonts w:ascii="Franklin Gothic Medium" w:hAnsi="Franklin Gothic Medium"/>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7A2A5" w14:textId="77777777" w:rsidR="00EC3C66" w:rsidRPr="002A3471" w:rsidRDefault="00EC3C66" w:rsidP="002A3471">
    <w:pPr>
      <w:pStyle w:val="Footer"/>
      <w:framePr w:wrap="none" w:vAnchor="text" w:hAnchor="margin" w:xAlign="outside" w:y="1"/>
      <w:rPr>
        <w:rStyle w:val="PageNumber"/>
        <w:rFonts w:asciiTheme="minorHAnsi" w:hAnsiTheme="minorHAnsi" w:cstheme="minorHAnsi"/>
        <w:szCs w:val="24"/>
      </w:rPr>
    </w:pPr>
    <w:r w:rsidRPr="002A3471">
      <w:rPr>
        <w:rStyle w:val="PageNumber"/>
        <w:rFonts w:asciiTheme="minorHAnsi" w:hAnsiTheme="minorHAnsi" w:cstheme="minorHAnsi"/>
        <w:szCs w:val="24"/>
      </w:rPr>
      <w:fldChar w:fldCharType="begin"/>
    </w:r>
    <w:r w:rsidRPr="002A3471">
      <w:rPr>
        <w:rStyle w:val="PageNumber"/>
        <w:rFonts w:asciiTheme="minorHAnsi" w:hAnsiTheme="minorHAnsi" w:cstheme="minorHAnsi"/>
        <w:szCs w:val="24"/>
      </w:rPr>
      <w:instrText xml:space="preserve"> PAGE </w:instrText>
    </w:r>
    <w:r w:rsidRPr="002A3471">
      <w:rPr>
        <w:rStyle w:val="PageNumber"/>
        <w:rFonts w:asciiTheme="minorHAnsi" w:hAnsiTheme="minorHAnsi" w:cstheme="minorHAnsi"/>
        <w:szCs w:val="24"/>
      </w:rPr>
      <w:fldChar w:fldCharType="separate"/>
    </w:r>
    <w:r w:rsidRPr="002A3471">
      <w:rPr>
        <w:rStyle w:val="PageNumber"/>
        <w:rFonts w:asciiTheme="minorHAnsi" w:hAnsiTheme="minorHAnsi" w:cstheme="minorHAnsi"/>
        <w:szCs w:val="24"/>
      </w:rPr>
      <w:t>15</w:t>
    </w:r>
    <w:r w:rsidRPr="002A3471">
      <w:rPr>
        <w:rStyle w:val="PageNumber"/>
        <w:rFonts w:asciiTheme="minorHAnsi" w:hAnsiTheme="minorHAnsi" w:cstheme="minorHAnsi"/>
        <w:szCs w:val="24"/>
      </w:rPr>
      <w:fldChar w:fldCharType="end"/>
    </w:r>
  </w:p>
  <w:p w14:paraId="17074B51" w14:textId="77777777" w:rsidR="00EC3C66" w:rsidRPr="004B55E4" w:rsidRDefault="00EC3C66" w:rsidP="002438B9">
    <w:pPr>
      <w:pStyle w:val="Footer"/>
      <w:ind w:right="360"/>
      <w:rPr>
        <w:rFonts w:ascii="Franklin Gothic Medium" w:hAnsi="Franklin Gothic Mediu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82134" w14:textId="77777777" w:rsidR="00EC3C66" w:rsidRPr="00584F17" w:rsidRDefault="00EC3C66" w:rsidP="002438B9">
    <w:pPr>
      <w:pStyle w:val="NoSpacing"/>
      <w:ind w:firstLine="0"/>
      <w:rPr>
        <w:rFonts w:ascii="Candara" w:hAnsi="Candara"/>
        <w:sz w:val="20"/>
        <w:szCs w:val="20"/>
        <w:lang w:val="id-ID"/>
      </w:rPr>
    </w:pPr>
    <w:bookmarkStart w:id="10" w:name="_Hlk523872978"/>
    <w:r w:rsidRPr="00584F17">
      <w:rPr>
        <w:rFonts w:ascii="Candara" w:hAnsi="Candara"/>
        <w:sz w:val="20"/>
        <w:szCs w:val="20"/>
        <w:lang w:val="id-ID"/>
      </w:rPr>
      <w:t>____________________</w:t>
    </w:r>
  </w:p>
  <w:p w14:paraId="05CE833D" w14:textId="77777777" w:rsidR="00EC3C66" w:rsidRPr="00584F17" w:rsidRDefault="00EC3C66" w:rsidP="002438B9">
    <w:pPr>
      <w:pStyle w:val="NoSpacing"/>
      <w:ind w:firstLine="0"/>
      <w:jc w:val="left"/>
      <w:rPr>
        <w:rFonts w:ascii="Candara" w:hAnsi="Candara"/>
        <w:b/>
        <w:color w:val="4472C4" w:themeColor="accent1"/>
        <w:sz w:val="20"/>
        <w:szCs w:val="20"/>
        <w:lang w:val="id-ID"/>
      </w:rPr>
    </w:pPr>
    <w:r w:rsidRPr="00584F17">
      <w:rPr>
        <w:rFonts w:ascii="Candara" w:hAnsi="Candara"/>
        <w:b/>
        <w:color w:val="ED7D31" w:themeColor="accent2"/>
        <w:sz w:val="20"/>
        <w:szCs w:val="20"/>
        <w:lang w:val="id-ID"/>
      </w:rPr>
      <w:t>Korespodensi</w:t>
    </w:r>
    <w:r w:rsidRPr="00584F17">
      <w:rPr>
        <w:rFonts w:ascii="Candara" w:hAnsi="Candara"/>
        <w:b/>
        <w:color w:val="4472C4" w:themeColor="accent1"/>
        <w:sz w:val="20"/>
        <w:szCs w:val="20"/>
        <w:lang w:val="id-ID"/>
      </w:rPr>
      <w:t>:</w:t>
    </w:r>
  </w:p>
  <w:bookmarkEnd w:id="10"/>
  <w:p w14:paraId="3A5F0CA5" w14:textId="2C2484C6" w:rsidR="00EC3C66" w:rsidRDefault="00B208F4" w:rsidP="00BA6B29">
    <w:pPr>
      <w:spacing w:line="240" w:lineRule="auto"/>
      <w:ind w:firstLine="0"/>
      <w:rPr>
        <w:rFonts w:ascii="Candara" w:hAnsi="Candara"/>
        <w:sz w:val="20"/>
        <w:szCs w:val="20"/>
      </w:rPr>
    </w:pPr>
    <w:r>
      <w:rPr>
        <w:rFonts w:ascii="Candara" w:hAnsi="Candara"/>
        <w:sz w:val="20"/>
        <w:szCs w:val="20"/>
      </w:rPr>
      <w:t>Nama jurusan/prodi/departemen/ lembaga, disusul dengan alamat lengkap lembaga hingga kode pos.</w:t>
    </w:r>
  </w:p>
  <w:p w14:paraId="720B3E32" w14:textId="040A39CB" w:rsidR="00EC3C66" w:rsidRPr="00584F17" w:rsidRDefault="00EC3C66" w:rsidP="00BA6B29">
    <w:pPr>
      <w:spacing w:line="240" w:lineRule="auto"/>
      <w:ind w:firstLine="0"/>
      <w:rPr>
        <w:rFonts w:ascii="Candara" w:hAnsi="Candara"/>
      </w:rPr>
    </w:pPr>
    <w:r>
      <w:rPr>
        <w:rFonts w:ascii="Candara" w:hAnsi="Candara"/>
        <w:sz w:val="20"/>
        <w:szCs w:val="20"/>
      </w:rPr>
      <w:t xml:space="preserve">Email: </w:t>
    </w:r>
    <w:r w:rsidR="00B208F4" w:rsidRPr="00B208F4">
      <w:rPr>
        <w:rFonts w:ascii="Candara" w:hAnsi="Candara"/>
        <w:sz w:val="20"/>
        <w:szCs w:val="20"/>
      </w:rPr>
      <w:t>email dari pihak korespodensi/ yang mensubmit artikel.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592EA" w14:textId="77777777" w:rsidR="001E7BD3" w:rsidRDefault="001E7BD3">
      <w:pPr>
        <w:spacing w:line="240" w:lineRule="auto"/>
      </w:pPr>
      <w:r>
        <w:separator/>
      </w:r>
    </w:p>
  </w:footnote>
  <w:footnote w:type="continuationSeparator" w:id="0">
    <w:p w14:paraId="0305FD9D" w14:textId="77777777" w:rsidR="001E7BD3" w:rsidRDefault="001E7B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B8E1D" w14:textId="5D15D5A0" w:rsidR="00EC3C66" w:rsidRPr="00E01191" w:rsidRDefault="00EC3C66" w:rsidP="00E01191">
    <w:pPr>
      <w:pStyle w:val="HeaderJurnalyangakanterbit"/>
      <w:jc w:val="left"/>
      <w:rPr>
        <w:rFonts w:ascii="Avenir Book" w:eastAsia="Times New Roman" w:hAnsi="Avenir Book"/>
        <w:b/>
        <w:bCs/>
        <w:sz w:val="18"/>
        <w:szCs w:val="18"/>
      </w:rPr>
    </w:pPr>
    <w:r>
      <w:rPr>
        <w:rFonts w:ascii="Avenir Book" w:hAnsi="Avenir Book"/>
        <w:b/>
        <w:bCs/>
        <w:sz w:val="18"/>
        <w:szCs w:val="18"/>
      </w:rPr>
      <mc:AlternateContent>
        <mc:Choice Requires="wps">
          <w:drawing>
            <wp:anchor distT="0" distB="0" distL="114300" distR="114300" simplePos="0" relativeHeight="251659264" behindDoc="0" locked="0" layoutInCell="1" allowOverlap="1" wp14:anchorId="2FF8CF1B" wp14:editId="06708E58">
              <wp:simplePos x="0" y="0"/>
              <wp:positionH relativeFrom="column">
                <wp:posOffset>1276350</wp:posOffset>
              </wp:positionH>
              <wp:positionV relativeFrom="paragraph">
                <wp:posOffset>0</wp:posOffset>
              </wp:positionV>
              <wp:extent cx="0" cy="149087"/>
              <wp:effectExtent l="12700" t="0" r="12700" b="16510"/>
              <wp:wrapNone/>
              <wp:docPr id="13" name="Straight Connector 13"/>
              <wp:cNvGraphicFramePr/>
              <a:graphic xmlns:a="http://schemas.openxmlformats.org/drawingml/2006/main">
                <a:graphicData uri="http://schemas.microsoft.com/office/word/2010/wordprocessingShape">
                  <wps:wsp>
                    <wps:cNvCnPr/>
                    <wps:spPr>
                      <a:xfrm>
                        <a:off x="0" y="0"/>
                        <a:ext cx="0" cy="149087"/>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27ABA040" id="Straight Connector 1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5pt,0" to="10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" strokecolor="#ed7d31 [3205]" strokeweight="2.25pt">
              <v:stroke joinstyle="miter"/>
            </v:line>
          </w:pict>
        </mc:Fallback>
      </mc:AlternateContent>
    </w:r>
    <w:r w:rsidR="00582CA4">
      <w:rPr>
        <w:rFonts w:ascii="Avenir Book" w:eastAsia="Times New Roman" w:hAnsi="Avenir Book"/>
        <w:b/>
        <w:bCs/>
        <w:sz w:val="18"/>
        <w:szCs w:val="18"/>
      </w:rPr>
      <w:t>Nama-nama tim penulis</w:t>
    </w:r>
    <w:r w:rsidRPr="00E01191">
      <w:rPr>
        <w:rFonts w:ascii="Avenir Book" w:eastAsia="Times New Roman" w:hAnsi="Avenir Book"/>
        <w:b/>
        <w:bCs/>
        <w:sz w:val="18"/>
        <w:szCs w:val="18"/>
      </w:rPr>
      <w:t xml:space="preserve">  </w:t>
    </w:r>
    <w:r>
      <w:rPr>
        <w:rFonts w:ascii="Avenir Book" w:eastAsia="Times New Roman" w:hAnsi="Avenir Book"/>
        <w:b/>
        <w:bCs/>
        <w:sz w:val="18"/>
        <w:szCs w:val="18"/>
      </w:rPr>
      <w:t xml:space="preserve">  </w:t>
    </w:r>
    <w:r w:rsidR="00582CA4">
      <w:rPr>
        <w:rFonts w:ascii="Avenir Book" w:eastAsia="Times New Roman" w:hAnsi="Avenir Book"/>
        <w:b/>
        <w:bCs/>
        <w:i/>
        <w:iCs/>
        <w:sz w:val="18"/>
        <w:szCs w:val="18"/>
      </w:rPr>
      <w:t>Judul artikel lengkap</w:t>
    </w:r>
    <w:r w:rsidRPr="00E01191">
      <w:rPr>
        <w:rFonts w:ascii="Avenir Book" w:eastAsia="Times New Roman" w:hAnsi="Avenir Book"/>
        <w:b/>
        <w:bCs/>
        <w:sz w:val="18"/>
        <w:szCs w:val="18"/>
      </w:rPr>
      <w:t xml:space="preserve"> </w:t>
    </w:r>
  </w:p>
  <w:p w14:paraId="65AF705F" w14:textId="6EC539FA" w:rsidR="00EC3C66" w:rsidRPr="009A30EB" w:rsidRDefault="00EC3C66" w:rsidP="00E01191">
    <w:pPr>
      <w:pStyle w:val="Header"/>
      <w:ind w:firstLine="0"/>
      <w:rPr>
        <w:rFonts w:ascii="Franklin Gothic Medium Cond" w:eastAsia="Franklin Gothic Medium Cond"/>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9DD8" w14:textId="5CD473EC" w:rsidR="00EC3C66" w:rsidRPr="00E01191" w:rsidRDefault="00EC3C66" w:rsidP="002438B9">
    <w:pPr>
      <w:pStyle w:val="HeaderJurnalyangakanterbit"/>
      <w:rPr>
        <w:rFonts w:ascii="Avenir Book" w:hAnsi="Avenir Book"/>
        <w:b/>
        <w:bCs/>
        <w:sz w:val="18"/>
        <w:szCs w:val="18"/>
      </w:rPr>
    </w:pPr>
    <w:bookmarkStart w:id="8" w:name="_Hlk524862847"/>
    <w:bookmarkStart w:id="9" w:name="_Hlk524862848"/>
    <w:r w:rsidRPr="00E01191">
      <w:rPr>
        <w:rFonts w:ascii="Avenir Book" w:hAnsi="Avenir Book"/>
        <w:b/>
        <w:bCs/>
        <w:sz w:val="18"/>
        <w:szCs w:val="18"/>
      </w:rPr>
      <w:t xml:space="preserve">JIIP: Jurnal Ilmiah Ilmu Pemerintahan </w:t>
    </w:r>
    <w:r w:rsidR="00582CA4">
      <w:rPr>
        <w:rFonts w:ascii="Avenir Book" w:hAnsi="Avenir Book"/>
        <w:b/>
        <w:bCs/>
        <w:sz w:val="18"/>
        <w:szCs w:val="18"/>
      </w:rPr>
      <w:t>x</w:t>
    </w:r>
    <w:r w:rsidRPr="00E01191">
      <w:rPr>
        <w:rFonts w:ascii="Avenir Book" w:hAnsi="Avenir Book"/>
        <w:b/>
        <w:bCs/>
        <w:sz w:val="18"/>
        <w:szCs w:val="18"/>
      </w:rPr>
      <w:t>(</w:t>
    </w:r>
    <w:r w:rsidR="00582CA4">
      <w:rPr>
        <w:rFonts w:ascii="Avenir Book" w:hAnsi="Avenir Book"/>
        <w:b/>
        <w:bCs/>
        <w:sz w:val="18"/>
        <w:szCs w:val="18"/>
      </w:rPr>
      <w:t>x</w:t>
    </w:r>
    <w:r w:rsidRPr="00E01191">
      <w:rPr>
        <w:rFonts w:ascii="Avenir Book" w:hAnsi="Avenir Book"/>
        <w:b/>
        <w:bCs/>
        <w:sz w:val="18"/>
        <w:szCs w:val="18"/>
      </w:rPr>
      <w:t>), 20</w:t>
    </w:r>
    <w:bookmarkEnd w:id="8"/>
    <w:bookmarkEnd w:id="9"/>
    <w:r w:rsidRPr="00E01191">
      <w:rPr>
        <w:rFonts w:ascii="Avenir Book" w:hAnsi="Avenir Book"/>
        <w:b/>
        <w:bCs/>
        <w:sz w:val="18"/>
        <w:szCs w:val="18"/>
      </w:rPr>
      <w:t>2</w:t>
    </w:r>
    <w:r w:rsidR="00582CA4">
      <w:rPr>
        <w:rFonts w:ascii="Avenir Book" w:hAnsi="Avenir Book"/>
        <w:b/>
        <w:bCs/>
        <w:sz w:val="18"/>
        <w:szCs w:val="18"/>
      </w:rPr>
      <w:t>x</w:t>
    </w:r>
  </w:p>
  <w:p w14:paraId="119659BD" w14:textId="77777777" w:rsidR="00EC3C66" w:rsidRPr="009A30EB" w:rsidRDefault="00EC3C66" w:rsidP="002438B9">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00FB"/>
    <w:multiLevelType w:val="hybridMultilevel"/>
    <w:tmpl w:val="9D5651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5F0C72"/>
    <w:multiLevelType w:val="hybridMultilevel"/>
    <w:tmpl w:val="65EC7D32"/>
    <w:lvl w:ilvl="0" w:tplc="31D63C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333885"/>
    <w:multiLevelType w:val="hybridMultilevel"/>
    <w:tmpl w:val="30A21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BE76DC"/>
    <w:multiLevelType w:val="hybridMultilevel"/>
    <w:tmpl w:val="CE88D2D0"/>
    <w:lvl w:ilvl="0" w:tplc="A88ECC1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F512419"/>
    <w:multiLevelType w:val="hybridMultilevel"/>
    <w:tmpl w:val="A5648FB6"/>
    <w:lvl w:ilvl="0" w:tplc="C99CEF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7254706"/>
    <w:multiLevelType w:val="hybridMultilevel"/>
    <w:tmpl w:val="C0BEC180"/>
    <w:lvl w:ilvl="0" w:tplc="73F05F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98377B"/>
    <w:multiLevelType w:val="hybridMultilevel"/>
    <w:tmpl w:val="BA807586"/>
    <w:lvl w:ilvl="0" w:tplc="841EE2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464E07"/>
    <w:multiLevelType w:val="hybridMultilevel"/>
    <w:tmpl w:val="AE825CB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6F4A49FB"/>
    <w:multiLevelType w:val="hybridMultilevel"/>
    <w:tmpl w:val="A7888806"/>
    <w:lvl w:ilvl="0" w:tplc="0809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3"/>
  </w:num>
  <w:num w:numId="4">
    <w:abstractNumId w:val="8"/>
  </w:num>
  <w:num w:numId="5">
    <w:abstractNumId w:val="6"/>
  </w:num>
  <w:num w:numId="6">
    <w:abstractNumId w:val="0"/>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9B3"/>
    <w:rsid w:val="00005F5A"/>
    <w:rsid w:val="00063246"/>
    <w:rsid w:val="000822BA"/>
    <w:rsid w:val="00094A05"/>
    <w:rsid w:val="000B4A2C"/>
    <w:rsid w:val="000C08DB"/>
    <w:rsid w:val="000C6D6D"/>
    <w:rsid w:val="000D23AB"/>
    <w:rsid w:val="000D58DD"/>
    <w:rsid w:val="000D6C00"/>
    <w:rsid w:val="00100793"/>
    <w:rsid w:val="001022D3"/>
    <w:rsid w:val="00113D94"/>
    <w:rsid w:val="001759C8"/>
    <w:rsid w:val="00180A88"/>
    <w:rsid w:val="00186BE4"/>
    <w:rsid w:val="001B3064"/>
    <w:rsid w:val="001E0EEA"/>
    <w:rsid w:val="001E52D4"/>
    <w:rsid w:val="001E7BD3"/>
    <w:rsid w:val="001F192D"/>
    <w:rsid w:val="00231893"/>
    <w:rsid w:val="00241BF0"/>
    <w:rsid w:val="002438B9"/>
    <w:rsid w:val="00246CFA"/>
    <w:rsid w:val="00253630"/>
    <w:rsid w:val="002541C3"/>
    <w:rsid w:val="0027045F"/>
    <w:rsid w:val="0027132A"/>
    <w:rsid w:val="00290A7F"/>
    <w:rsid w:val="00291C31"/>
    <w:rsid w:val="002975EC"/>
    <w:rsid w:val="002A3471"/>
    <w:rsid w:val="002B1E7C"/>
    <w:rsid w:val="002C375B"/>
    <w:rsid w:val="002E6601"/>
    <w:rsid w:val="002F5B7E"/>
    <w:rsid w:val="00310614"/>
    <w:rsid w:val="00321434"/>
    <w:rsid w:val="00324936"/>
    <w:rsid w:val="00335D02"/>
    <w:rsid w:val="00340042"/>
    <w:rsid w:val="00350B31"/>
    <w:rsid w:val="00360822"/>
    <w:rsid w:val="003757F4"/>
    <w:rsid w:val="003A22DD"/>
    <w:rsid w:val="003A47F3"/>
    <w:rsid w:val="003B6262"/>
    <w:rsid w:val="003B6DB8"/>
    <w:rsid w:val="003B6EC2"/>
    <w:rsid w:val="003D1B9D"/>
    <w:rsid w:val="003D2C4E"/>
    <w:rsid w:val="003D7DAE"/>
    <w:rsid w:val="003F6CD7"/>
    <w:rsid w:val="004168FD"/>
    <w:rsid w:val="00444EE5"/>
    <w:rsid w:val="00457139"/>
    <w:rsid w:val="0046565A"/>
    <w:rsid w:val="00466381"/>
    <w:rsid w:val="00471F53"/>
    <w:rsid w:val="00486FA0"/>
    <w:rsid w:val="004978CB"/>
    <w:rsid w:val="004A7147"/>
    <w:rsid w:val="004C057F"/>
    <w:rsid w:val="004C57EC"/>
    <w:rsid w:val="004D2BF6"/>
    <w:rsid w:val="00505F31"/>
    <w:rsid w:val="005468E2"/>
    <w:rsid w:val="00550A3A"/>
    <w:rsid w:val="005524E0"/>
    <w:rsid w:val="00576EAF"/>
    <w:rsid w:val="0058189C"/>
    <w:rsid w:val="00582CA4"/>
    <w:rsid w:val="005929A2"/>
    <w:rsid w:val="005A4030"/>
    <w:rsid w:val="005A71A2"/>
    <w:rsid w:val="005B67AA"/>
    <w:rsid w:val="005D5E90"/>
    <w:rsid w:val="005F1C89"/>
    <w:rsid w:val="005F4784"/>
    <w:rsid w:val="005F7FBF"/>
    <w:rsid w:val="00602516"/>
    <w:rsid w:val="00611FB9"/>
    <w:rsid w:val="00621C44"/>
    <w:rsid w:val="00645090"/>
    <w:rsid w:val="006565D1"/>
    <w:rsid w:val="00657BDC"/>
    <w:rsid w:val="00660E45"/>
    <w:rsid w:val="00682587"/>
    <w:rsid w:val="006B3F52"/>
    <w:rsid w:val="006C0E1B"/>
    <w:rsid w:val="006C219B"/>
    <w:rsid w:val="006C42C1"/>
    <w:rsid w:val="006E1B8A"/>
    <w:rsid w:val="006E4EE3"/>
    <w:rsid w:val="00703479"/>
    <w:rsid w:val="0071210D"/>
    <w:rsid w:val="00723ECD"/>
    <w:rsid w:val="00763280"/>
    <w:rsid w:val="0077177C"/>
    <w:rsid w:val="00772CEB"/>
    <w:rsid w:val="0077502C"/>
    <w:rsid w:val="007A245A"/>
    <w:rsid w:val="007A3CA2"/>
    <w:rsid w:val="007C128A"/>
    <w:rsid w:val="007C7F73"/>
    <w:rsid w:val="007E0CD3"/>
    <w:rsid w:val="007E59CB"/>
    <w:rsid w:val="008008AC"/>
    <w:rsid w:val="00811ECC"/>
    <w:rsid w:val="00826A6B"/>
    <w:rsid w:val="00827C2B"/>
    <w:rsid w:val="008403A8"/>
    <w:rsid w:val="00842305"/>
    <w:rsid w:val="008455ED"/>
    <w:rsid w:val="00862597"/>
    <w:rsid w:val="00863E2E"/>
    <w:rsid w:val="00867E59"/>
    <w:rsid w:val="008752BF"/>
    <w:rsid w:val="008A2299"/>
    <w:rsid w:val="008A3340"/>
    <w:rsid w:val="008A58BE"/>
    <w:rsid w:val="008B3D43"/>
    <w:rsid w:val="008F72A8"/>
    <w:rsid w:val="00912FBA"/>
    <w:rsid w:val="0092453B"/>
    <w:rsid w:val="009409B3"/>
    <w:rsid w:val="009416B4"/>
    <w:rsid w:val="00965057"/>
    <w:rsid w:val="00990575"/>
    <w:rsid w:val="00992ACD"/>
    <w:rsid w:val="00995B39"/>
    <w:rsid w:val="00996814"/>
    <w:rsid w:val="00996D79"/>
    <w:rsid w:val="009A0555"/>
    <w:rsid w:val="009A2AD6"/>
    <w:rsid w:val="009B0CA0"/>
    <w:rsid w:val="009E4301"/>
    <w:rsid w:val="00A27059"/>
    <w:rsid w:val="00A502AC"/>
    <w:rsid w:val="00A51827"/>
    <w:rsid w:val="00A7674C"/>
    <w:rsid w:val="00A92623"/>
    <w:rsid w:val="00A9561D"/>
    <w:rsid w:val="00A97538"/>
    <w:rsid w:val="00A97A7F"/>
    <w:rsid w:val="00AC2576"/>
    <w:rsid w:val="00AD228D"/>
    <w:rsid w:val="00AE478D"/>
    <w:rsid w:val="00B06727"/>
    <w:rsid w:val="00B1344E"/>
    <w:rsid w:val="00B16E44"/>
    <w:rsid w:val="00B208F4"/>
    <w:rsid w:val="00B22B7A"/>
    <w:rsid w:val="00B30AD5"/>
    <w:rsid w:val="00B465CE"/>
    <w:rsid w:val="00B71F43"/>
    <w:rsid w:val="00B80C82"/>
    <w:rsid w:val="00BA0099"/>
    <w:rsid w:val="00BA6B29"/>
    <w:rsid w:val="00BB48CD"/>
    <w:rsid w:val="00BB7707"/>
    <w:rsid w:val="00BF06C5"/>
    <w:rsid w:val="00BF3C59"/>
    <w:rsid w:val="00C03986"/>
    <w:rsid w:val="00C05148"/>
    <w:rsid w:val="00C23DE6"/>
    <w:rsid w:val="00C36C5B"/>
    <w:rsid w:val="00C508D3"/>
    <w:rsid w:val="00C50BE5"/>
    <w:rsid w:val="00C557CD"/>
    <w:rsid w:val="00C624AD"/>
    <w:rsid w:val="00C6584C"/>
    <w:rsid w:val="00C86682"/>
    <w:rsid w:val="00CC2B89"/>
    <w:rsid w:val="00CD2CE5"/>
    <w:rsid w:val="00D01EDF"/>
    <w:rsid w:val="00D02DCA"/>
    <w:rsid w:val="00D44401"/>
    <w:rsid w:val="00D4665D"/>
    <w:rsid w:val="00D52C57"/>
    <w:rsid w:val="00D60B4A"/>
    <w:rsid w:val="00D86B12"/>
    <w:rsid w:val="00D87EDA"/>
    <w:rsid w:val="00DB6768"/>
    <w:rsid w:val="00DC1EF9"/>
    <w:rsid w:val="00DC1F35"/>
    <w:rsid w:val="00DC4959"/>
    <w:rsid w:val="00DD17DE"/>
    <w:rsid w:val="00DD2D16"/>
    <w:rsid w:val="00DF02B7"/>
    <w:rsid w:val="00DF590F"/>
    <w:rsid w:val="00E01191"/>
    <w:rsid w:val="00E033EC"/>
    <w:rsid w:val="00E04C31"/>
    <w:rsid w:val="00E24D37"/>
    <w:rsid w:val="00E3252F"/>
    <w:rsid w:val="00E61027"/>
    <w:rsid w:val="00E621D2"/>
    <w:rsid w:val="00E72DA4"/>
    <w:rsid w:val="00E93845"/>
    <w:rsid w:val="00EA2718"/>
    <w:rsid w:val="00EC2086"/>
    <w:rsid w:val="00EC3C66"/>
    <w:rsid w:val="00EE7E84"/>
    <w:rsid w:val="00EF1492"/>
    <w:rsid w:val="00EF1D6B"/>
    <w:rsid w:val="00F00761"/>
    <w:rsid w:val="00F11FE2"/>
    <w:rsid w:val="00F36DD0"/>
    <w:rsid w:val="00F56EAB"/>
    <w:rsid w:val="00F77F79"/>
    <w:rsid w:val="00F90311"/>
    <w:rsid w:val="00F912A4"/>
    <w:rsid w:val="00F94057"/>
    <w:rsid w:val="00F941A2"/>
    <w:rsid w:val="00FB4684"/>
    <w:rsid w:val="00FD0EE2"/>
    <w:rsid w:val="00FD7AAB"/>
    <w:rsid w:val="00FF23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8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9B3"/>
    <w:pPr>
      <w:spacing w:line="480" w:lineRule="auto"/>
      <w:ind w:firstLine="851"/>
      <w:jc w:val="both"/>
    </w:pPr>
    <w:rPr>
      <w:rFonts w:ascii="Times New Roman" w:eastAsia="Times New Roman" w:hAnsi="Times New Roman" w:cs="Times New Roman"/>
      <w:noProof/>
      <w:szCs w:val="22"/>
      <w:lang w:val="en-US"/>
    </w:rPr>
  </w:style>
  <w:style w:type="paragraph" w:styleId="Heading1">
    <w:name w:val="heading 1"/>
    <w:basedOn w:val="Normal"/>
    <w:next w:val="Normal"/>
    <w:link w:val="Heading1Char"/>
    <w:uiPriority w:val="9"/>
    <w:qFormat/>
    <w:rsid w:val="002438B9"/>
    <w:pPr>
      <w:keepNext/>
      <w:keepLines/>
      <w:spacing w:before="240" w:line="259" w:lineRule="auto"/>
      <w:ind w:firstLine="0"/>
      <w:jc w:val="left"/>
      <w:outlineLvl w:val="0"/>
    </w:pPr>
    <w:rPr>
      <w:rFonts w:asciiTheme="majorHAnsi" w:eastAsiaTheme="majorEastAsia" w:hAnsiTheme="majorHAnsi" w:cstheme="majorBidi"/>
      <w:noProof w:val="0"/>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09B3"/>
    <w:pPr>
      <w:ind w:firstLine="851"/>
      <w:jc w:val="both"/>
    </w:pPr>
    <w:rPr>
      <w:rFonts w:ascii="Times New Roman" w:eastAsia="Times New Roman" w:hAnsi="Times New Roman" w:cs="Times New Roman"/>
      <w:noProof/>
      <w:szCs w:val="22"/>
      <w:lang w:val="en-US"/>
    </w:rPr>
  </w:style>
  <w:style w:type="paragraph" w:customStyle="1" w:styleId="Default">
    <w:name w:val="Default"/>
    <w:uiPriority w:val="99"/>
    <w:qFormat/>
    <w:rsid w:val="009409B3"/>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409B3"/>
    <w:pPr>
      <w:tabs>
        <w:tab w:val="center" w:pos="4680"/>
        <w:tab w:val="right" w:pos="9360"/>
      </w:tabs>
      <w:spacing w:line="240" w:lineRule="auto"/>
    </w:pPr>
  </w:style>
  <w:style w:type="character" w:customStyle="1" w:styleId="HeaderChar">
    <w:name w:val="Header Char"/>
    <w:basedOn w:val="DefaultParagraphFont"/>
    <w:link w:val="Header"/>
    <w:uiPriority w:val="99"/>
    <w:rsid w:val="009409B3"/>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9409B3"/>
    <w:pPr>
      <w:tabs>
        <w:tab w:val="center" w:pos="4680"/>
        <w:tab w:val="right" w:pos="9360"/>
      </w:tabs>
      <w:spacing w:line="240" w:lineRule="auto"/>
    </w:pPr>
  </w:style>
  <w:style w:type="character" w:customStyle="1" w:styleId="FooterChar">
    <w:name w:val="Footer Char"/>
    <w:basedOn w:val="DefaultParagraphFont"/>
    <w:link w:val="Footer"/>
    <w:uiPriority w:val="99"/>
    <w:rsid w:val="009409B3"/>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9409B3"/>
    <w:rPr>
      <w:rFonts w:cs="Times New Roman"/>
    </w:rPr>
  </w:style>
  <w:style w:type="paragraph" w:customStyle="1" w:styleId="FormatPendahuluan">
    <w:name w:val="Format Pendahuluan"/>
    <w:basedOn w:val="NoSpacing"/>
    <w:qFormat/>
    <w:rsid w:val="009409B3"/>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9409B3"/>
    <w:pPr>
      <w:ind w:firstLine="0"/>
      <w:jc w:val="right"/>
    </w:pPr>
    <w:rPr>
      <w:rFonts w:ascii="Franklin Gothic Medium Cond" w:eastAsia="Franklin Gothic Medium Cond"/>
      <w:sz w:val="20"/>
      <w:szCs w:val="20"/>
    </w:rPr>
  </w:style>
  <w:style w:type="character" w:customStyle="1" w:styleId="Heading1Char">
    <w:name w:val="Heading 1 Char"/>
    <w:basedOn w:val="DefaultParagraphFont"/>
    <w:link w:val="Heading1"/>
    <w:uiPriority w:val="9"/>
    <w:rsid w:val="002438B9"/>
    <w:rPr>
      <w:rFonts w:asciiTheme="majorHAnsi" w:eastAsiaTheme="majorEastAsia" w:hAnsiTheme="majorHAnsi" w:cstheme="majorBidi"/>
      <w:color w:val="2F5496" w:themeColor="accent1" w:themeShade="BF"/>
      <w:sz w:val="32"/>
      <w:szCs w:val="32"/>
      <w:lang w:val="en-US"/>
    </w:rPr>
  </w:style>
  <w:style w:type="character" w:customStyle="1" w:styleId="FootnoteTextChar">
    <w:name w:val="Footnote Text Char"/>
    <w:basedOn w:val="DefaultParagraphFont"/>
    <w:link w:val="FootnoteText"/>
    <w:uiPriority w:val="99"/>
    <w:semiHidden/>
    <w:qFormat/>
    <w:rsid w:val="002438B9"/>
    <w:rPr>
      <w:sz w:val="20"/>
      <w:szCs w:val="20"/>
      <w:lang w:val="en-US"/>
    </w:rPr>
  </w:style>
  <w:style w:type="paragraph" w:styleId="FootnoteText">
    <w:name w:val="footnote text"/>
    <w:basedOn w:val="Normal"/>
    <w:link w:val="FootnoteTextChar"/>
    <w:uiPriority w:val="99"/>
    <w:semiHidden/>
    <w:unhideWhenUsed/>
    <w:qFormat/>
    <w:rsid w:val="002438B9"/>
    <w:pPr>
      <w:spacing w:line="240" w:lineRule="auto"/>
      <w:ind w:firstLine="0"/>
      <w:jc w:val="left"/>
    </w:pPr>
    <w:rPr>
      <w:rFonts w:asciiTheme="minorHAnsi" w:eastAsiaTheme="minorHAnsi" w:hAnsiTheme="minorHAnsi" w:cstheme="minorBidi"/>
      <w:noProof w:val="0"/>
      <w:sz w:val="20"/>
      <w:szCs w:val="20"/>
    </w:rPr>
  </w:style>
  <w:style w:type="character" w:customStyle="1" w:styleId="EndnoteTextChar">
    <w:name w:val="Endnote Text Char"/>
    <w:basedOn w:val="DefaultParagraphFont"/>
    <w:link w:val="EndnoteText"/>
    <w:uiPriority w:val="99"/>
    <w:semiHidden/>
    <w:rsid w:val="002438B9"/>
    <w:rPr>
      <w:sz w:val="20"/>
      <w:szCs w:val="20"/>
      <w:lang w:val="en-US"/>
    </w:rPr>
  </w:style>
  <w:style w:type="paragraph" w:styleId="EndnoteText">
    <w:name w:val="endnote text"/>
    <w:basedOn w:val="Normal"/>
    <w:link w:val="EndnoteTextChar"/>
    <w:uiPriority w:val="99"/>
    <w:semiHidden/>
    <w:unhideWhenUsed/>
    <w:rsid w:val="002438B9"/>
    <w:pPr>
      <w:spacing w:line="240" w:lineRule="auto"/>
      <w:ind w:firstLine="0"/>
      <w:jc w:val="left"/>
    </w:pPr>
    <w:rPr>
      <w:rFonts w:asciiTheme="minorHAnsi" w:eastAsiaTheme="minorHAnsi" w:hAnsiTheme="minorHAnsi" w:cstheme="minorBidi"/>
      <w:noProof w:val="0"/>
      <w:sz w:val="20"/>
      <w:szCs w:val="20"/>
    </w:rPr>
  </w:style>
  <w:style w:type="table" w:styleId="TableGrid">
    <w:name w:val="Table Grid"/>
    <w:basedOn w:val="TableNormal"/>
    <w:uiPriority w:val="39"/>
    <w:rsid w:val="005468E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6B29"/>
    <w:rPr>
      <w:color w:val="0563C1" w:themeColor="hyperlink"/>
      <w:u w:val="single"/>
    </w:rPr>
  </w:style>
  <w:style w:type="character" w:styleId="CommentReference">
    <w:name w:val="annotation reference"/>
    <w:basedOn w:val="DefaultParagraphFont"/>
    <w:uiPriority w:val="99"/>
    <w:semiHidden/>
    <w:unhideWhenUsed/>
    <w:rsid w:val="00F56EAB"/>
    <w:rPr>
      <w:sz w:val="16"/>
      <w:szCs w:val="16"/>
    </w:rPr>
  </w:style>
  <w:style w:type="paragraph" w:styleId="CommentText">
    <w:name w:val="annotation text"/>
    <w:basedOn w:val="Normal"/>
    <w:link w:val="CommentTextChar"/>
    <w:uiPriority w:val="99"/>
    <w:semiHidden/>
    <w:unhideWhenUsed/>
    <w:rsid w:val="00F56EAB"/>
    <w:pPr>
      <w:spacing w:line="240" w:lineRule="auto"/>
    </w:pPr>
    <w:rPr>
      <w:sz w:val="20"/>
      <w:szCs w:val="20"/>
    </w:rPr>
  </w:style>
  <w:style w:type="character" w:customStyle="1" w:styleId="CommentTextChar">
    <w:name w:val="Comment Text Char"/>
    <w:basedOn w:val="DefaultParagraphFont"/>
    <w:link w:val="CommentText"/>
    <w:uiPriority w:val="99"/>
    <w:semiHidden/>
    <w:rsid w:val="00F56EAB"/>
    <w:rPr>
      <w:rFonts w:ascii="Times New Roman" w:eastAsia="Times New Roman" w:hAnsi="Times New Roman"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F56EAB"/>
    <w:rPr>
      <w:b/>
      <w:bCs/>
    </w:rPr>
  </w:style>
  <w:style w:type="character" w:customStyle="1" w:styleId="CommentSubjectChar">
    <w:name w:val="Comment Subject Char"/>
    <w:basedOn w:val="CommentTextChar"/>
    <w:link w:val="CommentSubject"/>
    <w:uiPriority w:val="99"/>
    <w:semiHidden/>
    <w:rsid w:val="00F56EAB"/>
    <w:rPr>
      <w:rFonts w:ascii="Times New Roman" w:eastAsia="Times New Roman" w:hAnsi="Times New Roman" w:cs="Times New Roman"/>
      <w:b/>
      <w:bCs/>
      <w:noProof/>
      <w:sz w:val="20"/>
      <w:szCs w:val="20"/>
      <w:lang w:val="en-US"/>
    </w:rPr>
  </w:style>
  <w:style w:type="paragraph" w:styleId="BalloonText">
    <w:name w:val="Balloon Text"/>
    <w:basedOn w:val="Normal"/>
    <w:link w:val="BalloonTextChar"/>
    <w:uiPriority w:val="99"/>
    <w:semiHidden/>
    <w:unhideWhenUsed/>
    <w:rsid w:val="00F56E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EAB"/>
    <w:rPr>
      <w:rFonts w:ascii="Tahoma" w:eastAsia="Times New Roman" w:hAnsi="Tahoma" w:cs="Tahoma"/>
      <w:noProof/>
      <w:sz w:val="16"/>
      <w:szCs w:val="16"/>
      <w:lang w:val="en-US"/>
    </w:rPr>
  </w:style>
  <w:style w:type="character" w:customStyle="1" w:styleId="NoSpacingChar">
    <w:name w:val="No Spacing Char"/>
    <w:basedOn w:val="DefaultParagraphFont"/>
    <w:link w:val="NoSpacing"/>
    <w:uiPriority w:val="1"/>
    <w:rsid w:val="00826A6B"/>
    <w:rPr>
      <w:rFonts w:ascii="Times New Roman" w:eastAsia="Times New Roman" w:hAnsi="Times New Roman" w:cs="Times New Roman"/>
      <w:noProof/>
      <w:szCs w:val="22"/>
      <w:lang w:val="en-US"/>
    </w:rPr>
  </w:style>
  <w:style w:type="character" w:styleId="FootnoteReference">
    <w:name w:val="footnote reference"/>
    <w:basedOn w:val="DefaultParagraphFont"/>
    <w:uiPriority w:val="99"/>
    <w:semiHidden/>
    <w:unhideWhenUsed/>
    <w:qFormat/>
    <w:rsid w:val="009A2AD6"/>
    <w:rPr>
      <w:vertAlign w:val="superscript"/>
    </w:rPr>
  </w:style>
  <w:style w:type="paragraph" w:styleId="Caption">
    <w:name w:val="caption"/>
    <w:basedOn w:val="Normal"/>
    <w:next w:val="Normal"/>
    <w:uiPriority w:val="35"/>
    <w:unhideWhenUsed/>
    <w:qFormat/>
    <w:rsid w:val="0092453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EEB4BFB-F7BA-477A-A082-9EFC1DCB4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17409</Words>
  <Characters>99237</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2021-03-29T05:35:00Z</dcterms:created>
  <dcterms:modified xsi:type="dcterms:W3CDTF">2025-05-25T16:00:00Z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f609b4cb-97d3-3f3b-b827-cea384ff50f6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