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98A8C0" w14:textId="05B9A01F" w:rsidR="008E6C80" w:rsidRDefault="00774F3B">
      <w:pPr>
        <w:spacing w:after="0" w:line="240" w:lineRule="auto"/>
        <w:ind w:left="1" w:hanging="3"/>
        <w:jc w:val="center"/>
        <w:rPr>
          <w:rFonts w:ascii="Times New Roman" w:eastAsia="Times New Roman" w:hAnsi="Times New Roman" w:cs="Times New Roman"/>
          <w:sz w:val="32"/>
          <w:szCs w:val="32"/>
        </w:rPr>
      </w:pPr>
      <w:r>
        <w:rPr>
          <w:rFonts w:ascii="Times New Roman" w:eastAsia="Times New Roman" w:hAnsi="Times New Roman" w:cs="Times New Roman"/>
          <w:b/>
          <w:sz w:val="32"/>
          <w:szCs w:val="32"/>
        </w:rPr>
        <w:t xml:space="preserve">Rapid PCR-RFLP </w:t>
      </w:r>
      <w:r w:rsidR="007251A4">
        <w:rPr>
          <w:rFonts w:ascii="Times New Roman" w:eastAsia="Times New Roman" w:hAnsi="Times New Roman" w:cs="Times New Roman"/>
          <w:b/>
          <w:sz w:val="32"/>
          <w:szCs w:val="32"/>
        </w:rPr>
        <w:t xml:space="preserve">Screening of </w:t>
      </w:r>
      <w:r w:rsidR="00B271CF" w:rsidRPr="00B271CF">
        <w:rPr>
          <w:rFonts w:ascii="Times New Roman" w:eastAsia="Times New Roman" w:hAnsi="Times New Roman" w:cs="Times New Roman"/>
          <w:b/>
          <w:i/>
          <w:iCs/>
          <w:sz w:val="32"/>
          <w:szCs w:val="32"/>
        </w:rPr>
        <w:t>CYP21A2</w:t>
      </w:r>
      <w:r w:rsidR="007251A4">
        <w:rPr>
          <w:rFonts w:ascii="Times New Roman" w:eastAsia="Times New Roman" w:hAnsi="Times New Roman" w:cs="Times New Roman"/>
          <w:b/>
          <w:i/>
          <w:iCs/>
          <w:sz w:val="32"/>
          <w:szCs w:val="32"/>
        </w:rPr>
        <w:t xml:space="preserve"> </w:t>
      </w:r>
      <w:r w:rsidR="007251A4">
        <w:rPr>
          <w:rFonts w:ascii="Times New Roman" w:eastAsia="Times New Roman" w:hAnsi="Times New Roman" w:cs="Times New Roman"/>
          <w:b/>
          <w:sz w:val="32"/>
          <w:szCs w:val="32"/>
        </w:rPr>
        <w:t>Variants</w:t>
      </w:r>
      <w:r w:rsidR="00B271CF">
        <w:rPr>
          <w:rFonts w:ascii="Times New Roman" w:eastAsia="Times New Roman" w:hAnsi="Times New Roman" w:cs="Times New Roman"/>
          <w:b/>
          <w:sz w:val="32"/>
          <w:szCs w:val="32"/>
        </w:rPr>
        <w:t xml:space="preserve">: </w:t>
      </w:r>
      <w:r w:rsidR="00141C9A">
        <w:rPr>
          <w:rFonts w:ascii="Times New Roman" w:eastAsia="Times New Roman" w:hAnsi="Times New Roman" w:cs="Times New Roman"/>
          <w:b/>
          <w:sz w:val="32"/>
          <w:szCs w:val="32"/>
        </w:rPr>
        <w:t>Bridging Molecular Diagnos</w:t>
      </w:r>
      <w:r w:rsidR="00B136DC">
        <w:rPr>
          <w:rFonts w:ascii="Times New Roman" w:eastAsia="Times New Roman" w:hAnsi="Times New Roman" w:cs="Times New Roman"/>
          <w:b/>
          <w:sz w:val="32"/>
          <w:szCs w:val="32"/>
        </w:rPr>
        <w:t>t</w:t>
      </w:r>
      <w:r w:rsidR="00141C9A">
        <w:rPr>
          <w:rFonts w:ascii="Times New Roman" w:eastAsia="Times New Roman" w:hAnsi="Times New Roman" w:cs="Times New Roman"/>
          <w:b/>
          <w:sz w:val="32"/>
          <w:szCs w:val="32"/>
        </w:rPr>
        <w:t>i</w:t>
      </w:r>
      <w:r w:rsidR="00B136DC">
        <w:rPr>
          <w:rFonts w:ascii="Times New Roman" w:eastAsia="Times New Roman" w:hAnsi="Times New Roman" w:cs="Times New Roman"/>
          <w:b/>
          <w:sz w:val="32"/>
          <w:szCs w:val="32"/>
        </w:rPr>
        <w:t>c</w:t>
      </w:r>
      <w:r w:rsidR="00141C9A">
        <w:rPr>
          <w:rFonts w:ascii="Times New Roman" w:eastAsia="Times New Roman" w:hAnsi="Times New Roman" w:cs="Times New Roman"/>
          <w:b/>
          <w:sz w:val="32"/>
          <w:szCs w:val="32"/>
        </w:rPr>
        <w:t xml:space="preserve">s in </w:t>
      </w:r>
      <w:r w:rsidR="00336665">
        <w:rPr>
          <w:rFonts w:ascii="Times New Roman" w:eastAsia="Times New Roman" w:hAnsi="Times New Roman" w:cs="Times New Roman"/>
          <w:b/>
          <w:sz w:val="32"/>
          <w:szCs w:val="32"/>
        </w:rPr>
        <w:t xml:space="preserve">a </w:t>
      </w:r>
      <w:r w:rsidR="00141C9A">
        <w:rPr>
          <w:rFonts w:ascii="Times New Roman" w:eastAsia="Times New Roman" w:hAnsi="Times New Roman" w:cs="Times New Roman"/>
          <w:b/>
          <w:sz w:val="32"/>
          <w:szCs w:val="32"/>
        </w:rPr>
        <w:t xml:space="preserve">Low-Resource </w:t>
      </w:r>
      <w:r w:rsidR="00336665">
        <w:rPr>
          <w:rFonts w:ascii="Times New Roman" w:eastAsia="Times New Roman" w:hAnsi="Times New Roman" w:cs="Times New Roman"/>
          <w:b/>
          <w:sz w:val="32"/>
          <w:szCs w:val="32"/>
        </w:rPr>
        <w:t>Setting</w:t>
      </w:r>
    </w:p>
    <w:p w14:paraId="77C21098" w14:textId="433BC3B0" w:rsidR="00D969A7" w:rsidRPr="00425D82" w:rsidRDefault="00AA287F">
      <w:pPr>
        <w:spacing w:after="0" w:line="240" w:lineRule="auto"/>
        <w:ind w:left="0" w:hanging="2"/>
        <w:jc w:val="center"/>
        <w:rPr>
          <w:rFonts w:ascii="Times New Roman" w:eastAsia="Times New Roman" w:hAnsi="Times New Roman" w:cs="Times New Roman"/>
        </w:rPr>
      </w:pPr>
      <w:r w:rsidRPr="00425D82">
        <w:rPr>
          <w:rFonts w:ascii="Times New Roman" w:eastAsia="Times New Roman" w:hAnsi="Times New Roman" w:cs="Times New Roman"/>
        </w:rPr>
        <w:t>Irene Astrid Larasati</w:t>
      </w:r>
      <w:r w:rsidR="007D4F1E" w:rsidRPr="00425D82">
        <w:rPr>
          <w:rFonts w:ascii="Times New Roman" w:eastAsia="Times New Roman" w:hAnsi="Times New Roman" w:cs="Times New Roman"/>
          <w:vertAlign w:val="superscript"/>
        </w:rPr>
        <w:t>1</w:t>
      </w:r>
      <w:r w:rsidRPr="00425D82">
        <w:rPr>
          <w:rFonts w:ascii="Times New Roman" w:eastAsia="Times New Roman" w:hAnsi="Times New Roman" w:cs="Times New Roman"/>
        </w:rPr>
        <w:t xml:space="preserve">, </w:t>
      </w:r>
      <w:r w:rsidR="007D4F1E" w:rsidRPr="00425D82">
        <w:rPr>
          <w:rFonts w:ascii="Times New Roman" w:eastAsia="Times New Roman" w:hAnsi="Times New Roman" w:cs="Times New Roman"/>
        </w:rPr>
        <w:t>Nani Maharani</w:t>
      </w:r>
      <w:r w:rsidR="00A6651A" w:rsidRPr="00425D82">
        <w:rPr>
          <w:rFonts w:ascii="Times New Roman" w:eastAsia="Times New Roman" w:hAnsi="Times New Roman" w:cs="Times New Roman"/>
          <w:vertAlign w:val="superscript"/>
        </w:rPr>
        <w:t>2</w:t>
      </w:r>
      <w:r w:rsidR="00AA52FC">
        <w:rPr>
          <w:rFonts w:ascii="Times New Roman" w:eastAsia="Times New Roman" w:hAnsi="Times New Roman" w:cs="Times New Roman"/>
          <w:vertAlign w:val="superscript"/>
        </w:rPr>
        <w:t>,4</w:t>
      </w:r>
      <w:r w:rsidR="007D4F1E" w:rsidRPr="00425D82">
        <w:rPr>
          <w:rFonts w:ascii="Times New Roman" w:eastAsia="Times New Roman" w:hAnsi="Times New Roman" w:cs="Times New Roman"/>
        </w:rPr>
        <w:t xml:space="preserve">, </w:t>
      </w:r>
      <w:proofErr w:type="spellStart"/>
      <w:r w:rsidR="007D4F1E" w:rsidRPr="00425D82">
        <w:rPr>
          <w:rFonts w:ascii="Times New Roman" w:eastAsia="Times New Roman" w:hAnsi="Times New Roman" w:cs="Times New Roman"/>
        </w:rPr>
        <w:t>Agustini</w:t>
      </w:r>
      <w:proofErr w:type="spellEnd"/>
      <w:r w:rsidR="007D4F1E" w:rsidRPr="00425D82">
        <w:rPr>
          <w:rFonts w:ascii="Times New Roman" w:eastAsia="Times New Roman" w:hAnsi="Times New Roman" w:cs="Times New Roman"/>
        </w:rPr>
        <w:t xml:space="preserve"> Utari</w:t>
      </w:r>
      <w:r w:rsidR="00A6651A" w:rsidRPr="00425D82">
        <w:rPr>
          <w:rFonts w:ascii="Times New Roman" w:eastAsia="Times New Roman" w:hAnsi="Times New Roman" w:cs="Times New Roman"/>
          <w:vertAlign w:val="superscript"/>
        </w:rPr>
        <w:t>3</w:t>
      </w:r>
      <w:r w:rsidR="00AA52FC">
        <w:rPr>
          <w:rFonts w:ascii="Times New Roman" w:eastAsia="Times New Roman" w:hAnsi="Times New Roman" w:cs="Times New Roman"/>
          <w:vertAlign w:val="superscript"/>
        </w:rPr>
        <w:t>,4</w:t>
      </w:r>
      <w:r w:rsidR="007D4F1E" w:rsidRPr="00425D82">
        <w:rPr>
          <w:rFonts w:ascii="Times New Roman" w:eastAsia="Times New Roman" w:hAnsi="Times New Roman" w:cs="Times New Roman"/>
        </w:rPr>
        <w:t>, Tri Indah Winarni</w:t>
      </w:r>
      <w:r w:rsidR="00A6651A" w:rsidRPr="00425D82">
        <w:rPr>
          <w:rFonts w:ascii="Times New Roman" w:eastAsia="Times New Roman" w:hAnsi="Times New Roman" w:cs="Times New Roman"/>
          <w:vertAlign w:val="superscript"/>
        </w:rPr>
        <w:t>4*</w:t>
      </w:r>
    </w:p>
    <w:p w14:paraId="45E609F7" w14:textId="076BFAA1" w:rsidR="00D063A5" w:rsidRDefault="00D063A5" w:rsidP="00425D82">
      <w:pPr>
        <w:spacing w:after="0" w:line="240" w:lineRule="auto"/>
        <w:ind w:left="0" w:hanging="2"/>
        <w:jc w:val="both"/>
        <w:rPr>
          <w:rFonts w:ascii="Times New Roman" w:eastAsia="Times New Roman" w:hAnsi="Times New Roman" w:cs="Times New Roman"/>
          <w:sz w:val="20"/>
          <w:szCs w:val="20"/>
        </w:rPr>
      </w:pPr>
      <w:r w:rsidRPr="00724357">
        <w:rPr>
          <w:rFonts w:ascii="Times New Roman" w:eastAsia="Times New Roman" w:hAnsi="Times New Roman" w:cs="Times New Roman"/>
          <w:sz w:val="20"/>
          <w:szCs w:val="20"/>
          <w:vertAlign w:val="superscript"/>
        </w:rPr>
        <w:t>1</w:t>
      </w:r>
      <w:r w:rsidR="00724357" w:rsidRPr="00724357">
        <w:rPr>
          <w:rFonts w:ascii="Times New Roman" w:eastAsia="Times New Roman" w:hAnsi="Times New Roman" w:cs="Times New Roman"/>
          <w:sz w:val="20"/>
          <w:szCs w:val="20"/>
        </w:rPr>
        <w:t>Magister of Biomedical Science Majoring in Genetic Counseling Program</w:t>
      </w:r>
      <w:r w:rsidRPr="00724357">
        <w:rPr>
          <w:rFonts w:ascii="Times New Roman" w:eastAsia="Times New Roman" w:hAnsi="Times New Roman" w:cs="Times New Roman"/>
          <w:sz w:val="20"/>
          <w:szCs w:val="20"/>
        </w:rPr>
        <w:t xml:space="preserve">, </w:t>
      </w:r>
      <w:r w:rsidRPr="00D063A5">
        <w:rPr>
          <w:rFonts w:ascii="Times New Roman" w:eastAsia="Times New Roman" w:hAnsi="Times New Roman" w:cs="Times New Roman"/>
          <w:sz w:val="20"/>
          <w:szCs w:val="20"/>
        </w:rPr>
        <w:t xml:space="preserve">Faculty of Medicine </w:t>
      </w:r>
      <w:proofErr w:type="spellStart"/>
      <w:r w:rsidRPr="00D063A5">
        <w:rPr>
          <w:rFonts w:ascii="Times New Roman" w:eastAsia="Times New Roman" w:hAnsi="Times New Roman" w:cs="Times New Roman"/>
          <w:sz w:val="20"/>
          <w:szCs w:val="20"/>
        </w:rPr>
        <w:t>Universitas</w:t>
      </w:r>
      <w:proofErr w:type="spellEnd"/>
      <w:r w:rsidRPr="00D063A5">
        <w:rPr>
          <w:rFonts w:ascii="Times New Roman" w:eastAsia="Times New Roman" w:hAnsi="Times New Roman" w:cs="Times New Roman"/>
          <w:sz w:val="20"/>
          <w:szCs w:val="20"/>
        </w:rPr>
        <w:t xml:space="preserve"> </w:t>
      </w:r>
      <w:proofErr w:type="spellStart"/>
      <w:r w:rsidRPr="00D063A5">
        <w:rPr>
          <w:rFonts w:ascii="Times New Roman" w:eastAsia="Times New Roman" w:hAnsi="Times New Roman" w:cs="Times New Roman"/>
          <w:sz w:val="20"/>
          <w:szCs w:val="20"/>
        </w:rPr>
        <w:t>Diponegoro</w:t>
      </w:r>
      <w:proofErr w:type="spellEnd"/>
      <w:r w:rsidRPr="00D063A5">
        <w:rPr>
          <w:rFonts w:ascii="Times New Roman" w:eastAsia="Times New Roman" w:hAnsi="Times New Roman" w:cs="Times New Roman"/>
          <w:sz w:val="20"/>
          <w:szCs w:val="20"/>
        </w:rPr>
        <w:t>, Semarang, Indonesia</w:t>
      </w:r>
      <w:r w:rsidR="00675992">
        <w:rPr>
          <w:rFonts w:ascii="Times New Roman" w:eastAsia="Times New Roman" w:hAnsi="Times New Roman" w:cs="Times New Roman"/>
          <w:sz w:val="20"/>
          <w:szCs w:val="20"/>
        </w:rPr>
        <w:t>.</w:t>
      </w:r>
    </w:p>
    <w:p w14:paraId="4FC252F0" w14:textId="4032401A" w:rsidR="00D063A5" w:rsidRPr="00D063A5" w:rsidRDefault="00D063A5" w:rsidP="00425D82">
      <w:pPr>
        <w:spacing w:after="0" w:line="240" w:lineRule="auto"/>
        <w:ind w:left="0" w:hanging="2"/>
        <w:jc w:val="both"/>
        <w:rPr>
          <w:rFonts w:ascii="Times New Roman" w:eastAsia="Times New Roman" w:hAnsi="Times New Roman" w:cs="Times New Roman"/>
          <w:sz w:val="20"/>
          <w:szCs w:val="20"/>
        </w:rPr>
      </w:pPr>
      <w:r w:rsidRPr="00425D82">
        <w:rPr>
          <w:rFonts w:ascii="Times New Roman" w:eastAsia="Times New Roman" w:hAnsi="Times New Roman" w:cs="Times New Roman"/>
          <w:sz w:val="20"/>
          <w:szCs w:val="20"/>
          <w:vertAlign w:val="superscript"/>
        </w:rPr>
        <w:t>2</w:t>
      </w:r>
      <w:r w:rsidR="00675992" w:rsidRPr="00675992">
        <w:rPr>
          <w:rFonts w:ascii="Times New Roman" w:eastAsia="Times New Roman" w:hAnsi="Times New Roman" w:cs="Times New Roman"/>
          <w:sz w:val="20"/>
          <w:szCs w:val="20"/>
        </w:rPr>
        <w:t xml:space="preserve">Department of Pharmacology and Therapy, Faculty of Medicine, </w:t>
      </w:r>
      <w:proofErr w:type="spellStart"/>
      <w:r w:rsidR="00675992" w:rsidRPr="00675992">
        <w:rPr>
          <w:rFonts w:ascii="Times New Roman" w:eastAsia="Times New Roman" w:hAnsi="Times New Roman" w:cs="Times New Roman"/>
          <w:sz w:val="20"/>
          <w:szCs w:val="20"/>
        </w:rPr>
        <w:t>Universitas</w:t>
      </w:r>
      <w:proofErr w:type="spellEnd"/>
      <w:r w:rsidR="00675992" w:rsidRPr="00675992">
        <w:rPr>
          <w:rFonts w:ascii="Times New Roman" w:eastAsia="Times New Roman" w:hAnsi="Times New Roman" w:cs="Times New Roman"/>
          <w:sz w:val="20"/>
          <w:szCs w:val="20"/>
        </w:rPr>
        <w:t xml:space="preserve"> </w:t>
      </w:r>
      <w:proofErr w:type="spellStart"/>
      <w:r w:rsidR="00675992" w:rsidRPr="00675992">
        <w:rPr>
          <w:rFonts w:ascii="Times New Roman" w:eastAsia="Times New Roman" w:hAnsi="Times New Roman" w:cs="Times New Roman"/>
          <w:sz w:val="20"/>
          <w:szCs w:val="20"/>
        </w:rPr>
        <w:t>Diponegoro</w:t>
      </w:r>
      <w:proofErr w:type="spellEnd"/>
      <w:r w:rsidR="00675992" w:rsidRPr="00675992">
        <w:rPr>
          <w:rFonts w:ascii="Times New Roman" w:eastAsia="Times New Roman" w:hAnsi="Times New Roman" w:cs="Times New Roman"/>
          <w:sz w:val="20"/>
          <w:szCs w:val="20"/>
        </w:rPr>
        <w:t>, Semarang, Indonesia</w:t>
      </w:r>
      <w:r w:rsidR="00675992">
        <w:rPr>
          <w:rFonts w:ascii="Times New Roman" w:eastAsia="Times New Roman" w:hAnsi="Times New Roman" w:cs="Times New Roman"/>
          <w:sz w:val="20"/>
          <w:szCs w:val="20"/>
        </w:rPr>
        <w:t>.</w:t>
      </w:r>
    </w:p>
    <w:p w14:paraId="25193095" w14:textId="50C6F3CF" w:rsidR="00D063A5" w:rsidRPr="00D063A5" w:rsidRDefault="00D063A5" w:rsidP="00425D82">
      <w:pPr>
        <w:spacing w:after="0" w:line="240" w:lineRule="auto"/>
        <w:ind w:left="0" w:hanging="2"/>
        <w:jc w:val="both"/>
        <w:rPr>
          <w:rFonts w:ascii="Times New Roman" w:eastAsia="Times New Roman" w:hAnsi="Times New Roman" w:cs="Times New Roman"/>
          <w:sz w:val="20"/>
          <w:szCs w:val="20"/>
        </w:rPr>
      </w:pPr>
      <w:bookmarkStart w:id="0" w:name="_GoBack"/>
      <w:r w:rsidRPr="00425D82">
        <w:rPr>
          <w:rFonts w:ascii="Times New Roman" w:eastAsia="Times New Roman" w:hAnsi="Times New Roman" w:cs="Times New Roman"/>
          <w:sz w:val="20"/>
          <w:szCs w:val="20"/>
          <w:vertAlign w:val="superscript"/>
        </w:rPr>
        <w:t>3</w:t>
      </w:r>
      <w:r w:rsidRPr="00D063A5">
        <w:rPr>
          <w:rFonts w:ascii="Times New Roman" w:eastAsia="Times New Roman" w:hAnsi="Times New Roman" w:cs="Times New Roman"/>
          <w:sz w:val="20"/>
          <w:szCs w:val="20"/>
        </w:rPr>
        <w:t xml:space="preserve">Department of Pediatrics, Division of Pediatric Endocrinology, Faculty of Medicine </w:t>
      </w:r>
      <w:proofErr w:type="spellStart"/>
      <w:r w:rsidRPr="00D063A5">
        <w:rPr>
          <w:rFonts w:ascii="Times New Roman" w:eastAsia="Times New Roman" w:hAnsi="Times New Roman" w:cs="Times New Roman"/>
          <w:sz w:val="20"/>
          <w:szCs w:val="20"/>
        </w:rPr>
        <w:t>Universitas</w:t>
      </w:r>
      <w:proofErr w:type="spellEnd"/>
      <w:r w:rsidRPr="00D063A5">
        <w:rPr>
          <w:rFonts w:ascii="Times New Roman" w:eastAsia="Times New Roman" w:hAnsi="Times New Roman" w:cs="Times New Roman"/>
          <w:sz w:val="20"/>
          <w:szCs w:val="20"/>
        </w:rPr>
        <w:t xml:space="preserve"> </w:t>
      </w:r>
      <w:proofErr w:type="spellStart"/>
      <w:r w:rsidRPr="00D063A5">
        <w:rPr>
          <w:rFonts w:ascii="Times New Roman" w:eastAsia="Times New Roman" w:hAnsi="Times New Roman" w:cs="Times New Roman"/>
          <w:sz w:val="20"/>
          <w:szCs w:val="20"/>
        </w:rPr>
        <w:t>Diponegoro</w:t>
      </w:r>
      <w:proofErr w:type="spellEnd"/>
      <w:r w:rsidRPr="00D063A5">
        <w:rPr>
          <w:rFonts w:ascii="Times New Roman" w:eastAsia="Times New Roman" w:hAnsi="Times New Roman" w:cs="Times New Roman"/>
          <w:sz w:val="20"/>
          <w:szCs w:val="20"/>
        </w:rPr>
        <w:t>, Semarang, Indonesia.</w:t>
      </w:r>
    </w:p>
    <w:p w14:paraId="353A6F75" w14:textId="0D4A6654" w:rsidR="007D4F1E" w:rsidRDefault="00D063A5" w:rsidP="00425D82">
      <w:pPr>
        <w:spacing w:after="0" w:line="240" w:lineRule="auto"/>
        <w:ind w:left="0" w:hanging="2"/>
        <w:jc w:val="both"/>
        <w:rPr>
          <w:rFonts w:ascii="Times New Roman" w:eastAsia="Times New Roman" w:hAnsi="Times New Roman" w:cs="Times New Roman"/>
          <w:sz w:val="20"/>
          <w:szCs w:val="20"/>
        </w:rPr>
      </w:pPr>
      <w:r w:rsidRPr="00425D82">
        <w:rPr>
          <w:rFonts w:ascii="Times New Roman" w:eastAsia="Times New Roman" w:hAnsi="Times New Roman" w:cs="Times New Roman"/>
          <w:sz w:val="20"/>
          <w:szCs w:val="20"/>
          <w:vertAlign w:val="superscript"/>
        </w:rPr>
        <w:t>4</w:t>
      </w:r>
      <w:r w:rsidRPr="00D063A5">
        <w:rPr>
          <w:rFonts w:ascii="Times New Roman" w:eastAsia="Times New Roman" w:hAnsi="Times New Roman" w:cs="Times New Roman"/>
          <w:sz w:val="20"/>
          <w:szCs w:val="20"/>
        </w:rPr>
        <w:t xml:space="preserve">Center for Biomedical Research, Faculty of Medicine </w:t>
      </w:r>
      <w:proofErr w:type="spellStart"/>
      <w:r w:rsidRPr="00D063A5">
        <w:rPr>
          <w:rFonts w:ascii="Times New Roman" w:eastAsia="Times New Roman" w:hAnsi="Times New Roman" w:cs="Times New Roman"/>
          <w:sz w:val="20"/>
          <w:szCs w:val="20"/>
        </w:rPr>
        <w:t>Universitas</w:t>
      </w:r>
      <w:proofErr w:type="spellEnd"/>
      <w:r w:rsidRPr="00D063A5">
        <w:rPr>
          <w:rFonts w:ascii="Times New Roman" w:eastAsia="Times New Roman" w:hAnsi="Times New Roman" w:cs="Times New Roman"/>
          <w:sz w:val="20"/>
          <w:szCs w:val="20"/>
        </w:rPr>
        <w:t xml:space="preserve"> </w:t>
      </w:r>
      <w:proofErr w:type="spellStart"/>
      <w:r w:rsidRPr="00D063A5">
        <w:rPr>
          <w:rFonts w:ascii="Times New Roman" w:eastAsia="Times New Roman" w:hAnsi="Times New Roman" w:cs="Times New Roman"/>
          <w:sz w:val="20"/>
          <w:szCs w:val="20"/>
        </w:rPr>
        <w:t>Diponegoro</w:t>
      </w:r>
      <w:proofErr w:type="spellEnd"/>
      <w:r w:rsidRPr="00D063A5">
        <w:rPr>
          <w:rFonts w:ascii="Times New Roman" w:eastAsia="Times New Roman" w:hAnsi="Times New Roman" w:cs="Times New Roman"/>
          <w:sz w:val="20"/>
          <w:szCs w:val="20"/>
        </w:rPr>
        <w:t>, Semarang, Indonesia</w:t>
      </w:r>
      <w:bookmarkEnd w:id="0"/>
      <w:r w:rsidRPr="00D063A5">
        <w:rPr>
          <w:rFonts w:ascii="Times New Roman" w:eastAsia="Times New Roman" w:hAnsi="Times New Roman" w:cs="Times New Roman"/>
          <w:sz w:val="20"/>
          <w:szCs w:val="20"/>
        </w:rPr>
        <w:t>.</w:t>
      </w:r>
    </w:p>
    <w:p w14:paraId="1AC5DB1D" w14:textId="77777777" w:rsidR="00B11437" w:rsidRDefault="00B11437" w:rsidP="00D063A5">
      <w:pPr>
        <w:spacing w:after="0" w:line="240" w:lineRule="auto"/>
        <w:ind w:left="0" w:hanging="2"/>
        <w:jc w:val="center"/>
        <w:rPr>
          <w:rFonts w:ascii="Times New Roman" w:eastAsia="Times New Roman" w:hAnsi="Times New Roman" w:cs="Times New Roman"/>
          <w:sz w:val="20"/>
          <w:szCs w:val="20"/>
        </w:rPr>
      </w:pPr>
    </w:p>
    <w:p w14:paraId="4665A1AE" w14:textId="303281E6" w:rsidR="00B11437" w:rsidRDefault="00B11437" w:rsidP="00425D82">
      <w:pPr>
        <w:spacing w:after="0" w:line="240" w:lineRule="auto"/>
        <w:ind w:left="0" w:hanging="2"/>
        <w:jc w:val="both"/>
        <w:rPr>
          <w:rFonts w:ascii="Times New Roman" w:eastAsia="Times New Roman" w:hAnsi="Times New Roman" w:cs="Times New Roman"/>
          <w:sz w:val="20"/>
          <w:szCs w:val="20"/>
        </w:rPr>
      </w:pPr>
      <w:r w:rsidRPr="00425D82">
        <w:rPr>
          <w:rFonts w:ascii="Times New Roman" w:eastAsia="Times New Roman" w:hAnsi="Times New Roman" w:cs="Times New Roman"/>
          <w:sz w:val="20"/>
          <w:szCs w:val="20"/>
          <w:vertAlign w:val="superscript"/>
        </w:rPr>
        <w:t>*</w:t>
      </w:r>
      <w:r>
        <w:rPr>
          <w:rFonts w:ascii="Times New Roman" w:eastAsia="Times New Roman" w:hAnsi="Times New Roman" w:cs="Times New Roman"/>
          <w:sz w:val="20"/>
          <w:szCs w:val="20"/>
        </w:rPr>
        <w:t>Corresponding author</w:t>
      </w:r>
    </w:p>
    <w:p w14:paraId="3298A8C3" w14:textId="77777777" w:rsidR="008E6C80" w:rsidRDefault="008E6C80">
      <w:pPr>
        <w:spacing w:after="0" w:line="240" w:lineRule="auto"/>
        <w:ind w:left="0" w:hanging="2"/>
        <w:jc w:val="center"/>
        <w:rPr>
          <w:rFonts w:ascii="Times New Roman" w:eastAsia="Times New Roman" w:hAnsi="Times New Roman" w:cs="Times New Roman"/>
          <w:sz w:val="24"/>
          <w:szCs w:val="24"/>
        </w:rPr>
      </w:pPr>
    </w:p>
    <w:p w14:paraId="3298A8C4" w14:textId="4459CB40" w:rsidR="008E6C80" w:rsidRDefault="005D3AC0">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Short Running Title:</w:t>
      </w:r>
      <w:r>
        <w:rPr>
          <w:rFonts w:ascii="Times New Roman" w:eastAsia="Times New Roman" w:hAnsi="Times New Roman" w:cs="Times New Roman"/>
          <w:sz w:val="20"/>
          <w:szCs w:val="20"/>
        </w:rPr>
        <w:t xml:space="preserve"> </w:t>
      </w:r>
      <w:r w:rsidR="00336665">
        <w:rPr>
          <w:rFonts w:ascii="Times New Roman" w:eastAsia="Times New Roman" w:hAnsi="Times New Roman" w:cs="Times New Roman"/>
          <w:sz w:val="20"/>
          <w:szCs w:val="20"/>
        </w:rPr>
        <w:t xml:space="preserve">Rapid </w:t>
      </w:r>
      <w:r w:rsidR="002D7397">
        <w:rPr>
          <w:rFonts w:ascii="Times New Roman" w:eastAsia="Times New Roman" w:hAnsi="Times New Roman" w:cs="Times New Roman"/>
          <w:sz w:val="20"/>
          <w:szCs w:val="20"/>
        </w:rPr>
        <w:t>PCR-RFLP Screening</w:t>
      </w:r>
      <w:r w:rsidR="0081537B">
        <w:rPr>
          <w:rFonts w:ascii="Times New Roman" w:eastAsia="Times New Roman" w:hAnsi="Times New Roman" w:cs="Times New Roman"/>
          <w:sz w:val="20"/>
          <w:szCs w:val="20"/>
        </w:rPr>
        <w:t xml:space="preserve"> </w:t>
      </w:r>
      <w:r w:rsidR="002D7397">
        <w:rPr>
          <w:rFonts w:ascii="Times New Roman" w:eastAsia="Times New Roman" w:hAnsi="Times New Roman" w:cs="Times New Roman"/>
          <w:sz w:val="20"/>
          <w:szCs w:val="20"/>
        </w:rPr>
        <w:t>of</w:t>
      </w:r>
      <w:r w:rsidR="0081537B">
        <w:rPr>
          <w:rFonts w:ascii="Times New Roman" w:eastAsia="Times New Roman" w:hAnsi="Times New Roman" w:cs="Times New Roman"/>
          <w:sz w:val="20"/>
          <w:szCs w:val="20"/>
        </w:rPr>
        <w:t xml:space="preserve"> </w:t>
      </w:r>
      <w:r w:rsidR="0081537B" w:rsidRPr="0081537B">
        <w:rPr>
          <w:rFonts w:ascii="Times New Roman" w:eastAsia="Times New Roman" w:hAnsi="Times New Roman" w:cs="Times New Roman"/>
          <w:i/>
          <w:iCs/>
          <w:sz w:val="20"/>
          <w:szCs w:val="20"/>
        </w:rPr>
        <w:t>CYP21A2</w:t>
      </w:r>
    </w:p>
    <w:p w14:paraId="3298A8C5" w14:textId="77777777" w:rsidR="008E6C80" w:rsidRDefault="008E6C80">
      <w:pPr>
        <w:spacing w:after="0" w:line="240" w:lineRule="auto"/>
        <w:ind w:left="0" w:hanging="2"/>
        <w:jc w:val="both"/>
        <w:rPr>
          <w:rFonts w:ascii="Times New Roman" w:eastAsia="Times New Roman" w:hAnsi="Times New Roman" w:cs="Times New Roman"/>
          <w:sz w:val="24"/>
          <w:szCs w:val="24"/>
        </w:rPr>
      </w:pPr>
    </w:p>
    <w:p w14:paraId="3298A8C6" w14:textId="416A22C6" w:rsidR="008E6C80" w:rsidRPr="00CA46E3" w:rsidRDefault="005D3AC0" w:rsidP="00CA46E3">
      <w:pPr>
        <w:pStyle w:val="Heading1"/>
      </w:pPr>
      <w:r w:rsidRPr="00CA46E3">
        <w:t>ABSTRACT</w:t>
      </w:r>
    </w:p>
    <w:p w14:paraId="3298A8CB" w14:textId="18AF18FF" w:rsidR="008E6C80" w:rsidRDefault="005D3AC0">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Background</w:t>
      </w:r>
      <w:r>
        <w:rPr>
          <w:rFonts w:ascii="Times New Roman" w:eastAsia="Times New Roman" w:hAnsi="Times New Roman" w:cs="Times New Roman"/>
          <w:sz w:val="24"/>
          <w:szCs w:val="24"/>
        </w:rPr>
        <w:t xml:space="preserve">: </w:t>
      </w:r>
      <w:r w:rsidR="00676145">
        <w:rPr>
          <w:rFonts w:ascii="Times New Roman" w:eastAsia="Times New Roman" w:hAnsi="Times New Roman" w:cs="Times New Roman"/>
          <w:sz w:val="24"/>
          <w:szCs w:val="24"/>
        </w:rPr>
        <w:t xml:space="preserve">The 21-hydroxylase deficiency (21OHD) accounted for the majority of </w:t>
      </w:r>
      <w:r w:rsidR="00CF2E12">
        <w:rPr>
          <w:rFonts w:ascii="Times New Roman" w:eastAsia="Times New Roman" w:hAnsi="Times New Roman" w:cs="Times New Roman"/>
          <w:sz w:val="24"/>
          <w:szCs w:val="24"/>
        </w:rPr>
        <w:t xml:space="preserve">autosomal recessive inherited </w:t>
      </w:r>
      <w:r w:rsidR="00676145">
        <w:rPr>
          <w:rFonts w:ascii="Times New Roman" w:eastAsia="Times New Roman" w:hAnsi="Times New Roman" w:cs="Times New Roman"/>
          <w:sz w:val="24"/>
          <w:szCs w:val="24"/>
        </w:rPr>
        <w:t xml:space="preserve">congenital adrenal hyperplasia (CAH) cases. </w:t>
      </w:r>
      <w:r w:rsidR="00A9601F" w:rsidRPr="00A9601F">
        <w:rPr>
          <w:rFonts w:ascii="Times New Roman" w:eastAsia="Times New Roman" w:hAnsi="Times New Roman" w:cs="Times New Roman"/>
          <w:sz w:val="24"/>
          <w:szCs w:val="24"/>
        </w:rPr>
        <w:t xml:space="preserve">A genetic test could offer a more thorough diagnostic approach because of </w:t>
      </w:r>
      <w:r w:rsidR="00025938">
        <w:rPr>
          <w:rFonts w:ascii="Times New Roman" w:eastAsia="Times New Roman" w:hAnsi="Times New Roman" w:cs="Times New Roman"/>
          <w:sz w:val="24"/>
          <w:szCs w:val="24"/>
        </w:rPr>
        <w:t xml:space="preserve">the </w:t>
      </w:r>
      <w:r w:rsidR="00A9601F" w:rsidRPr="00A9601F">
        <w:rPr>
          <w:rFonts w:ascii="Times New Roman" w:eastAsia="Times New Roman" w:hAnsi="Times New Roman" w:cs="Times New Roman"/>
          <w:sz w:val="24"/>
          <w:szCs w:val="24"/>
        </w:rPr>
        <w:t xml:space="preserve">wide range of </w:t>
      </w:r>
      <w:r w:rsidR="00025938">
        <w:rPr>
          <w:rFonts w:ascii="Times New Roman" w:eastAsia="Times New Roman" w:hAnsi="Times New Roman" w:cs="Times New Roman"/>
          <w:sz w:val="24"/>
          <w:szCs w:val="24"/>
        </w:rPr>
        <w:t xml:space="preserve">disease’s </w:t>
      </w:r>
      <w:r w:rsidR="00A9601F" w:rsidRPr="00A9601F">
        <w:rPr>
          <w:rFonts w:ascii="Times New Roman" w:eastAsia="Times New Roman" w:hAnsi="Times New Roman" w:cs="Times New Roman"/>
          <w:sz w:val="24"/>
          <w:szCs w:val="24"/>
        </w:rPr>
        <w:t xml:space="preserve">severity, but </w:t>
      </w:r>
      <w:r w:rsidR="00B1374B">
        <w:rPr>
          <w:rFonts w:ascii="Times New Roman" w:eastAsia="Times New Roman" w:hAnsi="Times New Roman" w:cs="Times New Roman"/>
          <w:sz w:val="24"/>
          <w:szCs w:val="24"/>
        </w:rPr>
        <w:t>it was challenging in a resource-limited setting</w:t>
      </w:r>
      <w:r w:rsidR="00C61D27">
        <w:rPr>
          <w:rFonts w:ascii="Times New Roman" w:eastAsia="Times New Roman" w:hAnsi="Times New Roman" w:cs="Times New Roman"/>
          <w:sz w:val="24"/>
          <w:szCs w:val="24"/>
        </w:rPr>
        <w:t>.</w:t>
      </w:r>
    </w:p>
    <w:p w14:paraId="3298A8CC" w14:textId="57BBD06F" w:rsidR="008E6C80" w:rsidRDefault="005D3AC0">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Objective</w:t>
      </w:r>
      <w:r>
        <w:rPr>
          <w:rFonts w:ascii="Times New Roman" w:eastAsia="Times New Roman" w:hAnsi="Times New Roman" w:cs="Times New Roman"/>
          <w:sz w:val="24"/>
          <w:szCs w:val="24"/>
        </w:rPr>
        <w:t xml:space="preserve">: </w:t>
      </w:r>
      <w:r w:rsidR="002956DD">
        <w:rPr>
          <w:rFonts w:ascii="Times New Roman" w:eastAsia="Times New Roman" w:hAnsi="Times New Roman" w:cs="Times New Roman"/>
          <w:sz w:val="24"/>
          <w:szCs w:val="24"/>
        </w:rPr>
        <w:t>To apply a simple and cost-effective rapid molecular screening for detecting the</w:t>
      </w:r>
      <w:r w:rsidR="00BC13FF">
        <w:rPr>
          <w:rFonts w:ascii="Times New Roman" w:eastAsia="Times New Roman" w:hAnsi="Times New Roman" w:cs="Times New Roman"/>
          <w:sz w:val="24"/>
          <w:szCs w:val="24"/>
        </w:rPr>
        <w:t xml:space="preserve"> most common</w:t>
      </w:r>
      <w:r w:rsidR="002956DD">
        <w:rPr>
          <w:rFonts w:ascii="Times New Roman" w:eastAsia="Times New Roman" w:hAnsi="Times New Roman" w:cs="Times New Roman"/>
          <w:sz w:val="24"/>
          <w:szCs w:val="24"/>
        </w:rPr>
        <w:t xml:space="preserve"> </w:t>
      </w:r>
      <w:r w:rsidR="002956DD">
        <w:rPr>
          <w:rFonts w:ascii="Times New Roman" w:eastAsia="Times New Roman" w:hAnsi="Times New Roman" w:cs="Times New Roman"/>
          <w:i/>
          <w:iCs/>
          <w:sz w:val="24"/>
          <w:szCs w:val="24"/>
        </w:rPr>
        <w:t xml:space="preserve">CYP21A2 </w:t>
      </w:r>
      <w:r w:rsidR="002956DD">
        <w:rPr>
          <w:rFonts w:ascii="Times New Roman" w:eastAsia="Times New Roman" w:hAnsi="Times New Roman" w:cs="Times New Roman"/>
          <w:sz w:val="24"/>
          <w:szCs w:val="24"/>
        </w:rPr>
        <w:t>variants causing salt-wasting</w:t>
      </w:r>
      <w:r w:rsidR="00F332C2">
        <w:rPr>
          <w:rFonts w:ascii="Times New Roman" w:eastAsia="Times New Roman" w:hAnsi="Times New Roman" w:cs="Times New Roman"/>
          <w:sz w:val="24"/>
          <w:szCs w:val="24"/>
        </w:rPr>
        <w:t xml:space="preserve"> (SW)</w:t>
      </w:r>
      <w:r w:rsidR="002956DD">
        <w:rPr>
          <w:rFonts w:ascii="Times New Roman" w:eastAsia="Times New Roman" w:hAnsi="Times New Roman" w:cs="Times New Roman"/>
          <w:sz w:val="24"/>
          <w:szCs w:val="24"/>
        </w:rPr>
        <w:t xml:space="preserve"> CAH.</w:t>
      </w:r>
      <w:r>
        <w:rPr>
          <w:rFonts w:ascii="Times New Roman" w:eastAsia="Times New Roman" w:hAnsi="Times New Roman" w:cs="Times New Roman"/>
          <w:sz w:val="24"/>
          <w:szCs w:val="24"/>
        </w:rPr>
        <w:t xml:space="preserve"> </w:t>
      </w:r>
    </w:p>
    <w:p w14:paraId="3298A8CD" w14:textId="690A7B30" w:rsidR="008E6C80" w:rsidRDefault="005D3AC0">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Methods</w:t>
      </w:r>
      <w:r>
        <w:rPr>
          <w:rFonts w:ascii="Times New Roman" w:eastAsia="Times New Roman" w:hAnsi="Times New Roman" w:cs="Times New Roman"/>
          <w:sz w:val="24"/>
          <w:szCs w:val="24"/>
        </w:rPr>
        <w:t xml:space="preserve">: </w:t>
      </w:r>
      <w:r w:rsidR="009F55D8">
        <w:rPr>
          <w:rFonts w:ascii="Times New Roman" w:eastAsia="Times New Roman" w:hAnsi="Times New Roman" w:cs="Times New Roman"/>
          <w:sz w:val="24"/>
          <w:szCs w:val="24"/>
        </w:rPr>
        <w:t>DNA extraction was conducted using a salting out method from a venous blood sample</w:t>
      </w:r>
      <w:r w:rsidR="00EE7538">
        <w:rPr>
          <w:rFonts w:ascii="Times New Roman" w:eastAsia="Times New Roman" w:hAnsi="Times New Roman" w:cs="Times New Roman"/>
          <w:sz w:val="24"/>
          <w:szCs w:val="24"/>
        </w:rPr>
        <w:t xml:space="preserve"> taken from 49 CAH patients without prior genetic testing</w:t>
      </w:r>
      <w:r w:rsidR="009F55D8">
        <w:rPr>
          <w:rFonts w:ascii="Times New Roman" w:eastAsia="Times New Roman" w:hAnsi="Times New Roman" w:cs="Times New Roman"/>
          <w:sz w:val="24"/>
          <w:szCs w:val="24"/>
        </w:rPr>
        <w:t xml:space="preserve">. </w:t>
      </w:r>
      <w:r w:rsidR="006F2988">
        <w:rPr>
          <w:rFonts w:ascii="Times New Roman" w:eastAsia="Times New Roman" w:hAnsi="Times New Roman" w:cs="Times New Roman"/>
          <w:sz w:val="24"/>
          <w:szCs w:val="24"/>
        </w:rPr>
        <w:t xml:space="preserve">A PCR-RFLP approach was </w:t>
      </w:r>
      <w:r w:rsidR="009F55D8">
        <w:rPr>
          <w:rFonts w:ascii="Times New Roman" w:eastAsia="Times New Roman" w:hAnsi="Times New Roman" w:cs="Times New Roman"/>
          <w:sz w:val="24"/>
          <w:szCs w:val="24"/>
        </w:rPr>
        <w:t xml:space="preserve">utilized </w:t>
      </w:r>
      <w:r w:rsidR="006F2988">
        <w:rPr>
          <w:rFonts w:ascii="Times New Roman" w:eastAsia="Times New Roman" w:hAnsi="Times New Roman" w:cs="Times New Roman"/>
          <w:sz w:val="24"/>
          <w:szCs w:val="24"/>
        </w:rPr>
        <w:t xml:space="preserve">using </w:t>
      </w:r>
      <w:r w:rsidR="009F55D8">
        <w:rPr>
          <w:rFonts w:ascii="Times New Roman" w:eastAsia="Times New Roman" w:hAnsi="Times New Roman" w:cs="Times New Roman"/>
          <w:sz w:val="24"/>
          <w:szCs w:val="24"/>
        </w:rPr>
        <w:t xml:space="preserve">primer sets specifically designed to anneal to the </w:t>
      </w:r>
      <w:r w:rsidR="009F55D8" w:rsidRPr="009F55D8">
        <w:rPr>
          <w:rFonts w:ascii="Times New Roman" w:eastAsia="Times New Roman" w:hAnsi="Times New Roman" w:cs="Times New Roman"/>
          <w:i/>
          <w:iCs/>
          <w:sz w:val="24"/>
          <w:szCs w:val="24"/>
        </w:rPr>
        <w:t>CYP21A2</w:t>
      </w:r>
      <w:r w:rsidR="009F55D8">
        <w:rPr>
          <w:rFonts w:ascii="Times New Roman" w:eastAsia="Times New Roman" w:hAnsi="Times New Roman" w:cs="Times New Roman"/>
          <w:sz w:val="24"/>
          <w:szCs w:val="24"/>
        </w:rPr>
        <w:t>.</w:t>
      </w:r>
      <w:r w:rsidR="00EE7538">
        <w:rPr>
          <w:rFonts w:ascii="Times New Roman" w:eastAsia="Times New Roman" w:hAnsi="Times New Roman" w:cs="Times New Roman"/>
          <w:sz w:val="24"/>
          <w:szCs w:val="24"/>
        </w:rPr>
        <w:t xml:space="preserve"> Specific restriction enzymes were selected to cleave</w:t>
      </w:r>
      <w:r w:rsidR="00B63967">
        <w:rPr>
          <w:rFonts w:ascii="Times New Roman" w:eastAsia="Times New Roman" w:hAnsi="Times New Roman" w:cs="Times New Roman"/>
          <w:sz w:val="24"/>
          <w:szCs w:val="24"/>
        </w:rPr>
        <w:t xml:space="preserve"> the DNA sequence, differentiating the wild and mutant type, </w:t>
      </w:r>
      <w:proofErr w:type="spellStart"/>
      <w:proofErr w:type="gramStart"/>
      <w:r w:rsidR="00B63967">
        <w:rPr>
          <w:rFonts w:ascii="Times New Roman" w:eastAsia="Times New Roman" w:hAnsi="Times New Roman" w:cs="Times New Roman"/>
          <w:sz w:val="24"/>
          <w:szCs w:val="24"/>
        </w:rPr>
        <w:t>i.e</w:t>
      </w:r>
      <w:proofErr w:type="spellEnd"/>
      <w:proofErr w:type="gramEnd"/>
      <w:r w:rsidR="00B63967">
        <w:rPr>
          <w:rFonts w:ascii="Times New Roman" w:eastAsia="Times New Roman" w:hAnsi="Times New Roman" w:cs="Times New Roman"/>
          <w:sz w:val="24"/>
          <w:szCs w:val="24"/>
        </w:rPr>
        <w:t xml:space="preserve">, the </w:t>
      </w:r>
      <w:r w:rsidR="00BE0025">
        <w:rPr>
          <w:rFonts w:ascii="Times New Roman" w:eastAsia="Times New Roman" w:hAnsi="Times New Roman" w:cs="Times New Roman"/>
          <w:sz w:val="24"/>
          <w:szCs w:val="24"/>
        </w:rPr>
        <w:t xml:space="preserve">p.Arg357Trp, p.Gln318Ter, </w:t>
      </w:r>
      <w:r w:rsidR="00BE0025" w:rsidRPr="00BE0025">
        <w:rPr>
          <w:rFonts w:ascii="Times New Roman" w:eastAsia="Times New Roman" w:hAnsi="Times New Roman" w:cs="Times New Roman"/>
          <w:sz w:val="24"/>
          <w:szCs w:val="24"/>
        </w:rPr>
        <w:t>IVS2-13A/C&gt;G</w:t>
      </w:r>
      <w:r w:rsidR="00BE0025">
        <w:rPr>
          <w:rFonts w:ascii="Times New Roman" w:eastAsia="Times New Roman" w:hAnsi="Times New Roman" w:cs="Times New Roman"/>
          <w:sz w:val="24"/>
          <w:szCs w:val="24"/>
        </w:rPr>
        <w:t>, and exon 6 cluster</w:t>
      </w:r>
      <w:r w:rsidR="00B63967">
        <w:rPr>
          <w:rFonts w:ascii="Times New Roman" w:eastAsia="Times New Roman" w:hAnsi="Times New Roman" w:cs="Times New Roman"/>
          <w:sz w:val="24"/>
          <w:szCs w:val="24"/>
        </w:rPr>
        <w:t>.</w:t>
      </w:r>
      <w:r w:rsidR="00542076">
        <w:rPr>
          <w:rFonts w:ascii="Times New Roman" w:eastAsia="Times New Roman" w:hAnsi="Times New Roman" w:cs="Times New Roman"/>
          <w:sz w:val="24"/>
          <w:szCs w:val="24"/>
        </w:rPr>
        <w:t xml:space="preserve"> Samples positive for those mutation types detected from DNA sequencing, used as positive controls.</w:t>
      </w:r>
    </w:p>
    <w:p w14:paraId="3298A8CE" w14:textId="02D0E716" w:rsidR="008E6C80" w:rsidRDefault="005D3AC0">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Results</w:t>
      </w:r>
      <w:r>
        <w:rPr>
          <w:rFonts w:ascii="Times New Roman" w:eastAsia="Times New Roman" w:hAnsi="Times New Roman" w:cs="Times New Roman"/>
          <w:sz w:val="24"/>
          <w:szCs w:val="24"/>
        </w:rPr>
        <w:t xml:space="preserve">: </w:t>
      </w:r>
      <w:r w:rsidR="006D665C">
        <w:rPr>
          <w:rFonts w:ascii="Times New Roman" w:eastAsia="Times New Roman" w:hAnsi="Times New Roman" w:cs="Times New Roman"/>
          <w:sz w:val="24"/>
          <w:szCs w:val="24"/>
        </w:rPr>
        <w:t xml:space="preserve">The most common variant was </w:t>
      </w:r>
      <w:r w:rsidR="006D665C" w:rsidRPr="00BE0025">
        <w:rPr>
          <w:rFonts w:ascii="Times New Roman" w:eastAsia="Times New Roman" w:hAnsi="Times New Roman" w:cs="Times New Roman"/>
          <w:sz w:val="24"/>
          <w:szCs w:val="24"/>
        </w:rPr>
        <w:t>IVS2-13A/C&gt;G</w:t>
      </w:r>
      <w:r w:rsidR="00322FB7">
        <w:rPr>
          <w:rFonts w:ascii="Times New Roman" w:eastAsia="Times New Roman" w:hAnsi="Times New Roman" w:cs="Times New Roman"/>
          <w:sz w:val="24"/>
          <w:szCs w:val="24"/>
        </w:rPr>
        <w:t>,</w:t>
      </w:r>
      <w:r w:rsidR="006D665C">
        <w:rPr>
          <w:rFonts w:ascii="Times New Roman" w:eastAsia="Times New Roman" w:hAnsi="Times New Roman" w:cs="Times New Roman"/>
          <w:sz w:val="24"/>
          <w:szCs w:val="24"/>
        </w:rPr>
        <w:t xml:space="preserve"> </w:t>
      </w:r>
      <w:r w:rsidR="004F30F6">
        <w:rPr>
          <w:rFonts w:ascii="Times New Roman" w:eastAsia="Times New Roman" w:hAnsi="Times New Roman" w:cs="Times New Roman"/>
          <w:sz w:val="24"/>
          <w:szCs w:val="24"/>
        </w:rPr>
        <w:t xml:space="preserve">detected </w:t>
      </w:r>
      <w:r w:rsidR="006D665C">
        <w:rPr>
          <w:rFonts w:ascii="Times New Roman" w:eastAsia="Times New Roman" w:hAnsi="Times New Roman" w:cs="Times New Roman"/>
          <w:sz w:val="24"/>
          <w:szCs w:val="24"/>
        </w:rPr>
        <w:t>in 26 out of 27 patients</w:t>
      </w:r>
      <w:r w:rsidR="00322FB7">
        <w:rPr>
          <w:rFonts w:ascii="Times New Roman" w:eastAsia="Times New Roman" w:hAnsi="Times New Roman" w:cs="Times New Roman"/>
          <w:sz w:val="24"/>
          <w:szCs w:val="24"/>
        </w:rPr>
        <w:t xml:space="preserve">. </w:t>
      </w:r>
      <w:r w:rsidR="004F30F6">
        <w:rPr>
          <w:rFonts w:ascii="Times New Roman" w:eastAsia="Times New Roman" w:hAnsi="Times New Roman" w:cs="Times New Roman"/>
          <w:sz w:val="24"/>
          <w:szCs w:val="24"/>
        </w:rPr>
        <w:t xml:space="preserve">Only 6.1% of 49 patients were found to have the </w:t>
      </w:r>
      <w:proofErr w:type="gramStart"/>
      <w:r w:rsidR="004F30F6">
        <w:rPr>
          <w:rFonts w:ascii="Times New Roman" w:eastAsia="Times New Roman" w:hAnsi="Times New Roman" w:cs="Times New Roman"/>
          <w:sz w:val="24"/>
          <w:szCs w:val="24"/>
        </w:rPr>
        <w:t>p.Gln</w:t>
      </w:r>
      <w:proofErr w:type="gramEnd"/>
      <w:r w:rsidR="004F30F6">
        <w:rPr>
          <w:rFonts w:ascii="Times New Roman" w:eastAsia="Times New Roman" w:hAnsi="Times New Roman" w:cs="Times New Roman"/>
          <w:sz w:val="24"/>
          <w:szCs w:val="24"/>
        </w:rPr>
        <w:t xml:space="preserve">318Ter variant. Both the </w:t>
      </w:r>
      <w:proofErr w:type="gramStart"/>
      <w:r w:rsidR="004F30F6">
        <w:rPr>
          <w:rFonts w:ascii="Times New Roman" w:eastAsia="Times New Roman" w:hAnsi="Times New Roman" w:cs="Times New Roman"/>
          <w:sz w:val="24"/>
          <w:szCs w:val="24"/>
        </w:rPr>
        <w:t>p.Arg</w:t>
      </w:r>
      <w:proofErr w:type="gramEnd"/>
      <w:r w:rsidR="004F30F6">
        <w:rPr>
          <w:rFonts w:ascii="Times New Roman" w:eastAsia="Times New Roman" w:hAnsi="Times New Roman" w:cs="Times New Roman"/>
          <w:sz w:val="24"/>
          <w:szCs w:val="24"/>
        </w:rPr>
        <w:t xml:space="preserve">357Trp and exon 6 cluster carried inconclusive results. </w:t>
      </w:r>
      <w:r w:rsidR="00F332C2">
        <w:rPr>
          <w:rFonts w:ascii="Times New Roman" w:eastAsia="Times New Roman" w:hAnsi="Times New Roman" w:cs="Times New Roman"/>
          <w:sz w:val="24"/>
          <w:szCs w:val="24"/>
        </w:rPr>
        <w:t xml:space="preserve">All patients detected with the </w:t>
      </w:r>
      <w:r w:rsidR="00F332C2" w:rsidRPr="00BE0025">
        <w:rPr>
          <w:rFonts w:ascii="Times New Roman" w:eastAsia="Times New Roman" w:hAnsi="Times New Roman" w:cs="Times New Roman"/>
          <w:sz w:val="24"/>
          <w:szCs w:val="24"/>
        </w:rPr>
        <w:t>IVS2-13A/C&gt;G</w:t>
      </w:r>
      <w:r w:rsidR="00F332C2">
        <w:rPr>
          <w:rFonts w:ascii="Times New Roman" w:eastAsia="Times New Roman" w:hAnsi="Times New Roman" w:cs="Times New Roman"/>
          <w:sz w:val="24"/>
          <w:szCs w:val="24"/>
        </w:rPr>
        <w:t xml:space="preserve"> and </w:t>
      </w:r>
      <w:proofErr w:type="gramStart"/>
      <w:r w:rsidR="00F332C2">
        <w:rPr>
          <w:rFonts w:ascii="Times New Roman" w:eastAsia="Times New Roman" w:hAnsi="Times New Roman" w:cs="Times New Roman"/>
          <w:sz w:val="24"/>
          <w:szCs w:val="24"/>
        </w:rPr>
        <w:t>p.Gln</w:t>
      </w:r>
      <w:proofErr w:type="gramEnd"/>
      <w:r w:rsidR="00F332C2">
        <w:rPr>
          <w:rFonts w:ascii="Times New Roman" w:eastAsia="Times New Roman" w:hAnsi="Times New Roman" w:cs="Times New Roman"/>
          <w:sz w:val="24"/>
          <w:szCs w:val="24"/>
        </w:rPr>
        <w:t>318Ter had a phenotype of SW CAH.</w:t>
      </w:r>
    </w:p>
    <w:p w14:paraId="3298A8CF" w14:textId="5E510924" w:rsidR="008E6C80" w:rsidRDefault="005D3AC0">
      <w:pPr>
        <w:spacing w:after="0"/>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Conclusion</w:t>
      </w:r>
      <w:r>
        <w:rPr>
          <w:rFonts w:ascii="Times New Roman" w:eastAsia="Times New Roman" w:hAnsi="Times New Roman" w:cs="Times New Roman"/>
          <w:sz w:val="24"/>
          <w:szCs w:val="24"/>
        </w:rPr>
        <w:t xml:space="preserve">: </w:t>
      </w:r>
      <w:r w:rsidR="00363D62">
        <w:rPr>
          <w:rFonts w:ascii="Times New Roman" w:eastAsia="Times New Roman" w:hAnsi="Times New Roman" w:cs="Times New Roman"/>
          <w:sz w:val="24"/>
          <w:szCs w:val="24"/>
        </w:rPr>
        <w:t xml:space="preserve">The PCR-RFLP was an advantageous method </w:t>
      </w:r>
      <w:r w:rsidR="003F5627">
        <w:rPr>
          <w:rFonts w:ascii="Times New Roman" w:eastAsia="Times New Roman" w:hAnsi="Times New Roman" w:cs="Times New Roman"/>
          <w:sz w:val="24"/>
          <w:szCs w:val="24"/>
        </w:rPr>
        <w:t xml:space="preserve">for identifying </w:t>
      </w:r>
      <w:r w:rsidR="003F5627">
        <w:rPr>
          <w:rFonts w:ascii="Times New Roman" w:eastAsia="Times New Roman" w:hAnsi="Times New Roman" w:cs="Times New Roman"/>
          <w:i/>
          <w:iCs/>
          <w:sz w:val="24"/>
          <w:szCs w:val="24"/>
        </w:rPr>
        <w:t xml:space="preserve">CYP21A2 </w:t>
      </w:r>
      <w:r w:rsidR="003F5627">
        <w:rPr>
          <w:rFonts w:ascii="Times New Roman" w:eastAsia="Times New Roman" w:hAnsi="Times New Roman" w:cs="Times New Roman"/>
          <w:sz w:val="24"/>
          <w:szCs w:val="24"/>
        </w:rPr>
        <w:t>variants</w:t>
      </w:r>
      <w:r w:rsidR="00BC13FF">
        <w:rPr>
          <w:rFonts w:ascii="Times New Roman" w:eastAsia="Times New Roman" w:hAnsi="Times New Roman" w:cs="Times New Roman"/>
          <w:sz w:val="24"/>
          <w:szCs w:val="24"/>
        </w:rPr>
        <w:t xml:space="preserve"> in </w:t>
      </w:r>
      <w:r w:rsidR="008D7034">
        <w:rPr>
          <w:rFonts w:ascii="Times New Roman" w:eastAsia="Times New Roman" w:hAnsi="Times New Roman" w:cs="Times New Roman"/>
          <w:sz w:val="24"/>
          <w:szCs w:val="24"/>
        </w:rPr>
        <w:t>a low-resource setting</w:t>
      </w:r>
      <w:r w:rsidR="003F5627">
        <w:rPr>
          <w:rFonts w:ascii="Times New Roman" w:eastAsia="Times New Roman" w:hAnsi="Times New Roman" w:cs="Times New Roman"/>
          <w:sz w:val="24"/>
          <w:szCs w:val="24"/>
        </w:rPr>
        <w:t xml:space="preserve">. Nevertheless, the use of </w:t>
      </w:r>
      <w:r w:rsidR="006E005F">
        <w:rPr>
          <w:rFonts w:ascii="Times New Roman" w:eastAsia="Times New Roman" w:hAnsi="Times New Roman" w:cs="Times New Roman"/>
          <w:sz w:val="24"/>
          <w:szCs w:val="24"/>
        </w:rPr>
        <w:t xml:space="preserve">multiplex ligation-probe dependent amplification (MLPA) and Sanger sequencing offered </w:t>
      </w:r>
      <w:r w:rsidR="00231614">
        <w:rPr>
          <w:rFonts w:ascii="Times New Roman" w:eastAsia="Times New Roman" w:hAnsi="Times New Roman" w:cs="Times New Roman"/>
          <w:sz w:val="24"/>
          <w:szCs w:val="24"/>
        </w:rPr>
        <w:t>a comprehensive analysis to discover novel variants that could help with patients' diagnosis and treatment.</w:t>
      </w:r>
    </w:p>
    <w:p w14:paraId="3298A8D0" w14:textId="77777777" w:rsidR="008E6C80" w:rsidRDefault="008E6C80">
      <w:pPr>
        <w:spacing w:after="0" w:line="240" w:lineRule="auto"/>
        <w:ind w:left="0" w:hanging="2"/>
        <w:jc w:val="both"/>
        <w:rPr>
          <w:rFonts w:ascii="Times New Roman" w:eastAsia="Times New Roman" w:hAnsi="Times New Roman" w:cs="Times New Roman"/>
          <w:sz w:val="24"/>
          <w:szCs w:val="24"/>
        </w:rPr>
      </w:pPr>
    </w:p>
    <w:p w14:paraId="3298A8D1" w14:textId="77777777" w:rsidR="008E6C80" w:rsidRDefault="005D3AC0">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 xml:space="preserve">: </w:t>
      </w:r>
    </w:p>
    <w:p w14:paraId="3298A8D3" w14:textId="48A71571" w:rsidR="008E6C80" w:rsidRDefault="00553CDA">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Congenital adrenal hyperplasia, </w:t>
      </w:r>
      <w:r w:rsidR="000B5201" w:rsidRPr="00425D82">
        <w:rPr>
          <w:rFonts w:ascii="Times New Roman" w:eastAsia="Times New Roman" w:hAnsi="Times New Roman" w:cs="Times New Roman"/>
          <w:i/>
          <w:iCs/>
          <w:sz w:val="24"/>
          <w:szCs w:val="24"/>
        </w:rPr>
        <w:t>CYP21A2,</w:t>
      </w:r>
      <w:r w:rsidR="000B52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PCR, RFLP, developing country</w:t>
      </w:r>
    </w:p>
    <w:p w14:paraId="3298A8D4" w14:textId="77777777" w:rsidR="008E6C80" w:rsidRDefault="008E6C80">
      <w:pPr>
        <w:spacing w:after="0" w:line="240" w:lineRule="auto"/>
        <w:ind w:left="0" w:hanging="2"/>
        <w:jc w:val="both"/>
        <w:rPr>
          <w:rFonts w:ascii="Times New Roman" w:eastAsia="Times New Roman" w:hAnsi="Times New Roman" w:cs="Times New Roman"/>
          <w:sz w:val="24"/>
          <w:szCs w:val="24"/>
        </w:rPr>
      </w:pPr>
    </w:p>
    <w:p w14:paraId="3298A8D6" w14:textId="1976A21A" w:rsidR="008E6C80" w:rsidRDefault="005D3AC0">
      <w:pPr>
        <w:spacing w:after="0" w:line="240" w:lineRule="auto"/>
        <w:ind w:left="0" w:hanging="2"/>
        <w:jc w:val="both"/>
        <w:rPr>
          <w:rFonts w:ascii="Times New Roman" w:eastAsia="Times New Roman" w:hAnsi="Times New Roman" w:cs="Times New Roman"/>
          <w:sz w:val="24"/>
          <w:szCs w:val="24"/>
        </w:rPr>
      </w:pPr>
      <w:r>
        <w:br w:type="page"/>
      </w:r>
    </w:p>
    <w:p w14:paraId="3298A8D8" w14:textId="2F81DF0E" w:rsidR="008E6C80" w:rsidRDefault="005D3AC0" w:rsidP="00CA46E3">
      <w:pPr>
        <w:pStyle w:val="Heading1"/>
      </w:pPr>
      <w:r>
        <w:lastRenderedPageBreak/>
        <w:t>INTRODUCTION</w:t>
      </w:r>
    </w:p>
    <w:p w14:paraId="3298A8D9" w14:textId="148638CD" w:rsidR="008E6C80" w:rsidRDefault="00584F4F">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Congenital adrenal hyperplasia </w:t>
      </w:r>
      <w:r w:rsidR="00D6057A">
        <w:rPr>
          <w:rFonts w:ascii="Times New Roman" w:eastAsia="Times New Roman" w:hAnsi="Times New Roman" w:cs="Times New Roman"/>
          <w:sz w:val="24"/>
          <w:szCs w:val="24"/>
        </w:rPr>
        <w:t xml:space="preserve">(CAH) </w:t>
      </w:r>
      <w:r w:rsidR="006E30F0" w:rsidRPr="006E30F0">
        <w:rPr>
          <w:rFonts w:ascii="Times New Roman" w:eastAsia="Times New Roman" w:hAnsi="Times New Roman" w:cs="Times New Roman"/>
          <w:sz w:val="24"/>
          <w:szCs w:val="24"/>
        </w:rPr>
        <w:t>(CAH; OMIM #201910)</w:t>
      </w:r>
      <w:r w:rsidR="006E30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a</w:t>
      </w:r>
      <w:r w:rsidR="0093533F">
        <w:rPr>
          <w:rFonts w:ascii="Times New Roman" w:eastAsia="Times New Roman" w:hAnsi="Times New Roman" w:cs="Times New Roman"/>
          <w:sz w:val="24"/>
          <w:szCs w:val="24"/>
        </w:rPr>
        <w:t xml:space="preserve"> group of </w:t>
      </w:r>
      <w:r w:rsidR="00D6057A">
        <w:rPr>
          <w:rFonts w:ascii="Times New Roman" w:eastAsia="Times New Roman" w:hAnsi="Times New Roman" w:cs="Times New Roman"/>
          <w:sz w:val="24"/>
          <w:szCs w:val="24"/>
        </w:rPr>
        <w:t xml:space="preserve">genetic </w:t>
      </w:r>
      <w:r w:rsidR="0093533F">
        <w:rPr>
          <w:rFonts w:ascii="Times New Roman" w:eastAsia="Times New Roman" w:hAnsi="Times New Roman" w:cs="Times New Roman"/>
          <w:sz w:val="24"/>
          <w:szCs w:val="24"/>
        </w:rPr>
        <w:t xml:space="preserve">conditions </w:t>
      </w:r>
      <w:r w:rsidR="00DA6CB8">
        <w:rPr>
          <w:rFonts w:ascii="Times New Roman" w:eastAsia="Times New Roman" w:hAnsi="Times New Roman" w:cs="Times New Roman"/>
          <w:sz w:val="24"/>
          <w:szCs w:val="24"/>
        </w:rPr>
        <w:t>characterized by an enzymatic defect in adrenal steroidogenesis.</w:t>
      </w:r>
      <w:r>
        <w:rPr>
          <w:rFonts w:ascii="Times New Roman" w:eastAsia="Times New Roman" w:hAnsi="Times New Roman" w:cs="Times New Roman"/>
          <w:sz w:val="24"/>
          <w:szCs w:val="24"/>
        </w:rPr>
        <w:t xml:space="preserve"> </w:t>
      </w:r>
      <w:r w:rsidR="004A7985">
        <w:rPr>
          <w:rFonts w:ascii="Times New Roman" w:eastAsia="Times New Roman" w:hAnsi="Times New Roman" w:cs="Times New Roman"/>
          <w:sz w:val="24"/>
          <w:szCs w:val="24"/>
        </w:rPr>
        <w:t xml:space="preserve">In 95% of cases, the condition is caused by pathogenic </w:t>
      </w:r>
      <w:r w:rsidR="009748D7">
        <w:rPr>
          <w:rFonts w:ascii="Times New Roman" w:eastAsia="Times New Roman" w:hAnsi="Times New Roman" w:cs="Times New Roman"/>
          <w:sz w:val="24"/>
          <w:szCs w:val="24"/>
        </w:rPr>
        <w:t xml:space="preserve">variants </w:t>
      </w:r>
      <w:r w:rsidR="004A7985">
        <w:rPr>
          <w:rFonts w:ascii="Times New Roman" w:eastAsia="Times New Roman" w:hAnsi="Times New Roman" w:cs="Times New Roman"/>
          <w:sz w:val="24"/>
          <w:szCs w:val="24"/>
        </w:rPr>
        <w:t xml:space="preserve">in the </w:t>
      </w:r>
      <w:r w:rsidR="004A7985">
        <w:rPr>
          <w:rFonts w:ascii="Times New Roman" w:eastAsia="Times New Roman" w:hAnsi="Times New Roman" w:cs="Times New Roman"/>
          <w:i/>
          <w:iCs/>
          <w:sz w:val="24"/>
          <w:szCs w:val="24"/>
        </w:rPr>
        <w:t xml:space="preserve">CYP21A2 </w:t>
      </w:r>
      <w:r w:rsidR="004A7985">
        <w:rPr>
          <w:rFonts w:ascii="Times New Roman" w:eastAsia="Times New Roman" w:hAnsi="Times New Roman" w:cs="Times New Roman"/>
          <w:sz w:val="24"/>
          <w:szCs w:val="24"/>
        </w:rPr>
        <w:t xml:space="preserve">gene </w:t>
      </w:r>
      <w:r w:rsidR="000E5004">
        <w:rPr>
          <w:rFonts w:ascii="Times New Roman" w:eastAsia="Times New Roman" w:hAnsi="Times New Roman" w:cs="Times New Roman"/>
          <w:sz w:val="24"/>
          <w:szCs w:val="24"/>
        </w:rPr>
        <w:t>resulting</w:t>
      </w:r>
      <w:r w:rsidR="006E30F0">
        <w:rPr>
          <w:rFonts w:ascii="Times New Roman" w:eastAsia="Times New Roman" w:hAnsi="Times New Roman" w:cs="Times New Roman"/>
          <w:sz w:val="24"/>
          <w:szCs w:val="24"/>
        </w:rPr>
        <w:t xml:space="preserve"> </w:t>
      </w:r>
      <w:r w:rsidR="000E5004">
        <w:rPr>
          <w:rFonts w:ascii="Times New Roman" w:eastAsia="Times New Roman" w:hAnsi="Times New Roman" w:cs="Times New Roman"/>
          <w:sz w:val="24"/>
          <w:szCs w:val="24"/>
        </w:rPr>
        <w:t>in</w:t>
      </w:r>
      <w:r w:rsidR="006E30F0">
        <w:rPr>
          <w:rFonts w:ascii="Times New Roman" w:eastAsia="Times New Roman" w:hAnsi="Times New Roman" w:cs="Times New Roman"/>
          <w:sz w:val="24"/>
          <w:szCs w:val="24"/>
        </w:rPr>
        <w:t xml:space="preserve"> 21-hydroxylase deficiency (21OHD)</w:t>
      </w:r>
      <w:r w:rsidR="000E5004">
        <w:rPr>
          <w:rFonts w:ascii="Times New Roman" w:eastAsia="Times New Roman" w:hAnsi="Times New Roman" w:cs="Times New Roman"/>
          <w:sz w:val="24"/>
          <w:szCs w:val="24"/>
        </w:rPr>
        <w:t xml:space="preserve"> leading to </w:t>
      </w:r>
      <w:r w:rsidR="00C71809">
        <w:rPr>
          <w:rFonts w:ascii="Times New Roman" w:eastAsia="Times New Roman" w:hAnsi="Times New Roman" w:cs="Times New Roman"/>
          <w:sz w:val="24"/>
          <w:szCs w:val="24"/>
        </w:rPr>
        <w:t>cortisol, and aldosterone de</w:t>
      </w:r>
      <w:r w:rsidR="00CF5CE1">
        <w:rPr>
          <w:rFonts w:ascii="Times New Roman" w:eastAsia="Times New Roman" w:hAnsi="Times New Roman" w:cs="Times New Roman"/>
          <w:sz w:val="24"/>
          <w:szCs w:val="24"/>
        </w:rPr>
        <w:t>ficiency in the most severe type, and excessive androgen production</w:t>
      </w:r>
      <w:r w:rsidR="00F51456">
        <w:rPr>
          <w:rFonts w:ascii="Times New Roman" w:eastAsia="Times New Roman" w:hAnsi="Times New Roman" w:cs="Times New Roman"/>
          <w:sz w:val="24"/>
          <w:szCs w:val="24"/>
        </w:rPr>
        <w:t>.</w:t>
      </w:r>
      <w:r w:rsidR="00F51456">
        <w:rPr>
          <w:rFonts w:ascii="Times New Roman" w:eastAsia="Times New Roman" w:hAnsi="Times New Roman" w:cs="Times New Roman"/>
          <w:sz w:val="24"/>
          <w:szCs w:val="24"/>
        </w:rPr>
        <w:fldChar w:fldCharType="begin"/>
      </w:r>
      <w:r w:rsidR="00F51456">
        <w:rPr>
          <w:rFonts w:ascii="Times New Roman" w:eastAsia="Times New Roman" w:hAnsi="Times New Roman" w:cs="Times New Roman"/>
          <w:sz w:val="24"/>
          <w:szCs w:val="24"/>
        </w:rPr>
        <w:instrText xml:space="preserve"> ADDIN ZOTERO_ITEM CSL_CITATION {"citationID":"uaqxR091","properties":{"formattedCitation":"\\super 1\\nosupersub{}","plainCitation":"1","noteIndex":0},"citationItems":[{"id":804,"uris":["http://zotero.org/users/local/j4kVnGn0/items/B26F7SVN"],"itemData":{"id":804,"type":"article-journal","abstract":"Congenital adrenal hyperplasia (CAH) is a group of autosomal recessive disorders affecting cortisol biosynthesis. Reduced activity of an enzyme required for cortisol production leads to chronic overstimulation of the adrenal cortex and accumulation of precursors proximal to the blocked enzymatic step. The most common form of CAH is caused by steroid 21-hydroxylase deficiency due to mutations in CYP21A2. Since the last publication summarizing CAH in Endocrine Reviews in 2000, there have been numerous new developments. These include more detailed understanding of steroidogenic pathways, refinements in neonatal screening, improved diagnostic measurements utilizing chromatography and mass spectrometry coupled with steroid profiling, and improved genotyping methods. Clinical trials of alternative medications and modes of delivery have been recently completed or are under way. Genetic and cell-based treatments are being explored. A large body of data concerning long-term outcomes in patients affected by CAH, including psychosexual well-being, has been enhanced by the establishment of disease registries. This review provides the reader with current insights in CAH with special attention to these new developments.","container-title":"Endocrine Reviews","DOI":"10.1210/endrev/bnab016","ISSN":"0163-769X","issue":"1","page":"91-159","title":"Congenital Adrenal Hyperplasia—Current Insights in Pathophysiology, Diagnostics, and Management","volume":"43","author":[{"family":"Claahsen - van der Grinten","given":"Hedi L"},{"family":"Speiser","given":"Phyllis W"},{"family":"Ahmed","given":"S Faisal"},{"family":"Arlt","given":"Wiebke"},{"family":"Auchus","given":"Richard J"},{"family":"Falhammar","given":"Henrik"},{"family":"Flück","given":"Christa E"},{"family":"Guasti","given":"Leonardo"},{"family":"Huebner","given":"Angela"},{"family":"Kortmann","given":"Barbara B M"},{"family":"Krone","given":"Nils"},{"family":"Merke","given":"Deborah P"},{"family":"Miller","given":"Walter L"},{"family":"Nordenström","given":"Anna"},{"family":"Reisch","given":"Nicole"},{"family":"Sandberg","given":"David E"},{"family":"Stikkelbroeck","given":"Nike M M L"},{"family":"Touraine","given":"Philippe"},{"family":"Utari","given":"Agustini"},{"family":"Wudy","given":"Stefan A"},{"family":"White","given":"Perrin C"}],"issued":{"date-parts":[["2022",2,1]]}}}],"schema":"https://github.com/citation-style-language/schema/raw/master/csl-citation.json"} </w:instrText>
      </w:r>
      <w:r w:rsidR="00F51456">
        <w:rPr>
          <w:rFonts w:ascii="Times New Roman" w:eastAsia="Times New Roman" w:hAnsi="Times New Roman" w:cs="Times New Roman"/>
          <w:sz w:val="24"/>
          <w:szCs w:val="24"/>
        </w:rPr>
        <w:fldChar w:fldCharType="separate"/>
      </w:r>
      <w:r w:rsidR="0071648C" w:rsidRPr="0071648C">
        <w:rPr>
          <w:rFonts w:ascii="Times New Roman" w:hAnsi="Times New Roman" w:cs="Times New Roman"/>
          <w:sz w:val="24"/>
          <w:vertAlign w:val="superscript"/>
        </w:rPr>
        <w:t>1</w:t>
      </w:r>
      <w:r w:rsidR="00F51456">
        <w:rPr>
          <w:rFonts w:ascii="Times New Roman" w:eastAsia="Times New Roman" w:hAnsi="Times New Roman" w:cs="Times New Roman"/>
          <w:sz w:val="24"/>
          <w:szCs w:val="24"/>
        </w:rPr>
        <w:fldChar w:fldCharType="end"/>
      </w:r>
      <w:r w:rsidR="00CF5CE1">
        <w:rPr>
          <w:rFonts w:ascii="Times New Roman" w:eastAsia="Times New Roman" w:hAnsi="Times New Roman" w:cs="Times New Roman"/>
          <w:sz w:val="24"/>
          <w:szCs w:val="24"/>
        </w:rPr>
        <w:t xml:space="preserve"> </w:t>
      </w:r>
      <w:r w:rsidR="007738FE">
        <w:rPr>
          <w:rFonts w:ascii="Times New Roman" w:eastAsia="Times New Roman" w:hAnsi="Times New Roman" w:cs="Times New Roman"/>
          <w:sz w:val="24"/>
          <w:szCs w:val="24"/>
        </w:rPr>
        <w:t xml:space="preserve">Phenotypically, 21OHD </w:t>
      </w:r>
      <w:r w:rsidR="008C1508">
        <w:rPr>
          <w:rFonts w:ascii="Times New Roman" w:eastAsia="Times New Roman" w:hAnsi="Times New Roman" w:cs="Times New Roman"/>
          <w:sz w:val="24"/>
          <w:szCs w:val="24"/>
        </w:rPr>
        <w:t xml:space="preserve">encompasses </w:t>
      </w:r>
      <w:r w:rsidR="00382CAA">
        <w:rPr>
          <w:rFonts w:ascii="Times New Roman" w:eastAsia="Times New Roman" w:hAnsi="Times New Roman" w:cs="Times New Roman"/>
          <w:sz w:val="24"/>
          <w:szCs w:val="24"/>
        </w:rPr>
        <w:t xml:space="preserve">a spectrum </w:t>
      </w:r>
      <w:r w:rsidR="00201903">
        <w:rPr>
          <w:rFonts w:ascii="Times New Roman" w:eastAsia="Times New Roman" w:hAnsi="Times New Roman" w:cs="Times New Roman"/>
          <w:sz w:val="24"/>
          <w:szCs w:val="24"/>
        </w:rPr>
        <w:t xml:space="preserve">of the most severe salt-wasting (SW) to the least severe </w:t>
      </w:r>
      <w:r w:rsidR="007738FE">
        <w:rPr>
          <w:rFonts w:ascii="Times New Roman" w:eastAsia="Times New Roman" w:hAnsi="Times New Roman" w:cs="Times New Roman"/>
          <w:sz w:val="24"/>
          <w:szCs w:val="24"/>
        </w:rPr>
        <w:t>non-classic (NC) type</w:t>
      </w:r>
      <w:r w:rsidR="00201903">
        <w:rPr>
          <w:rFonts w:ascii="Times New Roman" w:eastAsia="Times New Roman" w:hAnsi="Times New Roman" w:cs="Times New Roman"/>
          <w:sz w:val="24"/>
          <w:szCs w:val="24"/>
        </w:rPr>
        <w:t>.</w:t>
      </w:r>
      <w:r w:rsidR="007738FE">
        <w:rPr>
          <w:rFonts w:ascii="Times New Roman" w:eastAsia="Times New Roman" w:hAnsi="Times New Roman" w:cs="Times New Roman"/>
          <w:sz w:val="24"/>
          <w:szCs w:val="24"/>
        </w:rPr>
        <w:t xml:space="preserve"> </w:t>
      </w:r>
      <w:r w:rsidR="00CF5CE1">
        <w:rPr>
          <w:rFonts w:ascii="Times New Roman" w:eastAsia="Times New Roman" w:hAnsi="Times New Roman" w:cs="Times New Roman"/>
          <w:sz w:val="24"/>
          <w:szCs w:val="24"/>
        </w:rPr>
        <w:t>The incidence rate of classic CAH is 1 to 10,000 to 18,000 live</w:t>
      </w:r>
      <w:r w:rsidR="00E91FB7">
        <w:rPr>
          <w:rFonts w:ascii="Times New Roman" w:eastAsia="Times New Roman" w:hAnsi="Times New Roman" w:cs="Times New Roman"/>
          <w:sz w:val="24"/>
          <w:szCs w:val="24"/>
        </w:rPr>
        <w:t xml:space="preserve"> birth according to the newborn screening</w:t>
      </w:r>
      <w:r w:rsidR="00CB733E">
        <w:rPr>
          <w:rFonts w:ascii="Times New Roman" w:eastAsia="Times New Roman" w:hAnsi="Times New Roman" w:cs="Times New Roman"/>
          <w:sz w:val="24"/>
          <w:szCs w:val="24"/>
        </w:rPr>
        <w:t xml:space="preserve"> (NBS)</w:t>
      </w:r>
      <w:r w:rsidR="00E91FB7">
        <w:rPr>
          <w:rFonts w:ascii="Times New Roman" w:eastAsia="Times New Roman" w:hAnsi="Times New Roman" w:cs="Times New Roman"/>
          <w:sz w:val="24"/>
          <w:szCs w:val="24"/>
        </w:rPr>
        <w:t xml:space="preserve"> data</w:t>
      </w:r>
      <w:r w:rsidR="00F51456">
        <w:rPr>
          <w:rFonts w:ascii="Times New Roman" w:eastAsia="Times New Roman" w:hAnsi="Times New Roman" w:cs="Times New Roman"/>
          <w:sz w:val="24"/>
          <w:szCs w:val="24"/>
        </w:rPr>
        <w:t>.</w:t>
      </w:r>
      <w:r w:rsidR="00F51456">
        <w:rPr>
          <w:rFonts w:ascii="Times New Roman" w:eastAsia="Times New Roman" w:hAnsi="Times New Roman" w:cs="Times New Roman"/>
          <w:sz w:val="24"/>
          <w:szCs w:val="24"/>
        </w:rPr>
        <w:fldChar w:fldCharType="begin"/>
      </w:r>
      <w:r w:rsidR="00F51456">
        <w:rPr>
          <w:rFonts w:ascii="Times New Roman" w:eastAsia="Times New Roman" w:hAnsi="Times New Roman" w:cs="Times New Roman"/>
          <w:sz w:val="24"/>
          <w:szCs w:val="24"/>
        </w:rPr>
        <w:instrText xml:space="preserve"> ADDIN ZOTERO_ITEM CSL_CITATION {"citationID":"OXYaniiP","properties":{"formattedCitation":"\\super 2\\nosupersub{}","plainCitation":"2","noteIndex":0},"citationItems":[{"id":9,"uris":["http://zotero.org/users/local/j4kVnGn0/items/TTTWG9DV"],"itemData":{"id":9,"type":"article-journal","abstract":"To update the congenital adrenal hyperplasia due to steroid 21-hydroxylase deficiency clinical practice guideline published by the Endocrine Society in 2010.The writing committee presents updated best practice guidelines for the clinical management of congenital adrenal hyperplasia based on published evidence and expert opinion with added considerations for patient safety, quality of life, cost, and utilization.","container-title":"The Journal of Clinical Endocrinology &amp; Metabolism","DOI":"10.1210/jc.2018-01865","ISSN":"0021-972X","issue":"11","page":"4043-4088","title":"Congenital Adrenal Hyperplasia Due to Steroid 21-Hydroxylase Deficiency: An Endocrine Society* Clinical Practice Guideline","volume":"103","author":[{"family":"Speiser","given":"Phyllis W"},{"family":"Arlt","given":"Wiebke"},{"family":"Auchus","given":"Richard J"},{"family":"Baskin","given":"Laurence S"},{"family":"Conway","given":"Gerard S"},{"family":"Merke","given":"Deborah P"},{"family":"Meyer-Bahlburg","given":"Heino F L"},{"family":"Miller","given":"Walter L"},{"family":"Murad","given":"M Hassan"},{"family":"Oberfield","given":"Sharon E"},{"family":"White","given":"Perrin C"}],"issued":{"date-parts":[["2018",9,27]]}}}],"schema":"https://github.com/citation-style-language/schema/raw/master/csl-citation.json"} </w:instrText>
      </w:r>
      <w:r w:rsidR="00F51456">
        <w:rPr>
          <w:rFonts w:ascii="Times New Roman" w:eastAsia="Times New Roman" w:hAnsi="Times New Roman" w:cs="Times New Roman"/>
          <w:sz w:val="24"/>
          <w:szCs w:val="24"/>
        </w:rPr>
        <w:fldChar w:fldCharType="separate"/>
      </w:r>
      <w:r w:rsidR="0071648C" w:rsidRPr="0071648C">
        <w:rPr>
          <w:rFonts w:ascii="Times New Roman" w:hAnsi="Times New Roman" w:cs="Times New Roman"/>
          <w:sz w:val="24"/>
          <w:vertAlign w:val="superscript"/>
        </w:rPr>
        <w:t>2</w:t>
      </w:r>
      <w:r w:rsidR="00F51456">
        <w:rPr>
          <w:rFonts w:ascii="Times New Roman" w:eastAsia="Times New Roman" w:hAnsi="Times New Roman" w:cs="Times New Roman"/>
          <w:sz w:val="24"/>
          <w:szCs w:val="24"/>
        </w:rPr>
        <w:fldChar w:fldCharType="end"/>
      </w:r>
    </w:p>
    <w:p w14:paraId="5C164047" w14:textId="77777777" w:rsidR="00E91FB7" w:rsidRDefault="00E91FB7">
      <w:pPr>
        <w:spacing w:after="0" w:line="240" w:lineRule="auto"/>
        <w:ind w:left="0" w:hanging="2"/>
        <w:jc w:val="both"/>
        <w:rPr>
          <w:rFonts w:ascii="Times New Roman" w:eastAsia="Times New Roman" w:hAnsi="Times New Roman" w:cs="Times New Roman"/>
          <w:sz w:val="24"/>
          <w:szCs w:val="24"/>
        </w:rPr>
      </w:pPr>
    </w:p>
    <w:p w14:paraId="6E4C2F79" w14:textId="3D3BCFC8" w:rsidR="00E91FB7" w:rsidRDefault="001740B7">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According to the CAH Registry by the Indonesian Pediatric Society, t</w:t>
      </w:r>
      <w:r w:rsidR="00E12144">
        <w:rPr>
          <w:rFonts w:ascii="Times New Roman" w:eastAsia="Times New Roman" w:hAnsi="Times New Roman" w:cs="Times New Roman"/>
          <w:sz w:val="24"/>
          <w:szCs w:val="24"/>
        </w:rPr>
        <w:t xml:space="preserve">here was a </w:t>
      </w:r>
      <w:r w:rsidR="002A5D02">
        <w:rPr>
          <w:rFonts w:ascii="Times New Roman" w:eastAsia="Times New Roman" w:hAnsi="Times New Roman" w:cs="Times New Roman"/>
          <w:sz w:val="24"/>
          <w:szCs w:val="24"/>
        </w:rPr>
        <w:t xml:space="preserve">536.2% increase in the </w:t>
      </w:r>
      <w:r w:rsidR="00E12144">
        <w:rPr>
          <w:rFonts w:ascii="Times New Roman" w:eastAsia="Times New Roman" w:hAnsi="Times New Roman" w:cs="Times New Roman"/>
          <w:sz w:val="24"/>
          <w:szCs w:val="24"/>
        </w:rPr>
        <w:t>number of CAH cases in Indonesia</w:t>
      </w:r>
      <w:r w:rsidR="002A5D02">
        <w:rPr>
          <w:rFonts w:ascii="Times New Roman" w:eastAsia="Times New Roman" w:hAnsi="Times New Roman" w:cs="Times New Roman"/>
          <w:sz w:val="24"/>
          <w:szCs w:val="24"/>
        </w:rPr>
        <w:t xml:space="preserve"> from 2009 to 2020</w:t>
      </w:r>
      <w:r w:rsidR="00F51456">
        <w:rPr>
          <w:rFonts w:ascii="Times New Roman" w:eastAsia="Times New Roman" w:hAnsi="Times New Roman" w:cs="Times New Roman"/>
          <w:sz w:val="24"/>
          <w:szCs w:val="24"/>
        </w:rPr>
        <w:t>,</w:t>
      </w:r>
      <w:r w:rsidR="005A5717">
        <w:rPr>
          <w:rFonts w:ascii="Times New Roman" w:eastAsia="Times New Roman" w:hAnsi="Times New Roman" w:cs="Times New Roman"/>
          <w:sz w:val="24"/>
          <w:szCs w:val="24"/>
        </w:rPr>
        <w:t xml:space="preserve"> with </w:t>
      </w:r>
      <w:r w:rsidR="00F51456">
        <w:rPr>
          <w:rFonts w:ascii="Times New Roman" w:eastAsia="Times New Roman" w:hAnsi="Times New Roman" w:cs="Times New Roman"/>
          <w:sz w:val="24"/>
          <w:szCs w:val="24"/>
        </w:rPr>
        <w:t>females</w:t>
      </w:r>
      <w:r w:rsidR="005A5717">
        <w:rPr>
          <w:rFonts w:ascii="Times New Roman" w:eastAsia="Times New Roman" w:hAnsi="Times New Roman" w:cs="Times New Roman"/>
          <w:sz w:val="24"/>
          <w:szCs w:val="24"/>
        </w:rPr>
        <w:t xml:space="preserve"> dominating male cases (</w:t>
      </w:r>
      <w:r w:rsidR="00674C03">
        <w:rPr>
          <w:rFonts w:ascii="Times New Roman" w:eastAsia="Times New Roman" w:hAnsi="Times New Roman" w:cs="Times New Roman"/>
          <w:sz w:val="24"/>
          <w:szCs w:val="24"/>
        </w:rPr>
        <w:t>female-to-male ratio=</w:t>
      </w:r>
      <w:r w:rsidR="00E82295">
        <w:rPr>
          <w:rFonts w:ascii="Times New Roman" w:eastAsia="Times New Roman" w:hAnsi="Times New Roman" w:cs="Times New Roman"/>
          <w:sz w:val="24"/>
          <w:szCs w:val="24"/>
        </w:rPr>
        <w:t>303:</w:t>
      </w:r>
      <w:r w:rsidR="00674C03">
        <w:rPr>
          <w:rFonts w:ascii="Times New Roman" w:eastAsia="Times New Roman" w:hAnsi="Times New Roman" w:cs="Times New Roman"/>
          <w:sz w:val="24"/>
          <w:szCs w:val="24"/>
        </w:rPr>
        <w:t>136)</w:t>
      </w:r>
      <w:r w:rsidR="00F51456">
        <w:rPr>
          <w:rFonts w:ascii="Times New Roman" w:eastAsia="Times New Roman" w:hAnsi="Times New Roman" w:cs="Times New Roman"/>
          <w:sz w:val="24"/>
          <w:szCs w:val="24"/>
        </w:rPr>
        <w:t>.</w:t>
      </w:r>
      <w:r w:rsidR="00F51456">
        <w:rPr>
          <w:rFonts w:ascii="Times New Roman" w:eastAsia="Times New Roman" w:hAnsi="Times New Roman" w:cs="Times New Roman"/>
          <w:sz w:val="24"/>
          <w:szCs w:val="24"/>
        </w:rPr>
        <w:fldChar w:fldCharType="begin"/>
      </w:r>
      <w:r w:rsidR="00F51456">
        <w:rPr>
          <w:rFonts w:ascii="Times New Roman" w:eastAsia="Times New Roman" w:hAnsi="Times New Roman" w:cs="Times New Roman"/>
          <w:sz w:val="24"/>
          <w:szCs w:val="24"/>
        </w:rPr>
        <w:instrText xml:space="preserve"> ADDIN ZOTERO_ITEM CSL_CITATION {"citationID":"smMi8hhD","properties":{"formattedCitation":"\\super 3\\nosupersub{}","plainCitation":"3","noteIndex":0},"citationItems":[{"id":136,"uris":["http://zotero.org/users/local/j4kVnGn0/items/MLV26MBJ"],"itemData":{"id":136,"type":"article-journal","abstract":"CLAN (Caring and Living as Neighbours) is an Australian-based non-governmental organisation (NGO) committed to equity for children living with chronic health conditions in resource-poor settings. Since 2004, CLAN has collaborated with a broad range of partners across the Asia Pacific region to improve quality of life for children living with congenital adrenal hyperplasia (CAH). This exploratory case study uses the Knowledge to Action (KTA) framework to analyse CLAN’s activities for children living with CAH in the Asia Pacific. The seven stages of the KTA action cycle inform a systematic examination of comprehensive, collaborative, sustained actions to address a complex health challenge. The KTA framework demonstrates the “how” of CLAN’s approach to knowledge creation and exchange, and the centrality of community development to multisectoral collaborative action across a range of conditions, cultures and countries to redressing child health inequities. This includes a commitment to: affordable access to essential medicines and equipment; education, research and advocacy; optimisation of medical management; encouragement of family support groups; efforts to reduce financial burdens; and ethical, transparent program management as critical components of success. Improvements in quality of life and health outcomes are achievable for children living with CAH and other chronic health conditions in resource-poor settings. CLAN’s strategic framework for action offers a model for those committed to #LeaveNoChildBehind.","container-title":"International Journal of Neonatal Screening","DOI":"10.3390/ijns6040076","issue":"4","page":"76","title":"We All Have a Role to Play: Redressing Inequities for Children Living with CAH and Other Chronic Health Conditions of Childhood in Resource-Poor Settings","volume":"6","author":[{"family":"Armstrong","given":"Kate"},{"family":"Benedict Yap","given":"Alain"},{"family":"Chan-Cua","given":"Sioksoan"},{"family":"Craig","given":"Maria E."},{"family":"Cole","given":"Catherine"},{"family":"Chi Dung","given":"Vu"},{"family":"Hansen","given":"Joseph"},{"family":"Ibrahim","given":"Mohsina"},{"family":"Nadeem","given":"Hassana"},{"family":"Pulungan","given":"Aman"},{"family":"Raza","given":"Jamal"},{"family":"Utari","given":"Agustini"},{"family":"Ward","given":"Paul"}],"issued":{"date-parts":[["2020"]]}}}],"schema":"https://github.com/citation-style-language/schema/raw/master/csl-citation.json"} </w:instrText>
      </w:r>
      <w:r w:rsidR="00F51456">
        <w:rPr>
          <w:rFonts w:ascii="Times New Roman" w:eastAsia="Times New Roman" w:hAnsi="Times New Roman" w:cs="Times New Roman"/>
          <w:sz w:val="24"/>
          <w:szCs w:val="24"/>
        </w:rPr>
        <w:fldChar w:fldCharType="separate"/>
      </w:r>
      <w:r w:rsidR="0071648C" w:rsidRPr="0071648C">
        <w:rPr>
          <w:rFonts w:ascii="Times New Roman" w:hAnsi="Times New Roman" w:cs="Times New Roman"/>
          <w:sz w:val="24"/>
          <w:vertAlign w:val="superscript"/>
        </w:rPr>
        <w:t>3</w:t>
      </w:r>
      <w:r w:rsidR="00F51456">
        <w:rPr>
          <w:rFonts w:ascii="Times New Roman" w:eastAsia="Times New Roman" w:hAnsi="Times New Roman" w:cs="Times New Roman"/>
          <w:sz w:val="24"/>
          <w:szCs w:val="24"/>
        </w:rPr>
        <w:fldChar w:fldCharType="end"/>
      </w:r>
      <w:r w:rsidR="007A29D6">
        <w:rPr>
          <w:rFonts w:ascii="Times New Roman" w:eastAsia="Times New Roman" w:hAnsi="Times New Roman" w:cs="Times New Roman"/>
          <w:sz w:val="24"/>
          <w:szCs w:val="24"/>
        </w:rPr>
        <w:t xml:space="preserve"> </w:t>
      </w:r>
      <w:r w:rsidR="00675DDC">
        <w:rPr>
          <w:rFonts w:ascii="Times New Roman" w:eastAsia="Times New Roman" w:hAnsi="Times New Roman" w:cs="Times New Roman"/>
          <w:sz w:val="24"/>
          <w:szCs w:val="24"/>
        </w:rPr>
        <w:t xml:space="preserve">Many CAH individuals were late-diagnosed due to the absence of </w:t>
      </w:r>
      <w:r w:rsidR="00F51456">
        <w:rPr>
          <w:rFonts w:ascii="Times New Roman" w:eastAsia="Times New Roman" w:hAnsi="Times New Roman" w:cs="Times New Roman"/>
          <w:sz w:val="24"/>
          <w:szCs w:val="24"/>
        </w:rPr>
        <w:t>an</w:t>
      </w:r>
      <w:r w:rsidR="00CB733E">
        <w:rPr>
          <w:rFonts w:ascii="Times New Roman" w:eastAsia="Times New Roman" w:hAnsi="Times New Roman" w:cs="Times New Roman"/>
          <w:sz w:val="24"/>
          <w:szCs w:val="24"/>
        </w:rPr>
        <w:t xml:space="preserve"> NBS </w:t>
      </w:r>
      <w:r w:rsidR="00675DDC">
        <w:rPr>
          <w:rFonts w:ascii="Times New Roman" w:eastAsia="Times New Roman" w:hAnsi="Times New Roman" w:cs="Times New Roman"/>
          <w:sz w:val="24"/>
          <w:szCs w:val="24"/>
        </w:rPr>
        <w:t>program</w:t>
      </w:r>
      <w:r w:rsidR="00537754">
        <w:rPr>
          <w:rFonts w:ascii="Times New Roman" w:eastAsia="Times New Roman" w:hAnsi="Times New Roman" w:cs="Times New Roman"/>
          <w:sz w:val="24"/>
          <w:szCs w:val="24"/>
        </w:rPr>
        <w:t>, which</w:t>
      </w:r>
      <w:r w:rsidR="00CB733E">
        <w:rPr>
          <w:rFonts w:ascii="Times New Roman" w:eastAsia="Times New Roman" w:hAnsi="Times New Roman" w:cs="Times New Roman"/>
          <w:sz w:val="24"/>
          <w:szCs w:val="24"/>
        </w:rPr>
        <w:t xml:space="preserve"> had </w:t>
      </w:r>
      <w:r w:rsidR="009372E9">
        <w:rPr>
          <w:rFonts w:ascii="Times New Roman" w:eastAsia="Times New Roman" w:hAnsi="Times New Roman" w:cs="Times New Roman"/>
          <w:sz w:val="24"/>
          <w:szCs w:val="24"/>
        </w:rPr>
        <w:t xml:space="preserve">barely </w:t>
      </w:r>
      <w:r w:rsidR="00CB733E">
        <w:rPr>
          <w:rFonts w:ascii="Times New Roman" w:eastAsia="Times New Roman" w:hAnsi="Times New Roman" w:cs="Times New Roman"/>
          <w:sz w:val="24"/>
          <w:szCs w:val="24"/>
        </w:rPr>
        <w:t>been started in early 2025 in Indonesia.</w:t>
      </w:r>
      <w:r w:rsidR="008449E7">
        <w:rPr>
          <w:rFonts w:ascii="Times New Roman" w:eastAsia="Times New Roman" w:hAnsi="Times New Roman" w:cs="Times New Roman"/>
          <w:sz w:val="24"/>
          <w:szCs w:val="24"/>
        </w:rPr>
        <w:t xml:space="preserve"> </w:t>
      </w:r>
      <w:r w:rsidR="00764739">
        <w:rPr>
          <w:rFonts w:ascii="Times New Roman" w:eastAsia="Times New Roman" w:hAnsi="Times New Roman" w:cs="Times New Roman"/>
          <w:sz w:val="24"/>
          <w:szCs w:val="24"/>
        </w:rPr>
        <w:t>I</w:t>
      </w:r>
      <w:r w:rsidR="008449E7">
        <w:rPr>
          <w:rFonts w:ascii="Times New Roman" w:eastAsia="Times New Roman" w:hAnsi="Times New Roman" w:cs="Times New Roman"/>
          <w:sz w:val="24"/>
          <w:szCs w:val="24"/>
        </w:rPr>
        <w:t xml:space="preserve">ndividuals </w:t>
      </w:r>
      <w:r w:rsidR="00764739">
        <w:rPr>
          <w:rFonts w:ascii="Times New Roman" w:eastAsia="Times New Roman" w:hAnsi="Times New Roman" w:cs="Times New Roman"/>
          <w:sz w:val="24"/>
          <w:szCs w:val="24"/>
        </w:rPr>
        <w:t xml:space="preserve">with CAH </w:t>
      </w:r>
      <w:r w:rsidR="008449E7">
        <w:rPr>
          <w:rFonts w:ascii="Times New Roman" w:eastAsia="Times New Roman" w:hAnsi="Times New Roman" w:cs="Times New Roman"/>
          <w:sz w:val="24"/>
          <w:szCs w:val="24"/>
        </w:rPr>
        <w:t xml:space="preserve">were </w:t>
      </w:r>
      <w:r w:rsidR="0087242B">
        <w:rPr>
          <w:rFonts w:ascii="Times New Roman" w:eastAsia="Times New Roman" w:hAnsi="Times New Roman" w:cs="Times New Roman"/>
          <w:sz w:val="24"/>
          <w:szCs w:val="24"/>
        </w:rPr>
        <w:t xml:space="preserve">referred to a pediatric endocrinologist only </w:t>
      </w:r>
      <w:r w:rsidR="008449E7">
        <w:rPr>
          <w:rFonts w:ascii="Times New Roman" w:eastAsia="Times New Roman" w:hAnsi="Times New Roman" w:cs="Times New Roman"/>
          <w:sz w:val="24"/>
          <w:szCs w:val="24"/>
        </w:rPr>
        <w:t>after frequent episodes of vomiting</w:t>
      </w:r>
      <w:r w:rsidR="008F3169">
        <w:rPr>
          <w:rFonts w:ascii="Times New Roman" w:eastAsia="Times New Roman" w:hAnsi="Times New Roman" w:cs="Times New Roman"/>
          <w:sz w:val="24"/>
          <w:szCs w:val="24"/>
        </w:rPr>
        <w:t>,</w:t>
      </w:r>
      <w:r w:rsidR="008449E7">
        <w:rPr>
          <w:rFonts w:ascii="Times New Roman" w:eastAsia="Times New Roman" w:hAnsi="Times New Roman" w:cs="Times New Roman"/>
          <w:sz w:val="24"/>
          <w:szCs w:val="24"/>
        </w:rPr>
        <w:t xml:space="preserve"> dehydration</w:t>
      </w:r>
      <w:r w:rsidR="008F3169">
        <w:rPr>
          <w:rFonts w:ascii="Times New Roman" w:eastAsia="Times New Roman" w:hAnsi="Times New Roman" w:cs="Times New Roman"/>
          <w:sz w:val="24"/>
          <w:szCs w:val="24"/>
        </w:rPr>
        <w:t xml:space="preserve">, </w:t>
      </w:r>
      <w:r w:rsidR="00F77C2B">
        <w:rPr>
          <w:rFonts w:ascii="Times New Roman" w:eastAsia="Times New Roman" w:hAnsi="Times New Roman" w:cs="Times New Roman"/>
          <w:sz w:val="24"/>
          <w:szCs w:val="24"/>
        </w:rPr>
        <w:t>weight faltering, and weight loss</w:t>
      </w:r>
      <w:r w:rsidR="008449E7">
        <w:rPr>
          <w:rFonts w:ascii="Times New Roman" w:eastAsia="Times New Roman" w:hAnsi="Times New Roman" w:cs="Times New Roman"/>
          <w:sz w:val="24"/>
          <w:szCs w:val="24"/>
        </w:rPr>
        <w:t xml:space="preserve"> without improvement after treatment</w:t>
      </w:r>
      <w:r w:rsidR="00D75C30">
        <w:rPr>
          <w:rFonts w:ascii="Times New Roman" w:eastAsia="Times New Roman" w:hAnsi="Times New Roman" w:cs="Times New Roman"/>
          <w:sz w:val="24"/>
          <w:szCs w:val="24"/>
        </w:rPr>
        <w:t>,</w:t>
      </w:r>
      <w:r w:rsidR="0087242B">
        <w:rPr>
          <w:rFonts w:ascii="Times New Roman" w:eastAsia="Times New Roman" w:hAnsi="Times New Roman" w:cs="Times New Roman"/>
          <w:sz w:val="24"/>
          <w:szCs w:val="24"/>
        </w:rPr>
        <w:t xml:space="preserve"> and the </w:t>
      </w:r>
      <w:r w:rsidR="00D75C30">
        <w:rPr>
          <w:rFonts w:ascii="Times New Roman" w:eastAsia="Times New Roman" w:hAnsi="Times New Roman" w:cs="Times New Roman"/>
          <w:sz w:val="24"/>
          <w:szCs w:val="24"/>
        </w:rPr>
        <w:t>presence</w:t>
      </w:r>
      <w:r w:rsidR="0087242B">
        <w:rPr>
          <w:rFonts w:ascii="Times New Roman" w:eastAsia="Times New Roman" w:hAnsi="Times New Roman" w:cs="Times New Roman"/>
          <w:sz w:val="24"/>
          <w:szCs w:val="24"/>
        </w:rPr>
        <w:t xml:space="preserve"> of virilization aid</w:t>
      </w:r>
      <w:r w:rsidR="00AC019D">
        <w:rPr>
          <w:rFonts w:ascii="Times New Roman" w:eastAsia="Times New Roman" w:hAnsi="Times New Roman" w:cs="Times New Roman"/>
          <w:sz w:val="24"/>
          <w:szCs w:val="24"/>
        </w:rPr>
        <w:t>ed</w:t>
      </w:r>
      <w:r w:rsidR="0087242B">
        <w:rPr>
          <w:rFonts w:ascii="Times New Roman" w:eastAsia="Times New Roman" w:hAnsi="Times New Roman" w:cs="Times New Roman"/>
          <w:sz w:val="24"/>
          <w:szCs w:val="24"/>
        </w:rPr>
        <w:t xml:space="preserve"> in the diagnosis of </w:t>
      </w:r>
      <w:r w:rsidR="00D75C30">
        <w:rPr>
          <w:rFonts w:ascii="Times New Roman" w:eastAsia="Times New Roman" w:hAnsi="Times New Roman" w:cs="Times New Roman"/>
          <w:sz w:val="24"/>
          <w:szCs w:val="24"/>
        </w:rPr>
        <w:t>female</w:t>
      </w:r>
      <w:r w:rsidR="0087242B">
        <w:rPr>
          <w:rFonts w:ascii="Times New Roman" w:eastAsia="Times New Roman" w:hAnsi="Times New Roman" w:cs="Times New Roman"/>
          <w:sz w:val="24"/>
          <w:szCs w:val="24"/>
        </w:rPr>
        <w:t xml:space="preserve"> CAH. However, the number of males </w:t>
      </w:r>
      <w:r w:rsidR="00D75C30">
        <w:rPr>
          <w:rFonts w:ascii="Times New Roman" w:eastAsia="Times New Roman" w:hAnsi="Times New Roman" w:cs="Times New Roman"/>
          <w:sz w:val="24"/>
          <w:szCs w:val="24"/>
        </w:rPr>
        <w:t xml:space="preserve">with </w:t>
      </w:r>
      <w:r w:rsidR="0087242B">
        <w:rPr>
          <w:rFonts w:ascii="Times New Roman" w:eastAsia="Times New Roman" w:hAnsi="Times New Roman" w:cs="Times New Roman"/>
          <w:sz w:val="24"/>
          <w:szCs w:val="24"/>
        </w:rPr>
        <w:t xml:space="preserve">CAH </w:t>
      </w:r>
      <w:r w:rsidR="00AC019D">
        <w:rPr>
          <w:rFonts w:ascii="Times New Roman" w:eastAsia="Times New Roman" w:hAnsi="Times New Roman" w:cs="Times New Roman"/>
          <w:sz w:val="24"/>
          <w:szCs w:val="24"/>
        </w:rPr>
        <w:t>was underrepresented</w:t>
      </w:r>
      <w:r w:rsidR="00D75C30">
        <w:rPr>
          <w:rFonts w:ascii="Times New Roman" w:eastAsia="Times New Roman" w:hAnsi="Times New Roman" w:cs="Times New Roman"/>
          <w:sz w:val="24"/>
          <w:szCs w:val="24"/>
        </w:rPr>
        <w:t>,</w:t>
      </w:r>
      <w:r w:rsidR="00945C14">
        <w:rPr>
          <w:rFonts w:ascii="Times New Roman" w:eastAsia="Times New Roman" w:hAnsi="Times New Roman" w:cs="Times New Roman"/>
          <w:sz w:val="24"/>
          <w:szCs w:val="24"/>
        </w:rPr>
        <w:t xml:space="preserve"> which </w:t>
      </w:r>
      <w:r w:rsidR="00D75C30">
        <w:rPr>
          <w:rFonts w:ascii="Times New Roman" w:eastAsia="Times New Roman" w:hAnsi="Times New Roman" w:cs="Times New Roman"/>
          <w:sz w:val="24"/>
          <w:szCs w:val="24"/>
        </w:rPr>
        <w:t xml:space="preserve">was </w:t>
      </w:r>
      <w:r w:rsidR="00945C14">
        <w:rPr>
          <w:rFonts w:ascii="Times New Roman" w:eastAsia="Times New Roman" w:hAnsi="Times New Roman" w:cs="Times New Roman"/>
          <w:sz w:val="24"/>
          <w:szCs w:val="24"/>
        </w:rPr>
        <w:t xml:space="preserve">most likely caused by </w:t>
      </w:r>
      <w:r w:rsidR="00347674">
        <w:rPr>
          <w:rFonts w:ascii="Times New Roman" w:eastAsia="Times New Roman" w:hAnsi="Times New Roman" w:cs="Times New Roman"/>
          <w:sz w:val="24"/>
          <w:szCs w:val="24"/>
        </w:rPr>
        <w:t xml:space="preserve">the </w:t>
      </w:r>
      <w:r w:rsidR="00D75C30">
        <w:rPr>
          <w:rFonts w:ascii="Times New Roman" w:eastAsia="Times New Roman" w:hAnsi="Times New Roman" w:cs="Times New Roman"/>
          <w:sz w:val="24"/>
          <w:szCs w:val="24"/>
        </w:rPr>
        <w:t>absence</w:t>
      </w:r>
      <w:r w:rsidR="00347674">
        <w:rPr>
          <w:rFonts w:ascii="Times New Roman" w:eastAsia="Times New Roman" w:hAnsi="Times New Roman" w:cs="Times New Roman"/>
          <w:sz w:val="24"/>
          <w:szCs w:val="24"/>
        </w:rPr>
        <w:t xml:space="preserve"> of </w:t>
      </w:r>
      <w:r w:rsidR="00773888">
        <w:rPr>
          <w:rFonts w:ascii="Times New Roman" w:eastAsia="Times New Roman" w:hAnsi="Times New Roman" w:cs="Times New Roman"/>
          <w:sz w:val="24"/>
          <w:szCs w:val="24"/>
        </w:rPr>
        <w:t xml:space="preserve">genital ambiguity and </w:t>
      </w:r>
      <w:r w:rsidR="00945C14">
        <w:rPr>
          <w:rFonts w:ascii="Times New Roman" w:eastAsia="Times New Roman" w:hAnsi="Times New Roman" w:cs="Times New Roman"/>
          <w:sz w:val="24"/>
          <w:szCs w:val="24"/>
        </w:rPr>
        <w:t>misdiagnosis of adrenal crisis as gastroenteritis</w:t>
      </w:r>
      <w:r w:rsidR="0037386D">
        <w:rPr>
          <w:rFonts w:ascii="Times New Roman" w:eastAsia="Times New Roman" w:hAnsi="Times New Roman" w:cs="Times New Roman"/>
          <w:sz w:val="24"/>
          <w:szCs w:val="24"/>
        </w:rPr>
        <w:t>.</w:t>
      </w:r>
      <w:r w:rsidR="00DA5A84">
        <w:rPr>
          <w:rFonts w:ascii="Times New Roman" w:eastAsia="Times New Roman" w:hAnsi="Times New Roman" w:cs="Times New Roman"/>
          <w:sz w:val="24"/>
          <w:szCs w:val="24"/>
        </w:rPr>
        <w:fldChar w:fldCharType="begin"/>
      </w:r>
      <w:r w:rsidR="00DA5A84">
        <w:rPr>
          <w:rFonts w:ascii="Times New Roman" w:eastAsia="Times New Roman" w:hAnsi="Times New Roman" w:cs="Times New Roman"/>
          <w:sz w:val="24"/>
          <w:szCs w:val="24"/>
        </w:rPr>
        <w:instrText xml:space="preserve"> ADDIN ZOTERO_ITEM CSL_CITATION {"citationID":"zG3ojYLb","properties":{"formattedCitation":"\\super 4,5\\nosupersub{}","plainCitation":"4,5","noteIndex":0},"citationItems":[{"id":2235,"uris":["http://zotero.org/users/local/j4kVnGn0/items/DJWB8HK3"],"itemData":{"id":2235,"type":"article-journal","abstract":"IntroductionCongenital adrenal hyperplasia (CAH) due to 21-hydroxylase deficiency (21OHD) or 11-hydroxylase deficiency (11OHD) is characterized by underproduction of cortisol and overproduction of adrenal androgens. These androgens lead to a variable degree of virilization of the female external genitalia in 46,XX individuals. Especially in developing countries, diagnosis is often delayed and 46,XX patients might be assigned as males. This study aims to describe the clinical and biochemical characteristics of a unique cohort of untreated male-reared 46,XX classic CAH patients from Indonesia and discusses treatment challenges.MethodsNine untreated classic CAH patients with 46,XX genotype and 21OHD (n=6) or 11OHD (n=3), aged 3-46 years old, were included. Biometrical parameters, clinical characteristics, and biochemical measurements including glucocorticoids, renin, androgens, and the pituitary-gonadal axis were evaluated.ResultsAll patients had low early morning serum cortisol concentrations (median 89 nmol/L) without significant increase after ACTH stimulation. Three patients with salt wasting 21OHD reported one or more periods with seizures and/or vomiting in their past until the age of 6, but not thereafter. The remaining patients reported no severe illness or hospitalization episodes, despite their decreased capacity to produce cortisol. In the 21OHD patients, plasma renin levels were elevated compared to the reference range, and in 11OHD patients renin levels were in the low-normal range. All adult patients had serum testosterone concentrations within the normal male reference range. In 21OHD patients, serum 11-oxygenated androgens comprised 41-60% of the total serum androgen concentrations. Glucocorticoid treatment was offered to all patients, but they refused after counseling as this would reduce their endogenous androgen production and they did not report complaints of their low cortisol levels.DiscussionWe describe a unique cohort of untreated classic 46,XX male CAH patients without overt clinical signs of cortisol deficiency despite their cortisol underproduction and incapacity to increase cortisol levels after ACTH stimulation. The described adolescent and adult patients produce androgen levels within or above the normal male reference range. Glucocorticoid treatment will lower these adrenal androgen concentrations. Therefore, in 46,XX CAH patients reared as males an individual treatment approach with careful counseling and clear instructions is needed.","container-title":"Frontiers in Endocrinology","ISSN":"1664-2392","journalAbbreviation":"Frontiers in Endocrinology","title":"46,XX males with congenital adrenal hyperplasia: a clinical and biochemical description","URL":"https://www.frontiersin.org/journals/endocrinology/articles/10.3389/fendo.2024.1410122","volume":"15","author":[{"family":"Adriaansen","given":"Bas P. H."},{"family":"Utari","given":"Agustini"},{"family":"Westra","given":"Dineke"},{"family":"Juniarto","given":"Achmad Zulfa"},{"family":"Ariani","given":"Mahayu Dewi"},{"family":"Ediati","given":"Annastasia"},{"family":"Schröder","given":"Mariska A. M."},{"family":"Span","given":"Paul N."},{"family":"Sweep","given":"Fred C. G. J."},{"family":"Drop","given":"Stenvert L. S."},{"family":"Faradz","given":"Sultana M. H."},{"family":"Herwaarden","given":"Antonius E.","non-dropping-particle":"van"},{"family":"Claahsen – van der Grinten","given":"Hedi L."}],"issued":{"date-parts":[["2024"]]}}},{"id":1133,"uris":["http://zotero.org/users/local/j4kVnGn0/items/8N27A48I"],"itemData":{"id":1133,"type":"article-journal","abstract":"BACKGROUND: Congenital Adrenal Hyperplasia (CAH) due to CYP11B1 is a rare autosomal recessive adrenal disorder that causes a decrease in cortisol  production and accumulation of adrenal androgens and steroid precursors with  mineralocorticoid activity. Clinical manifestations include cortisol deficiency,  ambiguous genitalia in females (differences of sex development (DSD)), and  hypertension. Medical treatment recommendations are well defined, consisting of  glucocorticoid treatment to substitute glucocorticoid deficiency and consequently  normalize adrenal androgen and precursors levels. Current guidelines also  emphasize the need for specialized multidisciplinary DSD teams and psychosocial  support. In many developing countries, care for DSD patients, especially when  caused by an adrenal disease, is challenging due to the lack of infrastructure,  knowledge, and medication. OBJECTIVE: The study aims to report the conflicting  decision-making process of medical treatment and sex assignment in  late-identified CAH patients in developing countries. METHODS: We describe the  clinical and biochemical findings and the psychological assessment of five  affected but untreated family members with CAH due to CYP11B1 deficiency.  RESULTS: All patients had a 46,XX karyotype, ambiguous genitalia, low cortisol  levels, and hypertension. Two identified as males, two as females, and one had  undecided gender. The patients were counselled that refusing treatment will lead  to infertility and the potential risk of developing Addisonian crisis and severe  hypertension. However, all 46,XX CAH males refused treatment with glucocorticoids  due to the expected lowering of adrenal androgens as their main source of  testosterone. None of the patients developed Addisonian crisis, probably due to  some residual cortisol activity and glucocorticoid activity of elevated adrenal  steroid precursors. CONCLUSION: Medical treatment and sex assignment in  late-identified 46,XX CAH patients in Indonesia may often depend on local and  cultural factors. The management of DSD conditions may have to be individualized  and integrated into the psychological and social context of the affected family.","container-title":"Frontiers in endocrinology","DOI":"10.3389/fendo.2022.1015973","ISSN":"1664-2392","journalAbbreviation":"Front Endocrinol (Lausanne)","language":"eng","license":"Copyright © 2022 Utari, Faradz, Ediati, Rinne, Ariani, Juniarto, Drop, van Herwaarden and Claahsen-van der Grinten.","note":"publisher-place: Switzerland\nPMID: 36589846 \nPMCID: PMC9797803","page":"1015973","title":"Challenges in the treatment of late-identified untreated congenital adrenal hyperplasia due to CYP11B1 deficiency: Lessons from a developing country.","volume":"13","author":[{"family":"Utari","given":"Agustini"},{"family":"Faradz","given":"Sultana M. H."},{"family":"Ediati","given":"Annastasia"},{"family":"Rinne","given":"Tuula"},{"family":"Ariani","given":"Mahayu Dewi"},{"family":"Juniarto","given":"Achmad Zulfa"},{"family":"Drop","given":"Stenvert L. S."},{"family":"Herwaarden","given":"Antonius E.","non-dropping-particle":"van"},{"family":"Claahsen-van der Grinten","given":"Hedi L."}],"issued":{"date-parts":[["2022"]]}}}],"schema":"https://github.com/citation-style-language/schema/raw/master/csl-citation.json"} </w:instrText>
      </w:r>
      <w:r w:rsidR="00DA5A84">
        <w:rPr>
          <w:rFonts w:ascii="Times New Roman" w:eastAsia="Times New Roman" w:hAnsi="Times New Roman" w:cs="Times New Roman"/>
          <w:sz w:val="24"/>
          <w:szCs w:val="24"/>
        </w:rPr>
        <w:fldChar w:fldCharType="separate"/>
      </w:r>
      <w:r w:rsidR="0071648C" w:rsidRPr="0071648C">
        <w:rPr>
          <w:rFonts w:ascii="Times New Roman" w:hAnsi="Times New Roman" w:cs="Times New Roman"/>
          <w:sz w:val="24"/>
          <w:vertAlign w:val="superscript"/>
        </w:rPr>
        <w:t>4,5</w:t>
      </w:r>
      <w:r w:rsidR="00DA5A84">
        <w:rPr>
          <w:rFonts w:ascii="Times New Roman" w:eastAsia="Times New Roman" w:hAnsi="Times New Roman" w:cs="Times New Roman"/>
          <w:sz w:val="24"/>
          <w:szCs w:val="24"/>
        </w:rPr>
        <w:fldChar w:fldCharType="end"/>
      </w:r>
      <w:r w:rsidR="00743A14">
        <w:rPr>
          <w:rFonts w:ascii="Times New Roman" w:eastAsia="Times New Roman" w:hAnsi="Times New Roman" w:cs="Times New Roman"/>
          <w:sz w:val="24"/>
          <w:szCs w:val="24"/>
        </w:rPr>
        <w:t xml:space="preserve"> </w:t>
      </w:r>
      <w:r w:rsidR="00F77C2B">
        <w:rPr>
          <w:rFonts w:ascii="Times New Roman" w:eastAsia="Times New Roman" w:hAnsi="Times New Roman" w:cs="Times New Roman"/>
          <w:sz w:val="24"/>
          <w:szCs w:val="24"/>
        </w:rPr>
        <w:t xml:space="preserve">Timely diagnosis is crucial to prevent the lethality of </w:t>
      </w:r>
      <w:r w:rsidR="0026775D">
        <w:rPr>
          <w:rFonts w:ascii="Times New Roman" w:eastAsia="Times New Roman" w:hAnsi="Times New Roman" w:cs="Times New Roman"/>
          <w:sz w:val="24"/>
          <w:szCs w:val="24"/>
        </w:rPr>
        <w:t xml:space="preserve">the adrenal crisis. </w:t>
      </w:r>
      <w:r w:rsidR="00743A14">
        <w:rPr>
          <w:rFonts w:ascii="Times New Roman" w:eastAsia="Times New Roman" w:hAnsi="Times New Roman" w:cs="Times New Roman"/>
          <w:sz w:val="24"/>
          <w:szCs w:val="24"/>
        </w:rPr>
        <w:t xml:space="preserve">With the beginning of CAH NBS in Indonesia, medical laboratories should improve their capacity and capability, particularly in the measurement of 17-hydroxyprogesterone (17OHP) and genotyping of the </w:t>
      </w:r>
      <w:r w:rsidR="00743A14">
        <w:rPr>
          <w:rFonts w:ascii="Times New Roman" w:eastAsia="Times New Roman" w:hAnsi="Times New Roman" w:cs="Times New Roman"/>
          <w:i/>
          <w:iCs/>
          <w:sz w:val="24"/>
          <w:szCs w:val="24"/>
        </w:rPr>
        <w:t>CYP21A2</w:t>
      </w:r>
      <w:r w:rsidR="00743A14">
        <w:rPr>
          <w:rFonts w:ascii="Times New Roman" w:eastAsia="Times New Roman" w:hAnsi="Times New Roman" w:cs="Times New Roman"/>
          <w:sz w:val="24"/>
          <w:szCs w:val="24"/>
        </w:rPr>
        <w:t>.</w:t>
      </w:r>
    </w:p>
    <w:p w14:paraId="557F2384" w14:textId="77777777" w:rsidR="00945C14" w:rsidRDefault="00945C14">
      <w:pPr>
        <w:spacing w:after="0" w:line="240" w:lineRule="auto"/>
        <w:ind w:left="0" w:hanging="2"/>
        <w:jc w:val="both"/>
        <w:rPr>
          <w:rFonts w:ascii="Times New Roman" w:eastAsia="Times New Roman" w:hAnsi="Times New Roman" w:cs="Times New Roman"/>
          <w:sz w:val="24"/>
          <w:szCs w:val="24"/>
        </w:rPr>
      </w:pPr>
    </w:p>
    <w:p w14:paraId="44B0FD9A" w14:textId="673FE235" w:rsidR="004B3461" w:rsidRPr="00105132" w:rsidRDefault="006B0FB0" w:rsidP="00FE252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565989">
        <w:rPr>
          <w:rFonts w:ascii="Times New Roman" w:eastAsia="Times New Roman" w:hAnsi="Times New Roman" w:cs="Times New Roman"/>
          <w:sz w:val="24"/>
          <w:szCs w:val="24"/>
        </w:rPr>
        <w:t xml:space="preserve">he </w:t>
      </w:r>
      <w:r w:rsidR="00565989">
        <w:rPr>
          <w:rFonts w:ascii="Times New Roman" w:eastAsia="Times New Roman" w:hAnsi="Times New Roman" w:cs="Times New Roman"/>
          <w:i/>
          <w:iCs/>
          <w:sz w:val="24"/>
          <w:szCs w:val="24"/>
        </w:rPr>
        <w:t xml:space="preserve">CYP21A2 </w:t>
      </w:r>
      <w:r w:rsidR="00587905" w:rsidRPr="00587905">
        <w:rPr>
          <w:rFonts w:ascii="Times New Roman" w:eastAsia="Times New Roman" w:hAnsi="Times New Roman" w:cs="Times New Roman"/>
          <w:sz w:val="24"/>
          <w:szCs w:val="24"/>
        </w:rPr>
        <w:t xml:space="preserve">(GenBank NG_007941.3; </w:t>
      </w:r>
      <w:proofErr w:type="spellStart"/>
      <w:r w:rsidR="00587905" w:rsidRPr="00587905">
        <w:rPr>
          <w:rFonts w:ascii="Times New Roman" w:eastAsia="Times New Roman" w:hAnsi="Times New Roman" w:cs="Times New Roman"/>
          <w:sz w:val="24"/>
          <w:szCs w:val="24"/>
        </w:rPr>
        <w:t>Ensembl</w:t>
      </w:r>
      <w:proofErr w:type="spellEnd"/>
      <w:r w:rsidR="00587905" w:rsidRPr="00587905">
        <w:rPr>
          <w:rFonts w:ascii="Times New Roman" w:eastAsia="Times New Roman" w:hAnsi="Times New Roman" w:cs="Times New Roman"/>
          <w:sz w:val="24"/>
          <w:szCs w:val="24"/>
        </w:rPr>
        <w:t xml:space="preserve"> ENSG00000231852; </w:t>
      </w:r>
      <w:proofErr w:type="spellStart"/>
      <w:r w:rsidR="00587905" w:rsidRPr="00587905">
        <w:rPr>
          <w:rFonts w:ascii="Times New Roman" w:eastAsia="Times New Roman" w:hAnsi="Times New Roman" w:cs="Times New Roman"/>
          <w:sz w:val="24"/>
          <w:szCs w:val="24"/>
        </w:rPr>
        <w:t>AllianceGenome</w:t>
      </w:r>
      <w:proofErr w:type="spellEnd"/>
      <w:r w:rsidR="00587905" w:rsidRPr="00587905">
        <w:rPr>
          <w:rFonts w:ascii="Times New Roman" w:eastAsia="Times New Roman" w:hAnsi="Times New Roman" w:cs="Times New Roman"/>
          <w:sz w:val="24"/>
          <w:szCs w:val="24"/>
        </w:rPr>
        <w:t xml:space="preserve"> HGNC:2600)</w:t>
      </w:r>
      <w:r w:rsidR="00587905">
        <w:rPr>
          <w:rFonts w:ascii="Times New Roman" w:eastAsia="Times New Roman" w:hAnsi="Times New Roman" w:cs="Times New Roman"/>
          <w:sz w:val="24"/>
          <w:szCs w:val="24"/>
        </w:rPr>
        <w:t xml:space="preserve"> </w:t>
      </w:r>
      <w:r w:rsidR="00F62542">
        <w:rPr>
          <w:rFonts w:ascii="Times New Roman" w:eastAsia="Times New Roman" w:hAnsi="Times New Roman" w:cs="Times New Roman"/>
          <w:sz w:val="24"/>
          <w:szCs w:val="24"/>
        </w:rPr>
        <w:t xml:space="preserve">has a highly homologous pseudogene, the </w:t>
      </w:r>
      <w:r w:rsidR="00F62542" w:rsidRPr="00F62542">
        <w:rPr>
          <w:rFonts w:ascii="Times New Roman" w:eastAsia="Times New Roman" w:hAnsi="Times New Roman" w:cs="Times New Roman"/>
          <w:i/>
          <w:iCs/>
          <w:sz w:val="24"/>
          <w:szCs w:val="24"/>
        </w:rPr>
        <w:t>CYP21A1P</w:t>
      </w:r>
      <w:r w:rsidR="00F62542">
        <w:rPr>
          <w:rFonts w:ascii="Times New Roman" w:eastAsia="Times New Roman" w:hAnsi="Times New Roman" w:cs="Times New Roman"/>
          <w:sz w:val="24"/>
          <w:szCs w:val="24"/>
        </w:rPr>
        <w:t>, in which both are</w:t>
      </w:r>
      <w:r w:rsidR="00587905">
        <w:rPr>
          <w:rFonts w:ascii="Times New Roman" w:eastAsia="Times New Roman" w:hAnsi="Times New Roman" w:cs="Times New Roman"/>
          <w:sz w:val="24"/>
          <w:szCs w:val="24"/>
        </w:rPr>
        <w:t xml:space="preserve"> located in a </w:t>
      </w:r>
      <w:r w:rsidR="00B737FA">
        <w:rPr>
          <w:rFonts w:ascii="Times New Roman" w:eastAsia="Times New Roman" w:hAnsi="Times New Roman" w:cs="Times New Roman"/>
          <w:sz w:val="24"/>
          <w:szCs w:val="24"/>
        </w:rPr>
        <w:t xml:space="preserve">human leukocyte antigen (HLA) class III </w:t>
      </w:r>
      <w:r w:rsidR="00C00F26">
        <w:rPr>
          <w:rFonts w:ascii="Times New Roman" w:eastAsia="Times New Roman" w:hAnsi="Times New Roman" w:cs="Times New Roman"/>
          <w:sz w:val="24"/>
          <w:szCs w:val="24"/>
        </w:rPr>
        <w:t>on the short arm of chromosome 6 (6p</w:t>
      </w:r>
      <w:r w:rsidR="00FF6C36">
        <w:rPr>
          <w:rFonts w:ascii="Times New Roman" w:eastAsia="Times New Roman" w:hAnsi="Times New Roman" w:cs="Times New Roman"/>
          <w:sz w:val="24"/>
          <w:szCs w:val="24"/>
        </w:rPr>
        <w:t>21.3),</w:t>
      </w:r>
      <w:r w:rsidR="00C00F26">
        <w:rPr>
          <w:rFonts w:ascii="Times New Roman" w:eastAsia="Times New Roman" w:hAnsi="Times New Roman" w:cs="Times New Roman"/>
          <w:sz w:val="24"/>
          <w:szCs w:val="24"/>
        </w:rPr>
        <w:t xml:space="preserve"> </w:t>
      </w:r>
      <w:r w:rsidR="004C66FB">
        <w:rPr>
          <w:rFonts w:ascii="Times New Roman" w:eastAsia="Times New Roman" w:hAnsi="Times New Roman" w:cs="Times New Roman"/>
          <w:sz w:val="24"/>
          <w:szCs w:val="24"/>
        </w:rPr>
        <w:t xml:space="preserve">where </w:t>
      </w:r>
      <w:r w:rsidR="00FF6C36">
        <w:rPr>
          <w:rFonts w:ascii="Times New Roman" w:eastAsia="Times New Roman" w:hAnsi="Times New Roman" w:cs="Times New Roman"/>
          <w:sz w:val="24"/>
          <w:szCs w:val="24"/>
        </w:rPr>
        <w:t xml:space="preserve">a </w:t>
      </w:r>
      <w:r w:rsidR="004C66FB">
        <w:rPr>
          <w:rFonts w:ascii="Times New Roman" w:eastAsia="Times New Roman" w:hAnsi="Times New Roman" w:cs="Times New Roman"/>
          <w:sz w:val="24"/>
          <w:szCs w:val="24"/>
        </w:rPr>
        <w:t>high frequency of gene recombination occurs</w:t>
      </w:r>
      <w:r>
        <w:rPr>
          <w:rFonts w:ascii="Times New Roman" w:eastAsia="Times New Roman" w:hAnsi="Times New Roman" w:cs="Times New Roman"/>
          <w:sz w:val="24"/>
          <w:szCs w:val="24"/>
        </w:rPr>
        <w:t>.</w:t>
      </w:r>
      <w:r w:rsidR="00600062">
        <w:rPr>
          <w:rFonts w:ascii="Times New Roman" w:eastAsia="Times New Roman" w:hAnsi="Times New Roman" w:cs="Times New Roman"/>
          <w:sz w:val="24"/>
          <w:szCs w:val="24"/>
        </w:rPr>
        <w:fldChar w:fldCharType="begin"/>
      </w:r>
      <w:r w:rsidR="00A73FF9">
        <w:rPr>
          <w:rFonts w:ascii="Times New Roman" w:eastAsia="Times New Roman" w:hAnsi="Times New Roman" w:cs="Times New Roman"/>
          <w:sz w:val="24"/>
          <w:szCs w:val="24"/>
        </w:rPr>
        <w:instrText xml:space="preserve"> ADDIN ZOTERO_ITEM CSL_CITATION {"citationID":"nljSikPs","properties":{"formattedCitation":"\\super 6\\nosupersub{}","plainCitation":"6","noteIndex":0},"citationItems":[{"id":"o9onmwVT/o7HwsLKa","uris":["http://zotero.org/users/local/j4kVnGn0/items/ECXY7XQA"],"itemData":{"id":7275,"type":"article-journal","abstract":"Congenital adrenal hyperplasia (CAH) is an autosomal recessive disease that manifests clinically in varying forms depending on the degree of enzyme deficiency. CAH is most commonly caused by 21-hydroxylase deficiency (21OHD) due to mutations in the CYP21A2 gene. Whereas there is a spectrum of disease severity, 21OHD is generally categorized into 3 forms. The classic form encompasses salt-wasting and simple virilizing CAH and the least affected form is termed nonclassic CAH. The classic form of 21OHD occurs in </w:instrText>
      </w:r>
      <w:r w:rsidR="00A73FF9">
        <w:rPr>
          <w:rFonts w:ascii="Cambria Math" w:eastAsia="Times New Roman" w:hAnsi="Cambria Math" w:cs="Cambria Math"/>
          <w:sz w:val="24"/>
          <w:szCs w:val="24"/>
        </w:rPr>
        <w:instrText>∼</w:instrText>
      </w:r>
      <w:r w:rsidR="00A73FF9">
        <w:rPr>
          <w:rFonts w:ascii="Times New Roman" w:eastAsia="Times New Roman" w:hAnsi="Times New Roman" w:cs="Times New Roman"/>
          <w:sz w:val="24"/>
          <w:szCs w:val="24"/>
        </w:rPr>
        <w:instrText xml:space="preserve">1 in 16 000 births with the most severe salt-wasting cases presenting in the neonatal period with cortisol and aldosterone deficiencies and virilization of external female genitalia. Cortisol deficiency removes normal feedback on the hypothalamic-pituitary-adrenal axis leading to elevations in ACTH and adrenal androgen levels, which often accelerate skeletal maturation, leading to premature epiphyseal growth plate closure. Additionally, supraphysiologic doses of glucocorticoids are necessary to suppress androgen levels, adversely affecting final adult height. This paper highlights a brief history of 21OHD and provides an overview of the genetic basis and pathophysiology of 21OHD.","archive_location":"39836621","container-title":"J Clin Endocrinol Metab","DOI":"10.1210/clinem/dgae535","ISSN":"0021-972X (Print) 0021-972x","issue":"Supplement_1","language":"eng","page":"S1–s12","source":"NLM","title":"Genetics and Pathophysiology of Classic Congenital Adrenal Hyperplasia Due to 21-Hydroxylase Deficiency","volume":"110","author":[{"family":"Yang","given":"M."},{"family":"White","given":"P. C."}],"issued":{"date-parts":[["2025",1,21]]}}}],"schema":"https://github.com/citation-style-language/schema/raw/master/csl-citation.json"} </w:instrText>
      </w:r>
      <w:r w:rsidR="00600062">
        <w:rPr>
          <w:rFonts w:ascii="Times New Roman" w:eastAsia="Times New Roman" w:hAnsi="Times New Roman" w:cs="Times New Roman"/>
          <w:sz w:val="24"/>
          <w:szCs w:val="24"/>
        </w:rPr>
        <w:fldChar w:fldCharType="separate"/>
      </w:r>
      <w:r w:rsidR="0071648C" w:rsidRPr="0071648C">
        <w:rPr>
          <w:rFonts w:ascii="Times New Roman" w:hAnsi="Times New Roman" w:cs="Times New Roman"/>
          <w:sz w:val="24"/>
          <w:vertAlign w:val="superscript"/>
        </w:rPr>
        <w:t>6</w:t>
      </w:r>
      <w:r w:rsidR="00600062">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Hence, genoty</w:t>
      </w:r>
      <w:r w:rsidR="001F2464">
        <w:rPr>
          <w:rFonts w:ascii="Times New Roman" w:eastAsia="Times New Roman" w:hAnsi="Times New Roman" w:cs="Times New Roman"/>
          <w:sz w:val="24"/>
          <w:szCs w:val="24"/>
        </w:rPr>
        <w:t>ping the gene</w:t>
      </w:r>
      <w:r w:rsidR="00BC6F23">
        <w:rPr>
          <w:rFonts w:ascii="Times New Roman" w:eastAsia="Times New Roman" w:hAnsi="Times New Roman" w:cs="Times New Roman"/>
          <w:sz w:val="24"/>
          <w:szCs w:val="24"/>
        </w:rPr>
        <w:t xml:space="preserve">, interpreting the results, and providing </w:t>
      </w:r>
      <w:r w:rsidR="00D966A2">
        <w:rPr>
          <w:rFonts w:ascii="Times New Roman" w:eastAsia="Times New Roman" w:hAnsi="Times New Roman" w:cs="Times New Roman"/>
          <w:sz w:val="24"/>
          <w:szCs w:val="24"/>
        </w:rPr>
        <w:t>a comprehensive genetic counseling</w:t>
      </w:r>
      <w:r w:rsidR="001F2464">
        <w:rPr>
          <w:rFonts w:ascii="Times New Roman" w:eastAsia="Times New Roman" w:hAnsi="Times New Roman" w:cs="Times New Roman"/>
          <w:sz w:val="24"/>
          <w:szCs w:val="24"/>
        </w:rPr>
        <w:t xml:space="preserve"> required a thorough knowledge</w:t>
      </w:r>
      <w:r w:rsidR="00D966A2">
        <w:rPr>
          <w:rFonts w:ascii="Times New Roman" w:eastAsia="Times New Roman" w:hAnsi="Times New Roman" w:cs="Times New Roman"/>
          <w:sz w:val="24"/>
          <w:szCs w:val="24"/>
        </w:rPr>
        <w:t xml:space="preserve"> of the genetics of CAH. The genetic test </w:t>
      </w:r>
      <w:r w:rsidR="00DE580C">
        <w:rPr>
          <w:rFonts w:ascii="Times New Roman" w:eastAsia="Times New Roman" w:hAnsi="Times New Roman" w:cs="Times New Roman"/>
          <w:sz w:val="24"/>
          <w:szCs w:val="24"/>
        </w:rPr>
        <w:t xml:space="preserve">could provide </w:t>
      </w:r>
      <w:r w:rsidR="00067800">
        <w:rPr>
          <w:rFonts w:ascii="Times New Roman" w:eastAsia="Times New Roman" w:hAnsi="Times New Roman" w:cs="Times New Roman"/>
          <w:sz w:val="24"/>
          <w:szCs w:val="24"/>
        </w:rPr>
        <w:t xml:space="preserve">a reliable diagnosis, particularly </w:t>
      </w:r>
      <w:r w:rsidR="009259B9">
        <w:rPr>
          <w:rFonts w:ascii="Times New Roman" w:eastAsia="Times New Roman" w:hAnsi="Times New Roman" w:cs="Times New Roman"/>
          <w:sz w:val="24"/>
          <w:szCs w:val="24"/>
        </w:rPr>
        <w:t>in terms of inconclusive results after cosyntropin stimulation test</w:t>
      </w:r>
      <w:r w:rsidR="00CF2999">
        <w:rPr>
          <w:rFonts w:ascii="Times New Roman" w:eastAsia="Times New Roman" w:hAnsi="Times New Roman" w:cs="Times New Roman"/>
          <w:sz w:val="24"/>
          <w:szCs w:val="24"/>
        </w:rPr>
        <w:t>, and benefit for genetic counseling</w:t>
      </w:r>
      <w:r w:rsidR="001A5CA5">
        <w:rPr>
          <w:rFonts w:ascii="Times New Roman" w:eastAsia="Times New Roman" w:hAnsi="Times New Roman" w:cs="Times New Roman"/>
          <w:sz w:val="24"/>
          <w:szCs w:val="24"/>
        </w:rPr>
        <w:t xml:space="preserve">, </w:t>
      </w:r>
      <w:proofErr w:type="spellStart"/>
      <w:r w:rsidR="001A5CA5">
        <w:rPr>
          <w:rFonts w:ascii="Times New Roman" w:eastAsia="Times New Roman" w:hAnsi="Times New Roman" w:cs="Times New Roman"/>
          <w:sz w:val="24"/>
          <w:szCs w:val="24"/>
        </w:rPr>
        <w:t>i.e</w:t>
      </w:r>
      <w:proofErr w:type="spellEnd"/>
      <w:r w:rsidR="001A5CA5">
        <w:rPr>
          <w:rFonts w:ascii="Times New Roman" w:eastAsia="Times New Roman" w:hAnsi="Times New Roman" w:cs="Times New Roman"/>
          <w:sz w:val="24"/>
          <w:szCs w:val="24"/>
        </w:rPr>
        <w:t>, phenotype prediction, prognosis, carrier detection, and family planning</w:t>
      </w:r>
      <w:r w:rsidR="00FE252D">
        <w:rPr>
          <w:rFonts w:ascii="Times New Roman" w:eastAsia="Times New Roman" w:hAnsi="Times New Roman" w:cs="Times New Roman"/>
          <w:sz w:val="24"/>
          <w:szCs w:val="24"/>
        </w:rPr>
        <w:t>.</w:t>
      </w:r>
      <w:r w:rsidR="00FD080B">
        <w:rPr>
          <w:rFonts w:ascii="Times New Roman" w:eastAsia="Times New Roman" w:hAnsi="Times New Roman" w:cs="Times New Roman"/>
          <w:sz w:val="24"/>
          <w:szCs w:val="24"/>
        </w:rPr>
        <w:fldChar w:fldCharType="begin"/>
      </w:r>
      <w:r w:rsidR="00FD080B">
        <w:rPr>
          <w:rFonts w:ascii="Times New Roman" w:eastAsia="Times New Roman" w:hAnsi="Times New Roman" w:cs="Times New Roman"/>
          <w:sz w:val="24"/>
          <w:szCs w:val="24"/>
        </w:rPr>
        <w:instrText xml:space="preserve"> ADDIN ZOTERO_ITEM CSL_CITATION {"citationID":"X8zqUQsh","properties":{"formattedCitation":"\\super 7\\nosupersub{}","plainCitation":"7","noteIndex":0},"citationItems":[{"id":825,"uris":["http://zotero.org/users/local/j4kVnGn0/items/Q7MPHP9H"],"itemData":{"id":825,"type":"article-journal","abstract":"Congenital adrenal hyperplasia (CAH) is a group of autosomal recessive disorders of steroidogenesis of the adrenal cortex, most commonly due to 21-hydroxylase deficiency caused by mutations in the CYP21A2 gene. Although women with CAH have decreased fecundity, they are able to conceive; thus, if pregnancy is not desired, contraception options should be offered. If fertility is desired, women with classic CAH should first optimize glucocorticoid treatment, followed by ovulation induction medications and gonadotropins if needed. Due to the possible pregnancy complications and implications on the offspring, preconception genetic testing and counseling with a high-risk obstetrics specialist is recommended. For couples trying to avoid having a child with CAH, care with a reproductive endocrinology and infertility specialist to utilize in vitro fertilization can be offered, with or without preimplantation genetic testing for monogenic disorders. Prenatal screening and diagnosis options during pregnancy include maternal serum cell free-DNA for sex of the baby, and chorionic villus sampling and amniocentesis for diagnosis of CAH. Pregnant women with classic CAH need glucocorticoids to be adjusted during the pregnancy, at the time of delivery, and postpartum, and should be monitored for adrenal crisis. Maternal and fetal risks may include chorioamnionitis, maternal hypertension, gestational diabetes, cesarean section, and small for gestational age infants. This review on CAH due to 21-hydroxylase deficiency highlights reproductive health including genetic transmission, contraception options, glucocorticoid management, fertility treatments, as well as testing, antenatal monitoring, and management during pregnancy, delivery, and postpartum.","container-title":"Reviews in Endocrine and Metabolic Disorders","DOI":"10.1007/s11154-022-09770-5","ISSN":"1573-2606","issue":"1","page":"71-83","title":"The management of congenital adrenal hyperplasia during preconception, pregnancy, and postpartum","volume":"24","author":[{"family":"Maher","given":"Jacqueline Yano"},{"family":"Gomez-Lobo","given":"Veronica"},{"family":"Merke","given":"Deborah P"}],"issued":{"date-parts":[["2023"]]}}}],"schema":"https://github.com/citation-style-language/schema/raw/master/csl-citation.json"} </w:instrText>
      </w:r>
      <w:r w:rsidR="00FD080B">
        <w:rPr>
          <w:rFonts w:ascii="Times New Roman" w:eastAsia="Times New Roman" w:hAnsi="Times New Roman" w:cs="Times New Roman"/>
          <w:sz w:val="24"/>
          <w:szCs w:val="24"/>
        </w:rPr>
        <w:fldChar w:fldCharType="separate"/>
      </w:r>
      <w:r w:rsidR="0071648C" w:rsidRPr="0071648C">
        <w:rPr>
          <w:rFonts w:ascii="Times New Roman" w:hAnsi="Times New Roman" w:cs="Times New Roman"/>
          <w:sz w:val="24"/>
          <w:vertAlign w:val="superscript"/>
        </w:rPr>
        <w:t>7</w:t>
      </w:r>
      <w:r w:rsidR="00FD080B">
        <w:rPr>
          <w:rFonts w:ascii="Times New Roman" w:eastAsia="Times New Roman" w:hAnsi="Times New Roman" w:cs="Times New Roman"/>
          <w:sz w:val="24"/>
          <w:szCs w:val="24"/>
        </w:rPr>
        <w:fldChar w:fldCharType="end"/>
      </w:r>
      <w:r w:rsidR="00FE252D">
        <w:rPr>
          <w:rFonts w:ascii="Times New Roman" w:eastAsia="Times New Roman" w:hAnsi="Times New Roman" w:cs="Times New Roman"/>
          <w:sz w:val="24"/>
          <w:szCs w:val="24"/>
        </w:rPr>
        <w:t xml:space="preserve"> Due to </w:t>
      </w:r>
      <w:r w:rsidR="00725812">
        <w:rPr>
          <w:rFonts w:ascii="Times New Roman" w:eastAsia="Times New Roman" w:hAnsi="Times New Roman" w:cs="Times New Roman"/>
          <w:sz w:val="24"/>
          <w:szCs w:val="24"/>
        </w:rPr>
        <w:t xml:space="preserve">a </w:t>
      </w:r>
      <w:r w:rsidR="00FE252D">
        <w:rPr>
          <w:rFonts w:ascii="Times New Roman" w:eastAsia="Times New Roman" w:hAnsi="Times New Roman" w:cs="Times New Roman"/>
          <w:sz w:val="24"/>
          <w:szCs w:val="24"/>
        </w:rPr>
        <w:t xml:space="preserve">lack of </w:t>
      </w:r>
      <w:r w:rsidR="00BD1A5C">
        <w:rPr>
          <w:rFonts w:ascii="Times New Roman" w:eastAsia="Times New Roman" w:hAnsi="Times New Roman" w:cs="Times New Roman"/>
          <w:sz w:val="24"/>
          <w:szCs w:val="24"/>
        </w:rPr>
        <w:t xml:space="preserve">resources, the </w:t>
      </w:r>
      <w:r w:rsidR="00BD1A5C">
        <w:rPr>
          <w:rFonts w:ascii="Times New Roman" w:eastAsia="Times New Roman" w:hAnsi="Times New Roman" w:cs="Times New Roman"/>
          <w:i/>
          <w:iCs/>
          <w:sz w:val="24"/>
          <w:szCs w:val="24"/>
        </w:rPr>
        <w:t xml:space="preserve">CYP21A2 </w:t>
      </w:r>
      <w:r w:rsidR="00BD1A5C">
        <w:rPr>
          <w:rFonts w:ascii="Times New Roman" w:eastAsia="Times New Roman" w:hAnsi="Times New Roman" w:cs="Times New Roman"/>
          <w:sz w:val="24"/>
          <w:szCs w:val="24"/>
        </w:rPr>
        <w:t>genetic test using multiplex ligation-probe dependent amplification (MLPA) and Sanger sequencing</w:t>
      </w:r>
      <w:r w:rsidR="002629CA">
        <w:rPr>
          <w:rFonts w:ascii="Times New Roman" w:eastAsia="Times New Roman" w:hAnsi="Times New Roman" w:cs="Times New Roman"/>
          <w:sz w:val="24"/>
          <w:szCs w:val="24"/>
        </w:rPr>
        <w:t xml:space="preserve"> </w:t>
      </w:r>
      <w:r w:rsidR="00725812">
        <w:rPr>
          <w:rFonts w:ascii="Times New Roman" w:eastAsia="Times New Roman" w:hAnsi="Times New Roman" w:cs="Times New Roman"/>
          <w:sz w:val="24"/>
          <w:szCs w:val="24"/>
        </w:rPr>
        <w:t>could</w:t>
      </w:r>
      <w:r w:rsidR="002629CA">
        <w:rPr>
          <w:rFonts w:ascii="Times New Roman" w:eastAsia="Times New Roman" w:hAnsi="Times New Roman" w:cs="Times New Roman"/>
          <w:sz w:val="24"/>
          <w:szCs w:val="24"/>
        </w:rPr>
        <w:t xml:space="preserve"> not be conducted in Indonesia. Therefore, we aimed to conduct a cost-effective</w:t>
      </w:r>
      <w:r w:rsidR="00B20BC9">
        <w:rPr>
          <w:rFonts w:ascii="Times New Roman" w:eastAsia="Times New Roman" w:hAnsi="Times New Roman" w:cs="Times New Roman"/>
          <w:sz w:val="24"/>
          <w:szCs w:val="24"/>
        </w:rPr>
        <w:t xml:space="preserve">, simple, and reliable method suitable for any </w:t>
      </w:r>
      <w:r w:rsidR="00725812">
        <w:rPr>
          <w:rFonts w:ascii="Times New Roman" w:eastAsia="Times New Roman" w:hAnsi="Times New Roman" w:cs="Times New Roman"/>
          <w:sz w:val="24"/>
          <w:szCs w:val="24"/>
        </w:rPr>
        <w:t>laboratory</w:t>
      </w:r>
      <w:r w:rsidR="00B20BC9">
        <w:rPr>
          <w:rFonts w:ascii="Times New Roman" w:eastAsia="Times New Roman" w:hAnsi="Times New Roman" w:cs="Times New Roman"/>
          <w:sz w:val="24"/>
          <w:szCs w:val="24"/>
        </w:rPr>
        <w:t xml:space="preserve"> with conventional PCR and gel electrophoresis</w:t>
      </w:r>
      <w:r w:rsidR="006F50FA">
        <w:rPr>
          <w:rFonts w:ascii="Times New Roman" w:eastAsia="Times New Roman" w:hAnsi="Times New Roman" w:cs="Times New Roman"/>
          <w:sz w:val="24"/>
          <w:szCs w:val="24"/>
        </w:rPr>
        <w:t xml:space="preserve"> using Polymerase Chain Reaction-Restriction Fragment Length Polymorphism (PCR-RFLP) in the </w:t>
      </w:r>
      <w:r w:rsidR="003D4130">
        <w:rPr>
          <w:rFonts w:ascii="Times New Roman" w:eastAsia="Times New Roman" w:hAnsi="Times New Roman" w:cs="Times New Roman"/>
          <w:sz w:val="24"/>
          <w:szCs w:val="24"/>
        </w:rPr>
        <w:t xml:space="preserve">leading </w:t>
      </w:r>
      <w:r w:rsidR="006F50FA">
        <w:rPr>
          <w:rFonts w:ascii="Times New Roman" w:eastAsia="Times New Roman" w:hAnsi="Times New Roman" w:cs="Times New Roman"/>
          <w:sz w:val="24"/>
          <w:szCs w:val="24"/>
        </w:rPr>
        <w:t>CAH center in Indonesia</w:t>
      </w:r>
      <w:r w:rsidR="00FD2551">
        <w:rPr>
          <w:rFonts w:ascii="Times New Roman" w:eastAsia="Times New Roman" w:hAnsi="Times New Roman" w:cs="Times New Roman"/>
          <w:sz w:val="24"/>
          <w:szCs w:val="24"/>
        </w:rPr>
        <w:t xml:space="preserve"> to detect the most common point variants causing the most severe SW CAH</w:t>
      </w:r>
      <w:r w:rsidR="006F50FA">
        <w:rPr>
          <w:rFonts w:ascii="Times New Roman" w:eastAsia="Times New Roman" w:hAnsi="Times New Roman" w:cs="Times New Roman"/>
          <w:sz w:val="24"/>
          <w:szCs w:val="24"/>
        </w:rPr>
        <w:t>.</w:t>
      </w:r>
      <w:r w:rsidR="00105132">
        <w:rPr>
          <w:rFonts w:ascii="Times New Roman" w:eastAsia="Times New Roman" w:hAnsi="Times New Roman" w:cs="Times New Roman"/>
          <w:sz w:val="24"/>
          <w:szCs w:val="24"/>
        </w:rPr>
        <w:t xml:space="preserve"> This method was suitable </w:t>
      </w:r>
      <w:r w:rsidR="00FD2551">
        <w:rPr>
          <w:rFonts w:ascii="Times New Roman" w:eastAsia="Times New Roman" w:hAnsi="Times New Roman" w:cs="Times New Roman"/>
          <w:sz w:val="24"/>
          <w:szCs w:val="24"/>
        </w:rPr>
        <w:t xml:space="preserve">to be applied </w:t>
      </w:r>
      <w:r w:rsidR="007B7A86">
        <w:rPr>
          <w:rFonts w:ascii="Times New Roman" w:eastAsia="Times New Roman" w:hAnsi="Times New Roman" w:cs="Times New Roman"/>
          <w:sz w:val="24"/>
          <w:szCs w:val="24"/>
        </w:rPr>
        <w:t>in a resource-limited setting</w:t>
      </w:r>
      <w:r w:rsidR="00105132">
        <w:rPr>
          <w:rFonts w:ascii="Times New Roman" w:eastAsia="Times New Roman" w:hAnsi="Times New Roman" w:cs="Times New Roman"/>
          <w:sz w:val="24"/>
          <w:szCs w:val="24"/>
        </w:rPr>
        <w:t>, thus</w:t>
      </w:r>
      <w:r w:rsidR="002406F3">
        <w:rPr>
          <w:rFonts w:ascii="Times New Roman" w:eastAsia="Times New Roman" w:hAnsi="Times New Roman" w:cs="Times New Roman"/>
          <w:sz w:val="24"/>
          <w:szCs w:val="24"/>
        </w:rPr>
        <w:t xml:space="preserve"> we could provide timely</w:t>
      </w:r>
      <w:r w:rsidR="005C1B5F">
        <w:rPr>
          <w:rFonts w:ascii="Times New Roman" w:eastAsia="Times New Roman" w:hAnsi="Times New Roman" w:cs="Times New Roman"/>
          <w:sz w:val="24"/>
          <w:szCs w:val="24"/>
        </w:rPr>
        <w:t>,</w:t>
      </w:r>
      <w:r w:rsidR="002406F3">
        <w:rPr>
          <w:rFonts w:ascii="Times New Roman" w:eastAsia="Times New Roman" w:hAnsi="Times New Roman" w:cs="Times New Roman"/>
          <w:sz w:val="24"/>
          <w:szCs w:val="24"/>
        </w:rPr>
        <w:t xml:space="preserve"> </w:t>
      </w:r>
      <w:r w:rsidR="008042C7">
        <w:rPr>
          <w:rFonts w:ascii="Times New Roman" w:eastAsia="Times New Roman" w:hAnsi="Times New Roman" w:cs="Times New Roman"/>
          <w:sz w:val="24"/>
          <w:szCs w:val="24"/>
        </w:rPr>
        <w:t xml:space="preserve">comprehensive </w:t>
      </w:r>
      <w:r w:rsidR="002406F3">
        <w:rPr>
          <w:rFonts w:ascii="Times New Roman" w:eastAsia="Times New Roman" w:hAnsi="Times New Roman" w:cs="Times New Roman"/>
          <w:sz w:val="24"/>
          <w:szCs w:val="24"/>
        </w:rPr>
        <w:t xml:space="preserve">diagnosis when the CAH NBS </w:t>
      </w:r>
      <w:r w:rsidR="005C1B5F">
        <w:rPr>
          <w:rFonts w:ascii="Times New Roman" w:eastAsia="Times New Roman" w:hAnsi="Times New Roman" w:cs="Times New Roman"/>
          <w:sz w:val="24"/>
          <w:szCs w:val="24"/>
        </w:rPr>
        <w:t>becomes</w:t>
      </w:r>
      <w:r w:rsidR="002406F3">
        <w:rPr>
          <w:rFonts w:ascii="Times New Roman" w:eastAsia="Times New Roman" w:hAnsi="Times New Roman" w:cs="Times New Roman"/>
          <w:sz w:val="24"/>
          <w:szCs w:val="24"/>
        </w:rPr>
        <w:t xml:space="preserve"> a national program</w:t>
      </w:r>
      <w:r w:rsidR="008042C7">
        <w:rPr>
          <w:rFonts w:ascii="Times New Roman" w:eastAsia="Times New Roman" w:hAnsi="Times New Roman" w:cs="Times New Roman"/>
          <w:sz w:val="24"/>
          <w:szCs w:val="24"/>
        </w:rPr>
        <w:t>.</w:t>
      </w:r>
    </w:p>
    <w:p w14:paraId="3298A8DA" w14:textId="77777777" w:rsidR="008E6C80" w:rsidRDefault="008E6C80">
      <w:pPr>
        <w:spacing w:after="0" w:line="240" w:lineRule="auto"/>
        <w:ind w:left="0" w:hanging="2"/>
        <w:jc w:val="both"/>
        <w:rPr>
          <w:rFonts w:ascii="Times New Roman" w:eastAsia="Times New Roman" w:hAnsi="Times New Roman" w:cs="Times New Roman"/>
          <w:sz w:val="24"/>
          <w:szCs w:val="24"/>
        </w:rPr>
      </w:pPr>
    </w:p>
    <w:p w14:paraId="3298A8DC" w14:textId="41929599" w:rsidR="008E6C80" w:rsidRDefault="005D3AC0" w:rsidP="00CA46E3">
      <w:pPr>
        <w:pStyle w:val="Heading1"/>
      </w:pPr>
      <w:r>
        <w:t>MATERIALS AND METHODS</w:t>
      </w:r>
    </w:p>
    <w:p w14:paraId="3298A8DD" w14:textId="35DDC557" w:rsidR="008E6C80" w:rsidRDefault="00D66388">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was a</w:t>
      </w:r>
      <w:r w:rsidR="004836FF">
        <w:rPr>
          <w:rFonts w:ascii="Times New Roman" w:eastAsia="Times New Roman" w:hAnsi="Times New Roman" w:cs="Times New Roman"/>
          <w:sz w:val="24"/>
          <w:szCs w:val="24"/>
        </w:rPr>
        <w:t>n experimental cross-sectional study</w:t>
      </w:r>
      <w:r>
        <w:rPr>
          <w:rFonts w:ascii="Times New Roman" w:eastAsia="Times New Roman" w:hAnsi="Times New Roman" w:cs="Times New Roman"/>
          <w:sz w:val="24"/>
          <w:szCs w:val="24"/>
        </w:rPr>
        <w:t xml:space="preserve"> </w:t>
      </w:r>
      <w:r w:rsidR="004836FF">
        <w:rPr>
          <w:rFonts w:ascii="Times New Roman" w:eastAsia="Times New Roman" w:hAnsi="Times New Roman" w:cs="Times New Roman"/>
          <w:sz w:val="24"/>
          <w:szCs w:val="24"/>
        </w:rPr>
        <w:t xml:space="preserve">conducted in a genetics research laboratory in Semarang, Indonesia. The study was conducted from </w:t>
      </w:r>
      <w:r w:rsidR="00494994">
        <w:rPr>
          <w:rFonts w:ascii="Times New Roman" w:eastAsia="Times New Roman" w:hAnsi="Times New Roman" w:cs="Times New Roman"/>
          <w:sz w:val="24"/>
          <w:szCs w:val="24"/>
        </w:rPr>
        <w:t>November 2023 to June 2024.</w:t>
      </w:r>
    </w:p>
    <w:p w14:paraId="554BC3F6" w14:textId="77777777" w:rsidR="00CE4CC0" w:rsidRDefault="00CE4CC0">
      <w:pPr>
        <w:spacing w:after="0" w:line="240" w:lineRule="auto"/>
        <w:ind w:left="0" w:hanging="2"/>
        <w:jc w:val="both"/>
        <w:rPr>
          <w:rFonts w:ascii="Times New Roman" w:eastAsia="Times New Roman" w:hAnsi="Times New Roman" w:cs="Times New Roman"/>
          <w:sz w:val="24"/>
          <w:szCs w:val="24"/>
        </w:rPr>
      </w:pPr>
    </w:p>
    <w:p w14:paraId="40D5A388" w14:textId="4177FA02" w:rsidR="00CE4CC0" w:rsidRDefault="00CE4CC0">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participants of this study were individuals with CAH </w:t>
      </w:r>
      <w:r w:rsidR="003635D5">
        <w:rPr>
          <w:rFonts w:ascii="Times New Roman" w:eastAsia="Times New Roman" w:hAnsi="Times New Roman" w:cs="Times New Roman"/>
          <w:sz w:val="24"/>
          <w:szCs w:val="24"/>
        </w:rPr>
        <w:t xml:space="preserve">without prior genetic test </w:t>
      </w:r>
      <w:r>
        <w:rPr>
          <w:rFonts w:ascii="Times New Roman" w:eastAsia="Times New Roman" w:hAnsi="Times New Roman" w:cs="Times New Roman"/>
          <w:sz w:val="24"/>
          <w:szCs w:val="24"/>
        </w:rPr>
        <w:t>who were diagnosed by pediatric endocrinologist</w:t>
      </w:r>
      <w:r w:rsidR="009748D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3635D5">
        <w:rPr>
          <w:rFonts w:ascii="Times New Roman" w:eastAsia="Times New Roman" w:hAnsi="Times New Roman" w:cs="Times New Roman"/>
          <w:sz w:val="24"/>
          <w:szCs w:val="24"/>
        </w:rPr>
        <w:t>at a tertiary and secondary hospital in Semarang, Indonesia.</w:t>
      </w:r>
      <w:r w:rsidR="0087605B">
        <w:rPr>
          <w:rFonts w:ascii="Times New Roman" w:eastAsia="Times New Roman" w:hAnsi="Times New Roman" w:cs="Times New Roman"/>
          <w:sz w:val="24"/>
          <w:szCs w:val="24"/>
        </w:rPr>
        <w:t xml:space="preserve"> The diagnosis of CAH was made based on the clinical characteristics, i.e., vomiting, diarrhea, dehydration, hyperpigmentation, and virilization in females, and biochemical measurement of 17OHP and electrolytes, i.e., sodium and potassium.</w:t>
      </w:r>
      <w:r w:rsidR="00A52DF6">
        <w:rPr>
          <w:rFonts w:ascii="Times New Roman" w:eastAsia="Times New Roman" w:hAnsi="Times New Roman" w:cs="Times New Roman"/>
          <w:sz w:val="24"/>
          <w:szCs w:val="24"/>
        </w:rPr>
        <w:t xml:space="preserve"> </w:t>
      </w:r>
      <w:r w:rsidR="009748D7">
        <w:rPr>
          <w:rFonts w:ascii="Times New Roman" w:eastAsia="Times New Roman" w:hAnsi="Times New Roman" w:cs="Times New Roman"/>
          <w:sz w:val="24"/>
          <w:szCs w:val="24"/>
        </w:rPr>
        <w:t xml:space="preserve">Participants </w:t>
      </w:r>
      <w:r w:rsidR="00A52DF6">
        <w:rPr>
          <w:rFonts w:ascii="Times New Roman" w:eastAsia="Times New Roman" w:hAnsi="Times New Roman" w:cs="Times New Roman"/>
          <w:sz w:val="24"/>
          <w:szCs w:val="24"/>
        </w:rPr>
        <w:t>were approached during their routine follow-up and offered their participat</w:t>
      </w:r>
      <w:r w:rsidR="009748D7">
        <w:rPr>
          <w:rFonts w:ascii="Times New Roman" w:eastAsia="Times New Roman" w:hAnsi="Times New Roman" w:cs="Times New Roman"/>
          <w:sz w:val="24"/>
          <w:szCs w:val="24"/>
        </w:rPr>
        <w:t>ion</w:t>
      </w:r>
      <w:r w:rsidR="00A52DF6">
        <w:rPr>
          <w:rFonts w:ascii="Times New Roman" w:eastAsia="Times New Roman" w:hAnsi="Times New Roman" w:cs="Times New Roman"/>
          <w:sz w:val="24"/>
          <w:szCs w:val="24"/>
        </w:rPr>
        <w:t xml:space="preserve"> in the study. </w:t>
      </w:r>
      <w:r w:rsidR="008B7A2B">
        <w:rPr>
          <w:rFonts w:ascii="Times New Roman" w:eastAsia="Times New Roman" w:hAnsi="Times New Roman" w:cs="Times New Roman"/>
          <w:sz w:val="24"/>
          <w:szCs w:val="24"/>
        </w:rPr>
        <w:t xml:space="preserve">Parents or caregivers of </w:t>
      </w:r>
      <w:r w:rsidR="009748D7">
        <w:rPr>
          <w:rFonts w:ascii="Times New Roman" w:eastAsia="Times New Roman" w:hAnsi="Times New Roman" w:cs="Times New Roman"/>
          <w:sz w:val="24"/>
          <w:szCs w:val="24"/>
        </w:rPr>
        <w:t xml:space="preserve">younger participants (&lt;18 years) </w:t>
      </w:r>
      <w:r w:rsidR="008B7A2B">
        <w:rPr>
          <w:rFonts w:ascii="Times New Roman" w:eastAsia="Times New Roman" w:hAnsi="Times New Roman" w:cs="Times New Roman"/>
          <w:sz w:val="24"/>
          <w:szCs w:val="24"/>
        </w:rPr>
        <w:t>provided written consent to or not to participate in the study after receiving and understanding the information given by the research team.</w:t>
      </w:r>
    </w:p>
    <w:p w14:paraId="1EEFC4EE" w14:textId="77777777" w:rsidR="00B07690" w:rsidRDefault="00B07690">
      <w:pPr>
        <w:spacing w:after="0" w:line="240" w:lineRule="auto"/>
        <w:ind w:left="0" w:hanging="2"/>
        <w:jc w:val="both"/>
        <w:rPr>
          <w:rFonts w:ascii="Times New Roman" w:eastAsia="Times New Roman" w:hAnsi="Times New Roman" w:cs="Times New Roman"/>
          <w:sz w:val="24"/>
          <w:szCs w:val="24"/>
        </w:rPr>
      </w:pPr>
    </w:p>
    <w:p w14:paraId="2AE3D6A1" w14:textId="32BF08C0" w:rsidR="00C247BD" w:rsidRDefault="00B07690">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participant’s blood </w:t>
      </w:r>
      <w:r w:rsidR="008B7A2B">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drawn from </w:t>
      </w:r>
      <w:r w:rsidR="004E3BF9">
        <w:rPr>
          <w:rFonts w:ascii="Times New Roman" w:eastAsia="Times New Roman" w:hAnsi="Times New Roman" w:cs="Times New Roman"/>
          <w:sz w:val="24"/>
          <w:szCs w:val="24"/>
        </w:rPr>
        <w:t xml:space="preserve">a cubital venous vessel </w:t>
      </w:r>
      <w:r w:rsidR="007726A5">
        <w:rPr>
          <w:rFonts w:ascii="Times New Roman" w:eastAsia="Times New Roman" w:hAnsi="Times New Roman" w:cs="Times New Roman"/>
          <w:sz w:val="24"/>
          <w:szCs w:val="24"/>
        </w:rPr>
        <w:t>by trained laboratory technician</w:t>
      </w:r>
      <w:r w:rsidR="009748D7">
        <w:rPr>
          <w:rFonts w:ascii="Times New Roman" w:eastAsia="Times New Roman" w:hAnsi="Times New Roman" w:cs="Times New Roman"/>
          <w:sz w:val="24"/>
          <w:szCs w:val="24"/>
        </w:rPr>
        <w:t>s</w:t>
      </w:r>
      <w:r w:rsidR="007726A5">
        <w:rPr>
          <w:rFonts w:ascii="Times New Roman" w:eastAsia="Times New Roman" w:hAnsi="Times New Roman" w:cs="Times New Roman"/>
          <w:sz w:val="24"/>
          <w:szCs w:val="24"/>
        </w:rPr>
        <w:t xml:space="preserve">. The blood </w:t>
      </w:r>
      <w:r w:rsidR="008B7A2B">
        <w:rPr>
          <w:rFonts w:ascii="Times New Roman" w:eastAsia="Times New Roman" w:hAnsi="Times New Roman" w:cs="Times New Roman"/>
          <w:sz w:val="24"/>
          <w:szCs w:val="24"/>
        </w:rPr>
        <w:t>was</w:t>
      </w:r>
      <w:r w:rsidR="007726A5">
        <w:rPr>
          <w:rFonts w:ascii="Times New Roman" w:eastAsia="Times New Roman" w:hAnsi="Times New Roman" w:cs="Times New Roman"/>
          <w:sz w:val="24"/>
          <w:szCs w:val="24"/>
        </w:rPr>
        <w:t xml:space="preserve"> stored inside an EDTA tube </w:t>
      </w:r>
      <w:r w:rsidR="008B7A2B">
        <w:rPr>
          <w:rFonts w:ascii="Times New Roman" w:eastAsia="Times New Roman" w:hAnsi="Times New Roman" w:cs="Times New Roman"/>
          <w:sz w:val="24"/>
          <w:szCs w:val="24"/>
        </w:rPr>
        <w:t xml:space="preserve">in </w:t>
      </w:r>
      <w:r w:rsidR="007726A5">
        <w:rPr>
          <w:rFonts w:ascii="Times New Roman" w:eastAsia="Times New Roman" w:hAnsi="Times New Roman" w:cs="Times New Roman"/>
          <w:sz w:val="24"/>
          <w:szCs w:val="24"/>
        </w:rPr>
        <w:t xml:space="preserve">a -80°C. </w:t>
      </w:r>
      <w:r w:rsidR="001E5F26">
        <w:rPr>
          <w:rFonts w:ascii="Times New Roman" w:eastAsia="Times New Roman" w:hAnsi="Times New Roman" w:cs="Times New Roman"/>
          <w:sz w:val="24"/>
          <w:szCs w:val="24"/>
        </w:rPr>
        <w:t xml:space="preserve">A </w:t>
      </w:r>
      <w:r w:rsidR="008B7A2B">
        <w:rPr>
          <w:rFonts w:ascii="Times New Roman" w:eastAsia="Times New Roman" w:hAnsi="Times New Roman" w:cs="Times New Roman"/>
          <w:sz w:val="24"/>
          <w:szCs w:val="24"/>
        </w:rPr>
        <w:t>salting-out</w:t>
      </w:r>
      <w:r w:rsidR="001E5F26">
        <w:rPr>
          <w:rFonts w:ascii="Times New Roman" w:eastAsia="Times New Roman" w:hAnsi="Times New Roman" w:cs="Times New Roman"/>
          <w:sz w:val="24"/>
          <w:szCs w:val="24"/>
        </w:rPr>
        <w:t xml:space="preserve"> method was utilized to extract the DNA.</w:t>
      </w:r>
      <w:r w:rsidR="00127604">
        <w:rPr>
          <w:rFonts w:ascii="Times New Roman" w:eastAsia="Times New Roman" w:hAnsi="Times New Roman" w:cs="Times New Roman"/>
          <w:sz w:val="24"/>
          <w:szCs w:val="24"/>
        </w:rPr>
        <w:t xml:space="preserve"> DNA concentration and purity were measured </w:t>
      </w:r>
      <w:r w:rsidR="00643779">
        <w:rPr>
          <w:rFonts w:ascii="Times New Roman" w:eastAsia="Times New Roman" w:hAnsi="Times New Roman" w:cs="Times New Roman"/>
          <w:sz w:val="24"/>
          <w:szCs w:val="24"/>
        </w:rPr>
        <w:t xml:space="preserve">using </w:t>
      </w:r>
      <w:proofErr w:type="spellStart"/>
      <w:r w:rsidR="00643779">
        <w:rPr>
          <w:rFonts w:ascii="Times New Roman" w:eastAsia="Times New Roman" w:hAnsi="Times New Roman" w:cs="Times New Roman"/>
          <w:sz w:val="24"/>
          <w:szCs w:val="24"/>
        </w:rPr>
        <w:t>NanoVue</w:t>
      </w:r>
      <w:proofErr w:type="spellEnd"/>
      <w:r w:rsidR="00643779">
        <w:rPr>
          <w:rFonts w:ascii="Times New Roman" w:eastAsia="Times New Roman" w:hAnsi="Times New Roman" w:cs="Times New Roman"/>
          <w:sz w:val="24"/>
          <w:szCs w:val="24"/>
        </w:rPr>
        <w:t xml:space="preserve"> Plus Spectrophotometer (</w:t>
      </w:r>
      <w:r w:rsidR="00920813" w:rsidRPr="00920813">
        <w:rPr>
          <w:rFonts w:ascii="Times New Roman" w:eastAsia="Times New Roman" w:hAnsi="Times New Roman" w:cs="Times New Roman"/>
          <w:sz w:val="24"/>
          <w:szCs w:val="24"/>
        </w:rPr>
        <w:t>GE Healthcare Technologies, Inc</w:t>
      </w:r>
      <w:r w:rsidR="009B2520">
        <w:rPr>
          <w:rFonts w:ascii="Times New Roman" w:eastAsia="Times New Roman" w:hAnsi="Times New Roman" w:cs="Times New Roman"/>
          <w:sz w:val="24"/>
          <w:szCs w:val="24"/>
        </w:rPr>
        <w:t>.</w:t>
      </w:r>
      <w:r w:rsidR="00643779">
        <w:rPr>
          <w:rFonts w:ascii="Times New Roman" w:eastAsia="Times New Roman" w:hAnsi="Times New Roman" w:cs="Times New Roman"/>
          <w:sz w:val="24"/>
          <w:szCs w:val="24"/>
        </w:rPr>
        <w:t xml:space="preserve">, Chicago, </w:t>
      </w:r>
      <w:r w:rsidR="009B2520">
        <w:rPr>
          <w:rFonts w:ascii="Times New Roman" w:eastAsia="Times New Roman" w:hAnsi="Times New Roman" w:cs="Times New Roman"/>
          <w:sz w:val="24"/>
          <w:szCs w:val="24"/>
        </w:rPr>
        <w:t>IL)</w:t>
      </w:r>
      <w:r w:rsidR="00815ED0">
        <w:rPr>
          <w:rFonts w:ascii="Times New Roman" w:eastAsia="Times New Roman" w:hAnsi="Times New Roman" w:cs="Times New Roman"/>
          <w:sz w:val="24"/>
          <w:szCs w:val="24"/>
        </w:rPr>
        <w:t xml:space="preserve"> by </w:t>
      </w:r>
      <w:r w:rsidR="00CA5A1C">
        <w:rPr>
          <w:rFonts w:ascii="Times New Roman" w:eastAsia="Times New Roman" w:hAnsi="Times New Roman" w:cs="Times New Roman"/>
          <w:sz w:val="24"/>
          <w:szCs w:val="24"/>
        </w:rPr>
        <w:t xml:space="preserve">calculating the DNA </w:t>
      </w:r>
      <w:r w:rsidR="008B7A2B">
        <w:rPr>
          <w:rFonts w:ascii="Times New Roman" w:eastAsia="Times New Roman" w:hAnsi="Times New Roman" w:cs="Times New Roman"/>
          <w:sz w:val="24"/>
          <w:szCs w:val="24"/>
        </w:rPr>
        <w:t>samples'</w:t>
      </w:r>
      <w:r w:rsidR="00CA5A1C">
        <w:rPr>
          <w:rFonts w:ascii="Times New Roman" w:eastAsia="Times New Roman" w:hAnsi="Times New Roman" w:cs="Times New Roman"/>
          <w:sz w:val="24"/>
          <w:szCs w:val="24"/>
        </w:rPr>
        <w:t xml:space="preserve"> absorbance at 260 nanometers (A260)</w:t>
      </w:r>
      <w:r w:rsidR="00AC42F9">
        <w:rPr>
          <w:rFonts w:ascii="Times New Roman" w:eastAsia="Times New Roman" w:hAnsi="Times New Roman" w:cs="Times New Roman"/>
          <w:sz w:val="24"/>
          <w:szCs w:val="24"/>
        </w:rPr>
        <w:t xml:space="preserve"> and</w:t>
      </w:r>
      <w:r w:rsidR="00CA5A1C">
        <w:rPr>
          <w:rFonts w:ascii="Times New Roman" w:eastAsia="Times New Roman" w:hAnsi="Times New Roman" w:cs="Times New Roman"/>
          <w:sz w:val="24"/>
          <w:szCs w:val="24"/>
        </w:rPr>
        <w:t xml:space="preserve"> </w:t>
      </w:r>
      <w:r w:rsidR="000A5C9B">
        <w:rPr>
          <w:rFonts w:ascii="Times New Roman" w:eastAsia="Times New Roman" w:hAnsi="Times New Roman" w:cs="Times New Roman"/>
          <w:sz w:val="24"/>
          <w:szCs w:val="24"/>
        </w:rPr>
        <w:t>the ratio of absorbance at 260 and 280 nanometers (A260/A280)</w:t>
      </w:r>
      <w:r w:rsidR="00406136">
        <w:rPr>
          <w:rFonts w:ascii="Times New Roman" w:eastAsia="Times New Roman" w:hAnsi="Times New Roman" w:cs="Times New Roman"/>
          <w:sz w:val="24"/>
          <w:szCs w:val="24"/>
        </w:rPr>
        <w:t xml:space="preserve">, respectively. </w:t>
      </w:r>
      <w:r w:rsidR="00AC42F9">
        <w:rPr>
          <w:rFonts w:ascii="Times New Roman" w:eastAsia="Times New Roman" w:hAnsi="Times New Roman" w:cs="Times New Roman"/>
          <w:sz w:val="24"/>
          <w:szCs w:val="24"/>
        </w:rPr>
        <w:t xml:space="preserve">A </w:t>
      </w:r>
      <w:r w:rsidR="00DB1A4F">
        <w:rPr>
          <w:rFonts w:ascii="Times New Roman" w:eastAsia="Times New Roman" w:hAnsi="Times New Roman" w:cs="Times New Roman"/>
          <w:sz w:val="24"/>
          <w:szCs w:val="24"/>
        </w:rPr>
        <w:t xml:space="preserve">A260/280 </w:t>
      </w:r>
      <w:r w:rsidR="00AC42F9">
        <w:rPr>
          <w:rFonts w:ascii="Times New Roman" w:eastAsia="Times New Roman" w:hAnsi="Times New Roman" w:cs="Times New Roman"/>
          <w:sz w:val="24"/>
          <w:szCs w:val="24"/>
        </w:rPr>
        <w:t xml:space="preserve">ratio </w:t>
      </w:r>
      <w:r w:rsidR="00DB1A4F">
        <w:rPr>
          <w:rFonts w:ascii="Times New Roman" w:eastAsia="Times New Roman" w:hAnsi="Times New Roman" w:cs="Times New Roman"/>
          <w:sz w:val="24"/>
          <w:szCs w:val="24"/>
        </w:rPr>
        <w:t xml:space="preserve">at </w:t>
      </w:r>
      <w:r w:rsidR="006F7D91" w:rsidRPr="006F7D91">
        <w:rPr>
          <w:rFonts w:ascii="Times New Roman" w:eastAsia="Times New Roman" w:hAnsi="Times New Roman" w:cs="Times New Roman"/>
          <w:sz w:val="24"/>
          <w:szCs w:val="24"/>
        </w:rPr>
        <w:t>≥1.80 was considered as the value of pure DNA</w:t>
      </w:r>
      <w:r w:rsidR="006F7D91">
        <w:rPr>
          <w:rFonts w:ascii="Times New Roman" w:eastAsia="Times New Roman" w:hAnsi="Times New Roman" w:cs="Times New Roman"/>
          <w:sz w:val="24"/>
          <w:szCs w:val="24"/>
        </w:rPr>
        <w:t>.</w:t>
      </w:r>
    </w:p>
    <w:p w14:paraId="32D3904F" w14:textId="77777777" w:rsidR="0051587B" w:rsidRDefault="0051587B">
      <w:pPr>
        <w:spacing w:after="0" w:line="240" w:lineRule="auto"/>
        <w:ind w:left="0" w:hanging="2"/>
        <w:jc w:val="both"/>
        <w:rPr>
          <w:rFonts w:ascii="Times New Roman" w:eastAsia="Times New Roman" w:hAnsi="Times New Roman" w:cs="Times New Roman"/>
          <w:sz w:val="24"/>
          <w:szCs w:val="24"/>
        </w:rPr>
      </w:pPr>
    </w:p>
    <w:p w14:paraId="01D3C78B" w14:textId="65BF8869" w:rsidR="00E04F58" w:rsidRDefault="00033197">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FE7089">
        <w:rPr>
          <w:rFonts w:ascii="Times New Roman" w:eastAsia="Times New Roman" w:hAnsi="Times New Roman" w:cs="Times New Roman"/>
          <w:sz w:val="24"/>
          <w:szCs w:val="24"/>
        </w:rPr>
        <w:t xml:space="preserve">PCR process was carried out using the </w:t>
      </w:r>
      <w:proofErr w:type="spellStart"/>
      <w:r w:rsidR="00FE7089" w:rsidRPr="00FE7089">
        <w:rPr>
          <w:rFonts w:ascii="Times New Roman" w:eastAsia="Times New Roman" w:hAnsi="Times New Roman" w:cs="Times New Roman"/>
          <w:sz w:val="24"/>
          <w:szCs w:val="24"/>
        </w:rPr>
        <w:t>GeneAmp</w:t>
      </w:r>
      <w:proofErr w:type="spellEnd"/>
      <w:r w:rsidR="00FE7089" w:rsidRPr="00FE7089">
        <w:rPr>
          <w:rFonts w:ascii="Times New Roman" w:eastAsia="Times New Roman" w:hAnsi="Times New Roman" w:cs="Times New Roman"/>
          <w:sz w:val="24"/>
          <w:szCs w:val="24"/>
        </w:rPr>
        <w:t xml:space="preserve"> PCR System 9700</w:t>
      </w:r>
      <w:r w:rsidR="00FE7089">
        <w:rPr>
          <w:rFonts w:ascii="Times New Roman" w:eastAsia="Times New Roman" w:hAnsi="Times New Roman" w:cs="Times New Roman"/>
          <w:sz w:val="24"/>
          <w:szCs w:val="24"/>
        </w:rPr>
        <w:t xml:space="preserve"> (</w:t>
      </w:r>
      <w:r w:rsidR="00FE7089" w:rsidRPr="00FE7089">
        <w:rPr>
          <w:rFonts w:ascii="Times New Roman" w:eastAsia="Times New Roman" w:hAnsi="Times New Roman" w:cs="Times New Roman"/>
          <w:sz w:val="24"/>
          <w:szCs w:val="24"/>
        </w:rPr>
        <w:t>Thermo Fisher Scientific Inc.</w:t>
      </w:r>
      <w:r w:rsidR="00FE7089">
        <w:rPr>
          <w:rFonts w:ascii="Times New Roman" w:eastAsia="Times New Roman" w:hAnsi="Times New Roman" w:cs="Times New Roman"/>
          <w:sz w:val="24"/>
          <w:szCs w:val="24"/>
        </w:rPr>
        <w:t xml:space="preserve">, </w:t>
      </w:r>
      <w:r w:rsidR="004B2C2B">
        <w:rPr>
          <w:rFonts w:ascii="Times New Roman" w:eastAsia="Times New Roman" w:hAnsi="Times New Roman" w:cs="Times New Roman"/>
          <w:sz w:val="24"/>
          <w:szCs w:val="24"/>
        </w:rPr>
        <w:t>Waltham, MA)</w:t>
      </w:r>
      <w:r w:rsidR="00AE205C">
        <w:rPr>
          <w:rFonts w:ascii="Times New Roman" w:eastAsia="Times New Roman" w:hAnsi="Times New Roman" w:cs="Times New Roman"/>
          <w:sz w:val="24"/>
          <w:szCs w:val="24"/>
        </w:rPr>
        <w:t>.</w:t>
      </w:r>
      <w:r w:rsidR="00C247BD">
        <w:rPr>
          <w:rFonts w:ascii="Times New Roman" w:eastAsia="Times New Roman" w:hAnsi="Times New Roman" w:cs="Times New Roman"/>
          <w:sz w:val="24"/>
          <w:szCs w:val="24"/>
        </w:rPr>
        <w:t xml:space="preserve"> </w:t>
      </w:r>
      <w:r w:rsidR="00CC1D21">
        <w:rPr>
          <w:rFonts w:ascii="Times New Roman" w:eastAsia="Times New Roman" w:hAnsi="Times New Roman" w:cs="Times New Roman"/>
          <w:sz w:val="24"/>
          <w:szCs w:val="24"/>
        </w:rPr>
        <w:t>Two rounds PCR amplification was utilized</w:t>
      </w:r>
      <w:r w:rsidR="004C7184">
        <w:rPr>
          <w:rFonts w:ascii="Times New Roman" w:eastAsia="Times New Roman" w:hAnsi="Times New Roman" w:cs="Times New Roman"/>
          <w:sz w:val="24"/>
          <w:szCs w:val="24"/>
        </w:rPr>
        <w:t xml:space="preserve"> for</w:t>
      </w:r>
      <w:r w:rsidR="00705CA3">
        <w:rPr>
          <w:rFonts w:ascii="Times New Roman" w:eastAsia="Times New Roman" w:hAnsi="Times New Roman" w:cs="Times New Roman"/>
          <w:sz w:val="24"/>
          <w:szCs w:val="24"/>
        </w:rPr>
        <w:t xml:space="preserve"> the </w:t>
      </w:r>
      <w:r w:rsidR="000F02B5" w:rsidRPr="000F02B5">
        <w:rPr>
          <w:rFonts w:ascii="Times New Roman" w:eastAsia="Times New Roman" w:hAnsi="Times New Roman" w:cs="Times New Roman"/>
          <w:sz w:val="24"/>
          <w:szCs w:val="24"/>
        </w:rPr>
        <w:t>IVS2-13A/C&gt;G</w:t>
      </w:r>
      <w:r w:rsidR="004C7184">
        <w:rPr>
          <w:rFonts w:ascii="Times New Roman" w:eastAsia="Times New Roman" w:hAnsi="Times New Roman" w:cs="Times New Roman"/>
          <w:sz w:val="24"/>
          <w:szCs w:val="24"/>
        </w:rPr>
        <w:t xml:space="preserve"> variant</w:t>
      </w:r>
      <w:r w:rsidR="00705CA3">
        <w:rPr>
          <w:rFonts w:ascii="Times New Roman" w:eastAsia="Times New Roman" w:hAnsi="Times New Roman" w:cs="Times New Roman"/>
          <w:sz w:val="24"/>
          <w:szCs w:val="24"/>
        </w:rPr>
        <w:t>, in which the first round</w:t>
      </w:r>
      <w:r w:rsidR="00B27FBD">
        <w:rPr>
          <w:rFonts w:ascii="Times New Roman" w:eastAsia="Times New Roman" w:hAnsi="Times New Roman" w:cs="Times New Roman"/>
          <w:sz w:val="24"/>
          <w:szCs w:val="24"/>
        </w:rPr>
        <w:t xml:space="preserve"> </w:t>
      </w:r>
      <w:r w:rsidR="00A316CF">
        <w:rPr>
          <w:rFonts w:ascii="Times New Roman" w:eastAsia="Times New Roman" w:hAnsi="Times New Roman" w:cs="Times New Roman"/>
          <w:sz w:val="24"/>
          <w:szCs w:val="24"/>
        </w:rPr>
        <w:t xml:space="preserve">was targeted to specifically amplify the </w:t>
      </w:r>
      <w:r w:rsidR="005D318C">
        <w:rPr>
          <w:rFonts w:ascii="Times New Roman" w:eastAsia="Times New Roman" w:hAnsi="Times New Roman" w:cs="Times New Roman"/>
          <w:sz w:val="24"/>
          <w:szCs w:val="24"/>
        </w:rPr>
        <w:t>e</w:t>
      </w:r>
      <w:r w:rsidR="00A316CF">
        <w:rPr>
          <w:rFonts w:ascii="Times New Roman" w:eastAsia="Times New Roman" w:hAnsi="Times New Roman" w:cs="Times New Roman"/>
          <w:sz w:val="24"/>
          <w:szCs w:val="24"/>
        </w:rPr>
        <w:t>xon</w:t>
      </w:r>
      <w:r w:rsidR="00BC2F6C">
        <w:rPr>
          <w:rFonts w:ascii="Times New Roman" w:eastAsia="Times New Roman" w:hAnsi="Times New Roman" w:cs="Times New Roman"/>
          <w:sz w:val="24"/>
          <w:szCs w:val="24"/>
        </w:rPr>
        <w:t xml:space="preserve"> 1, exon 2, and the intron 2 site</w:t>
      </w:r>
      <w:r w:rsidR="006101FB">
        <w:rPr>
          <w:rFonts w:ascii="Times New Roman" w:eastAsia="Times New Roman" w:hAnsi="Times New Roman" w:cs="Times New Roman"/>
          <w:sz w:val="24"/>
          <w:szCs w:val="24"/>
        </w:rPr>
        <w:t xml:space="preserve"> of the </w:t>
      </w:r>
      <w:r w:rsidR="006101FB">
        <w:rPr>
          <w:rFonts w:ascii="Times New Roman" w:eastAsia="Times New Roman" w:hAnsi="Times New Roman" w:cs="Times New Roman"/>
          <w:i/>
          <w:iCs/>
          <w:sz w:val="24"/>
          <w:szCs w:val="24"/>
        </w:rPr>
        <w:t xml:space="preserve">CYP21A2 </w:t>
      </w:r>
      <w:r w:rsidR="006101FB">
        <w:rPr>
          <w:rFonts w:ascii="Times New Roman" w:eastAsia="Times New Roman" w:hAnsi="Times New Roman" w:cs="Times New Roman"/>
          <w:sz w:val="24"/>
          <w:szCs w:val="24"/>
        </w:rPr>
        <w:t>gene</w:t>
      </w:r>
      <w:r w:rsidR="00E45B3E">
        <w:rPr>
          <w:rFonts w:ascii="Times New Roman" w:eastAsia="Times New Roman" w:hAnsi="Times New Roman" w:cs="Times New Roman"/>
          <w:sz w:val="24"/>
          <w:szCs w:val="24"/>
        </w:rPr>
        <w:t xml:space="preserve"> using a set of LR-F/B2 primers</w:t>
      </w:r>
      <w:r w:rsidR="00BC2F6C">
        <w:rPr>
          <w:rFonts w:ascii="Times New Roman" w:eastAsia="Times New Roman" w:hAnsi="Times New Roman" w:cs="Times New Roman"/>
          <w:sz w:val="24"/>
          <w:szCs w:val="24"/>
        </w:rPr>
        <w:t>, and the second round was aimed to amplify the intron 2</w:t>
      </w:r>
      <w:r w:rsidR="00E45B3E">
        <w:rPr>
          <w:rFonts w:ascii="Times New Roman" w:eastAsia="Times New Roman" w:hAnsi="Times New Roman" w:cs="Times New Roman"/>
          <w:sz w:val="24"/>
          <w:szCs w:val="24"/>
        </w:rPr>
        <w:t xml:space="preserve"> using a set of 7/8 primers</w:t>
      </w:r>
      <w:r w:rsidR="00A25021">
        <w:rPr>
          <w:rFonts w:ascii="Times New Roman" w:eastAsia="Times New Roman" w:hAnsi="Times New Roman" w:cs="Times New Roman"/>
          <w:sz w:val="24"/>
          <w:szCs w:val="24"/>
        </w:rPr>
        <w:t>, producing fragment sizes of 1,</w:t>
      </w:r>
      <w:r w:rsidR="004221DF">
        <w:rPr>
          <w:rFonts w:ascii="Times New Roman" w:eastAsia="Times New Roman" w:hAnsi="Times New Roman" w:cs="Times New Roman"/>
          <w:sz w:val="24"/>
          <w:szCs w:val="24"/>
        </w:rPr>
        <w:t>11</w:t>
      </w:r>
      <w:r w:rsidR="00A25021">
        <w:rPr>
          <w:rFonts w:ascii="Times New Roman" w:eastAsia="Times New Roman" w:hAnsi="Times New Roman" w:cs="Times New Roman"/>
          <w:sz w:val="24"/>
          <w:szCs w:val="24"/>
        </w:rPr>
        <w:t xml:space="preserve">8 bp and </w:t>
      </w:r>
      <w:r w:rsidR="0083321A">
        <w:rPr>
          <w:rFonts w:ascii="Times New Roman" w:eastAsia="Times New Roman" w:hAnsi="Times New Roman" w:cs="Times New Roman"/>
          <w:sz w:val="24"/>
          <w:szCs w:val="24"/>
        </w:rPr>
        <w:t>1</w:t>
      </w:r>
      <w:r w:rsidR="00C710C0">
        <w:rPr>
          <w:rFonts w:ascii="Times New Roman" w:eastAsia="Times New Roman" w:hAnsi="Times New Roman" w:cs="Times New Roman"/>
          <w:sz w:val="24"/>
          <w:szCs w:val="24"/>
        </w:rPr>
        <w:t>5</w:t>
      </w:r>
      <w:r w:rsidR="0083321A">
        <w:rPr>
          <w:rFonts w:ascii="Times New Roman" w:eastAsia="Times New Roman" w:hAnsi="Times New Roman" w:cs="Times New Roman"/>
          <w:sz w:val="24"/>
          <w:szCs w:val="24"/>
        </w:rPr>
        <w:t>5 bp</w:t>
      </w:r>
      <w:r w:rsidR="00A25021">
        <w:rPr>
          <w:rFonts w:ascii="Times New Roman" w:eastAsia="Times New Roman" w:hAnsi="Times New Roman" w:cs="Times New Roman"/>
          <w:sz w:val="24"/>
          <w:szCs w:val="24"/>
        </w:rPr>
        <w:t>, respectively</w:t>
      </w:r>
      <w:r w:rsidR="00BC2F6C">
        <w:rPr>
          <w:rFonts w:ascii="Times New Roman" w:eastAsia="Times New Roman" w:hAnsi="Times New Roman" w:cs="Times New Roman"/>
          <w:sz w:val="24"/>
          <w:szCs w:val="24"/>
        </w:rPr>
        <w:t xml:space="preserve">. </w:t>
      </w:r>
      <w:r w:rsidR="004444B3">
        <w:rPr>
          <w:rFonts w:ascii="Times New Roman" w:eastAsia="Times New Roman" w:hAnsi="Times New Roman" w:cs="Times New Roman"/>
          <w:sz w:val="24"/>
          <w:szCs w:val="24"/>
        </w:rPr>
        <w:t xml:space="preserve">The other variants, i.e., the Exon 6 cluster (E6 cluster; a compound </w:t>
      </w:r>
      <w:r w:rsidR="0008521A">
        <w:rPr>
          <w:rFonts w:ascii="Times New Roman" w:eastAsia="Times New Roman" w:hAnsi="Times New Roman" w:cs="Times New Roman"/>
          <w:sz w:val="24"/>
          <w:szCs w:val="24"/>
        </w:rPr>
        <w:t xml:space="preserve">missense </w:t>
      </w:r>
      <w:r w:rsidR="00A35CB0">
        <w:rPr>
          <w:rFonts w:ascii="Times New Roman" w:eastAsia="Times New Roman" w:hAnsi="Times New Roman" w:cs="Times New Roman"/>
          <w:sz w:val="24"/>
          <w:szCs w:val="24"/>
        </w:rPr>
        <w:t>variant</w:t>
      </w:r>
      <w:r w:rsidR="004444B3">
        <w:rPr>
          <w:rFonts w:ascii="Times New Roman" w:eastAsia="Times New Roman" w:hAnsi="Times New Roman" w:cs="Times New Roman"/>
          <w:sz w:val="24"/>
          <w:szCs w:val="24"/>
        </w:rPr>
        <w:t xml:space="preserve"> </w:t>
      </w:r>
      <w:r w:rsidR="0008521A">
        <w:rPr>
          <w:rFonts w:ascii="Times New Roman" w:eastAsia="Times New Roman" w:hAnsi="Times New Roman" w:cs="Times New Roman"/>
          <w:sz w:val="24"/>
          <w:szCs w:val="24"/>
        </w:rPr>
        <w:t xml:space="preserve">named </w:t>
      </w:r>
      <w:proofErr w:type="gramStart"/>
      <w:r w:rsidR="0008521A">
        <w:rPr>
          <w:rFonts w:ascii="Times New Roman" w:eastAsia="Times New Roman" w:hAnsi="Times New Roman" w:cs="Times New Roman"/>
          <w:sz w:val="24"/>
          <w:szCs w:val="24"/>
        </w:rPr>
        <w:t>p.[</w:t>
      </w:r>
      <w:proofErr w:type="gramEnd"/>
      <w:r w:rsidR="0008521A">
        <w:rPr>
          <w:rFonts w:ascii="Times New Roman" w:eastAsia="Times New Roman" w:hAnsi="Times New Roman" w:cs="Times New Roman"/>
          <w:sz w:val="24"/>
          <w:szCs w:val="24"/>
        </w:rPr>
        <w:t>Ile236Asn</w:t>
      </w:r>
      <w:r w:rsidR="00BD3C31">
        <w:rPr>
          <w:rFonts w:ascii="Times New Roman" w:eastAsia="Times New Roman" w:hAnsi="Times New Roman" w:cs="Times New Roman"/>
          <w:sz w:val="24"/>
          <w:szCs w:val="24"/>
        </w:rPr>
        <w:t>; Val237Glu; Met239Lys], p.Gln318Ter, and p.Arg357Trp</w:t>
      </w:r>
      <w:r w:rsidR="008E2FB9">
        <w:rPr>
          <w:rFonts w:ascii="Times New Roman" w:eastAsia="Times New Roman" w:hAnsi="Times New Roman" w:cs="Times New Roman"/>
          <w:sz w:val="24"/>
          <w:szCs w:val="24"/>
        </w:rPr>
        <w:t>, were amplified using a set of long-range PCR</w:t>
      </w:r>
      <w:r w:rsidR="00F62E96">
        <w:rPr>
          <w:rFonts w:ascii="Times New Roman" w:eastAsia="Times New Roman" w:hAnsi="Times New Roman" w:cs="Times New Roman"/>
          <w:sz w:val="24"/>
          <w:szCs w:val="24"/>
        </w:rPr>
        <w:t xml:space="preserve"> primers</w:t>
      </w:r>
      <w:r w:rsidR="00E45B3E">
        <w:rPr>
          <w:rFonts w:ascii="Times New Roman" w:eastAsia="Times New Roman" w:hAnsi="Times New Roman" w:cs="Times New Roman"/>
          <w:sz w:val="24"/>
          <w:szCs w:val="24"/>
        </w:rPr>
        <w:t>, i.e., C1/LR-R</w:t>
      </w:r>
      <w:r w:rsidR="0000555B">
        <w:rPr>
          <w:rFonts w:ascii="Times New Roman" w:eastAsia="Times New Roman" w:hAnsi="Times New Roman" w:cs="Times New Roman"/>
          <w:sz w:val="24"/>
          <w:szCs w:val="24"/>
        </w:rPr>
        <w:t>, producing a fragment size of 2,</w:t>
      </w:r>
      <w:r w:rsidR="004221DF">
        <w:rPr>
          <w:rFonts w:ascii="Times New Roman" w:eastAsia="Times New Roman" w:hAnsi="Times New Roman" w:cs="Times New Roman"/>
          <w:sz w:val="24"/>
          <w:szCs w:val="24"/>
        </w:rPr>
        <w:t>61</w:t>
      </w:r>
      <w:r w:rsidR="0000555B">
        <w:rPr>
          <w:rFonts w:ascii="Times New Roman" w:eastAsia="Times New Roman" w:hAnsi="Times New Roman" w:cs="Times New Roman"/>
          <w:sz w:val="24"/>
          <w:szCs w:val="24"/>
        </w:rPr>
        <w:t>0 bp</w:t>
      </w:r>
      <w:r w:rsidR="008E2FB9">
        <w:rPr>
          <w:rFonts w:ascii="Times New Roman" w:eastAsia="Times New Roman" w:hAnsi="Times New Roman" w:cs="Times New Roman"/>
          <w:sz w:val="24"/>
          <w:szCs w:val="24"/>
        </w:rPr>
        <w:t>.</w:t>
      </w:r>
      <w:r w:rsidR="00B27FBD">
        <w:rPr>
          <w:rFonts w:ascii="Times New Roman" w:eastAsia="Times New Roman" w:hAnsi="Times New Roman" w:cs="Times New Roman"/>
          <w:sz w:val="24"/>
          <w:szCs w:val="24"/>
        </w:rPr>
        <w:t xml:space="preserve"> The </w:t>
      </w:r>
      <w:r w:rsidR="00A35CB0">
        <w:rPr>
          <w:rFonts w:ascii="Times New Roman" w:eastAsia="Times New Roman" w:hAnsi="Times New Roman" w:cs="Times New Roman"/>
          <w:sz w:val="24"/>
          <w:szCs w:val="24"/>
        </w:rPr>
        <w:t xml:space="preserve">site of </w:t>
      </w:r>
      <w:r w:rsidR="00B27FBD">
        <w:rPr>
          <w:rFonts w:ascii="Times New Roman" w:eastAsia="Times New Roman" w:hAnsi="Times New Roman" w:cs="Times New Roman"/>
          <w:sz w:val="24"/>
          <w:szCs w:val="24"/>
        </w:rPr>
        <w:t xml:space="preserve">the </w:t>
      </w:r>
      <w:r w:rsidR="00A35CB0">
        <w:rPr>
          <w:rFonts w:ascii="Times New Roman" w:eastAsia="Times New Roman" w:hAnsi="Times New Roman" w:cs="Times New Roman"/>
          <w:sz w:val="24"/>
          <w:szCs w:val="24"/>
        </w:rPr>
        <w:t>primer's</w:t>
      </w:r>
      <w:r w:rsidR="00B27FBD">
        <w:rPr>
          <w:rFonts w:ascii="Times New Roman" w:eastAsia="Times New Roman" w:hAnsi="Times New Roman" w:cs="Times New Roman"/>
          <w:sz w:val="24"/>
          <w:szCs w:val="24"/>
        </w:rPr>
        <w:t xml:space="preserve"> a</w:t>
      </w:r>
      <w:r w:rsidR="00C36762">
        <w:rPr>
          <w:rFonts w:ascii="Times New Roman" w:eastAsia="Times New Roman" w:hAnsi="Times New Roman" w:cs="Times New Roman"/>
          <w:sz w:val="24"/>
          <w:szCs w:val="24"/>
        </w:rPr>
        <w:t>nnealing</w:t>
      </w:r>
      <w:r w:rsidR="00B27FBD">
        <w:rPr>
          <w:rFonts w:ascii="Times New Roman" w:eastAsia="Times New Roman" w:hAnsi="Times New Roman" w:cs="Times New Roman"/>
          <w:sz w:val="24"/>
          <w:szCs w:val="24"/>
        </w:rPr>
        <w:t xml:space="preserve"> </w:t>
      </w:r>
      <w:r w:rsidR="00A35CB0">
        <w:rPr>
          <w:rFonts w:ascii="Times New Roman" w:eastAsia="Times New Roman" w:hAnsi="Times New Roman" w:cs="Times New Roman"/>
          <w:sz w:val="24"/>
          <w:szCs w:val="24"/>
        </w:rPr>
        <w:t>was</w:t>
      </w:r>
      <w:r w:rsidR="00B27FBD">
        <w:rPr>
          <w:rFonts w:ascii="Times New Roman" w:eastAsia="Times New Roman" w:hAnsi="Times New Roman" w:cs="Times New Roman"/>
          <w:sz w:val="24"/>
          <w:szCs w:val="24"/>
        </w:rPr>
        <w:t xml:space="preserve"> </w:t>
      </w:r>
      <w:r w:rsidR="00A35CB0">
        <w:rPr>
          <w:rFonts w:ascii="Times New Roman" w:eastAsia="Times New Roman" w:hAnsi="Times New Roman" w:cs="Times New Roman"/>
          <w:sz w:val="24"/>
          <w:szCs w:val="24"/>
        </w:rPr>
        <w:t xml:space="preserve">displayed in Figure </w:t>
      </w:r>
      <w:r w:rsidR="00571C1E">
        <w:rPr>
          <w:rFonts w:ascii="Times New Roman" w:eastAsia="Times New Roman" w:hAnsi="Times New Roman" w:cs="Times New Roman"/>
          <w:sz w:val="24"/>
          <w:szCs w:val="24"/>
        </w:rPr>
        <w:t>1</w:t>
      </w:r>
      <w:r w:rsidR="00B27FBD">
        <w:rPr>
          <w:rFonts w:ascii="Times New Roman" w:eastAsia="Times New Roman" w:hAnsi="Times New Roman" w:cs="Times New Roman"/>
          <w:sz w:val="24"/>
          <w:szCs w:val="24"/>
        </w:rPr>
        <w:t>.</w:t>
      </w:r>
      <w:r w:rsidR="00A35CB0">
        <w:rPr>
          <w:rFonts w:ascii="Times New Roman" w:eastAsia="Times New Roman" w:hAnsi="Times New Roman" w:cs="Times New Roman"/>
          <w:sz w:val="24"/>
          <w:szCs w:val="24"/>
        </w:rPr>
        <w:t xml:space="preserve"> Some of the primers used in the study were based on a previous study by Zhang et al.</w:t>
      </w:r>
      <w:r w:rsidR="00A35CB0">
        <w:rPr>
          <w:rFonts w:ascii="Times New Roman" w:eastAsia="Times New Roman" w:hAnsi="Times New Roman" w:cs="Times New Roman"/>
          <w:sz w:val="24"/>
          <w:szCs w:val="24"/>
        </w:rPr>
        <w:fldChar w:fldCharType="begin"/>
      </w:r>
      <w:r w:rsidR="00A35CB0">
        <w:rPr>
          <w:rFonts w:ascii="Times New Roman" w:eastAsia="Times New Roman" w:hAnsi="Times New Roman" w:cs="Times New Roman"/>
          <w:sz w:val="24"/>
          <w:szCs w:val="24"/>
        </w:rPr>
        <w:instrText xml:space="preserve"> ADDIN ZOTERO_ITEM CSL_CITATION {"citationID":"i5VurEJf","properties":{"formattedCitation":"\\super 8\\nosupersub{}","plainCitation":"8","noteIndex":0},"citationItems":[{"id":881,"uris":["http://www.mendeley.com/documents/?uuid=569521f1-89dd-4575-a4d1-79f7bdcb5aeb","http://zotero.org/users/local/j4kVnGn0/items/CYKUDCUF"],"itemData":{"id":881,"type":"article-journal","abstract":"ObjectiveThe spectrum of molecular defects in Chinese patients with 21-hydroxylase deficiency (21-OHD), and genotype?phenotype relationships are unknown.MethodsWe screened eight patients with non-classical (NC) 21-OHD and 35 with classical 21-OHD, and detected nine known mutations.ResultsThe most frequent mutation among the 43 21-OHD cases was p.Ile172Asn (allele frequency, 36.0%), followed by c.290-13A/C?&gt;?G (20.9%), Del (8.6%), p.Pro30Leu (7.0%), p.Gln318Ter (7.0%), p.Val281Leu (4.7%), p.Arg356Trp (2.3%), p.[Ile236Asn; Val237Glu; Met239Lys] (2.3%), and E3?8?bp (1.2%). The frequency spectrum of CYP21A2 mutations in the Chinese population was similar to that in the Japanese population, except that p.Val281Leu was identified in Chinese NC21-OHD patients at a frequency of 25.0%, whereas it was absent in Japanese patients. We found that genotype could predict phenotype in 88.3% of patients.ConclusionSome characteristics appear to be unique to the Chinese population, but genotype was strongly predictive of phenotype.","container-title":"Journal of International Medical Research","DOI":"10.1177/0300060516685204","ISSN":"0300-0605","issue":"2","note":"publisher: SAGE Publications Ltd","page":"481-492","title":"Molecular diagnosis of Chinese patients with 21-hydroxylase deficiency and analysis of genotype–phenotype correlations","volume":"45","author":[{"family":"Zhang","given":"Bo"},{"family":"Lu","given":"Lin"},{"family":"Lu","given":"Zhaolin"}],"issued":{"date-parts":[["2017",2,2]]}}}],"schema":"https://github.com/citation-style-language/schema/raw/master/csl-citation.json"} </w:instrText>
      </w:r>
      <w:r w:rsidR="00A35CB0">
        <w:rPr>
          <w:rFonts w:ascii="Times New Roman" w:eastAsia="Times New Roman" w:hAnsi="Times New Roman" w:cs="Times New Roman"/>
          <w:sz w:val="24"/>
          <w:szCs w:val="24"/>
        </w:rPr>
        <w:fldChar w:fldCharType="separate"/>
      </w:r>
      <w:r w:rsidR="0071648C" w:rsidRPr="0071648C">
        <w:rPr>
          <w:rFonts w:ascii="Times New Roman" w:hAnsi="Times New Roman" w:cs="Times New Roman"/>
          <w:sz w:val="24"/>
          <w:vertAlign w:val="superscript"/>
        </w:rPr>
        <w:t>8</w:t>
      </w:r>
      <w:r w:rsidR="00A35CB0">
        <w:rPr>
          <w:rFonts w:ascii="Times New Roman" w:eastAsia="Times New Roman" w:hAnsi="Times New Roman" w:cs="Times New Roman"/>
          <w:sz w:val="24"/>
          <w:szCs w:val="24"/>
        </w:rPr>
        <w:fldChar w:fldCharType="end"/>
      </w:r>
    </w:p>
    <w:p w14:paraId="17B534A3" w14:textId="77777777" w:rsidR="00B27FBD" w:rsidRDefault="00B27FBD">
      <w:pPr>
        <w:spacing w:after="0" w:line="240" w:lineRule="auto"/>
        <w:ind w:left="0" w:hanging="2"/>
        <w:jc w:val="both"/>
        <w:rPr>
          <w:rFonts w:ascii="Times New Roman" w:eastAsia="Times New Roman" w:hAnsi="Times New Roman" w:cs="Times New Roman"/>
          <w:sz w:val="24"/>
          <w:szCs w:val="24"/>
        </w:rPr>
      </w:pPr>
    </w:p>
    <w:p w14:paraId="497582B3" w14:textId="6E954BC7" w:rsidR="0043473A" w:rsidRDefault="00B67654">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00A835EC">
        <w:rPr>
          <w:rFonts w:ascii="Times New Roman" w:eastAsia="Times New Roman" w:hAnsi="Times New Roman" w:cs="Times New Roman"/>
          <w:sz w:val="24"/>
          <w:szCs w:val="24"/>
        </w:rPr>
        <w:t xml:space="preserve"> mixture </w:t>
      </w:r>
      <w:r w:rsidR="009748D7">
        <w:rPr>
          <w:rFonts w:ascii="Times New Roman" w:eastAsia="Times New Roman" w:hAnsi="Times New Roman" w:cs="Times New Roman"/>
          <w:sz w:val="24"/>
          <w:szCs w:val="24"/>
        </w:rPr>
        <w:t xml:space="preserve">of each sample </w:t>
      </w:r>
      <w:r w:rsidR="00A835EC">
        <w:rPr>
          <w:rFonts w:ascii="Times New Roman" w:eastAsia="Times New Roman" w:hAnsi="Times New Roman" w:cs="Times New Roman"/>
          <w:sz w:val="24"/>
          <w:szCs w:val="24"/>
        </w:rPr>
        <w:t xml:space="preserve">for the </w:t>
      </w:r>
      <w:r w:rsidR="00D834DE">
        <w:rPr>
          <w:rFonts w:ascii="Times New Roman" w:eastAsia="Times New Roman" w:hAnsi="Times New Roman" w:cs="Times New Roman"/>
          <w:sz w:val="24"/>
          <w:szCs w:val="24"/>
        </w:rPr>
        <w:t xml:space="preserve">first round of </w:t>
      </w:r>
      <w:r w:rsidR="00A835EC">
        <w:rPr>
          <w:rFonts w:ascii="Times New Roman" w:eastAsia="Times New Roman" w:hAnsi="Times New Roman" w:cs="Times New Roman"/>
          <w:sz w:val="24"/>
          <w:szCs w:val="24"/>
        </w:rPr>
        <w:t xml:space="preserve">PCR included </w:t>
      </w:r>
      <w:r w:rsidR="00926A3D">
        <w:rPr>
          <w:rFonts w:ascii="Times New Roman" w:eastAsia="Times New Roman" w:hAnsi="Times New Roman" w:cs="Times New Roman"/>
          <w:sz w:val="24"/>
          <w:szCs w:val="24"/>
        </w:rPr>
        <w:t xml:space="preserve">8.2 </w:t>
      </w:r>
      <w:proofErr w:type="spellStart"/>
      <w:r w:rsidR="00724B21" w:rsidRPr="00724B21">
        <w:rPr>
          <w:rFonts w:ascii="Times New Roman" w:eastAsia="Times New Roman" w:hAnsi="Times New Roman" w:cs="Times New Roman"/>
          <w:sz w:val="24"/>
          <w:szCs w:val="24"/>
        </w:rPr>
        <w:t>μl</w:t>
      </w:r>
      <w:proofErr w:type="spellEnd"/>
      <w:r w:rsidR="00724B21" w:rsidRPr="00724B21">
        <w:rPr>
          <w:rFonts w:ascii="Times New Roman" w:eastAsia="Times New Roman" w:hAnsi="Times New Roman" w:cs="Times New Roman"/>
          <w:sz w:val="24"/>
          <w:szCs w:val="24"/>
        </w:rPr>
        <w:t xml:space="preserve"> of H</w:t>
      </w:r>
      <w:r w:rsidR="00724B21" w:rsidRPr="00724B21">
        <w:rPr>
          <w:rFonts w:ascii="Times New Roman" w:eastAsia="Times New Roman" w:hAnsi="Times New Roman" w:cs="Times New Roman"/>
          <w:sz w:val="24"/>
          <w:szCs w:val="24"/>
          <w:vertAlign w:val="subscript"/>
        </w:rPr>
        <w:t>2</w:t>
      </w:r>
      <w:r w:rsidR="00724B21" w:rsidRPr="00724B21">
        <w:rPr>
          <w:rFonts w:ascii="Times New Roman" w:eastAsia="Times New Roman" w:hAnsi="Times New Roman" w:cs="Times New Roman"/>
          <w:sz w:val="24"/>
          <w:szCs w:val="24"/>
        </w:rPr>
        <w:t xml:space="preserve">O, 10 </w:t>
      </w:r>
      <w:proofErr w:type="spellStart"/>
      <w:r w:rsidR="00724B21" w:rsidRPr="00724B21">
        <w:rPr>
          <w:rFonts w:ascii="Times New Roman" w:eastAsia="Times New Roman" w:hAnsi="Times New Roman" w:cs="Times New Roman"/>
          <w:sz w:val="24"/>
          <w:szCs w:val="24"/>
        </w:rPr>
        <w:t>μl</w:t>
      </w:r>
      <w:proofErr w:type="spellEnd"/>
      <w:r w:rsidR="00724B21" w:rsidRPr="00724B21">
        <w:rPr>
          <w:rFonts w:ascii="Times New Roman" w:eastAsia="Times New Roman" w:hAnsi="Times New Roman" w:cs="Times New Roman"/>
          <w:sz w:val="24"/>
          <w:szCs w:val="24"/>
        </w:rPr>
        <w:t xml:space="preserve"> of PCR mix, 0.4 </w:t>
      </w:r>
      <w:proofErr w:type="spellStart"/>
      <w:r w:rsidR="00724B21" w:rsidRPr="00724B21">
        <w:rPr>
          <w:rFonts w:ascii="Times New Roman" w:eastAsia="Times New Roman" w:hAnsi="Times New Roman" w:cs="Times New Roman"/>
          <w:sz w:val="24"/>
          <w:szCs w:val="24"/>
        </w:rPr>
        <w:t>μl</w:t>
      </w:r>
      <w:proofErr w:type="spellEnd"/>
      <w:r w:rsidR="00724B21" w:rsidRPr="00724B21">
        <w:rPr>
          <w:rFonts w:ascii="Times New Roman" w:eastAsia="Times New Roman" w:hAnsi="Times New Roman" w:cs="Times New Roman"/>
          <w:sz w:val="24"/>
          <w:szCs w:val="24"/>
        </w:rPr>
        <w:t xml:space="preserve"> of forward prime</w:t>
      </w:r>
      <w:r w:rsidR="005B13C2">
        <w:rPr>
          <w:rFonts w:ascii="Times New Roman" w:eastAsia="Times New Roman" w:hAnsi="Times New Roman" w:cs="Times New Roman"/>
          <w:sz w:val="24"/>
          <w:szCs w:val="24"/>
        </w:rPr>
        <w:t>r</w:t>
      </w:r>
      <w:r w:rsidR="00724B21" w:rsidRPr="00724B21">
        <w:rPr>
          <w:rFonts w:ascii="Times New Roman" w:eastAsia="Times New Roman" w:hAnsi="Times New Roman" w:cs="Times New Roman"/>
          <w:sz w:val="24"/>
          <w:szCs w:val="24"/>
        </w:rPr>
        <w:t xml:space="preserve">, 0.4 </w:t>
      </w:r>
      <w:proofErr w:type="spellStart"/>
      <w:r w:rsidR="00724B21" w:rsidRPr="00724B21">
        <w:rPr>
          <w:rFonts w:ascii="Times New Roman" w:eastAsia="Times New Roman" w:hAnsi="Times New Roman" w:cs="Times New Roman"/>
          <w:sz w:val="24"/>
          <w:szCs w:val="24"/>
        </w:rPr>
        <w:t>μl</w:t>
      </w:r>
      <w:proofErr w:type="spellEnd"/>
      <w:r w:rsidR="00724B21" w:rsidRPr="00724B21">
        <w:rPr>
          <w:rFonts w:ascii="Times New Roman" w:eastAsia="Times New Roman" w:hAnsi="Times New Roman" w:cs="Times New Roman"/>
          <w:sz w:val="24"/>
          <w:szCs w:val="24"/>
        </w:rPr>
        <w:t xml:space="preserve"> of reverse primer, and 2 </w:t>
      </w:r>
      <w:proofErr w:type="spellStart"/>
      <w:r w:rsidR="00724B21" w:rsidRPr="00724B21">
        <w:rPr>
          <w:rFonts w:ascii="Times New Roman" w:eastAsia="Times New Roman" w:hAnsi="Times New Roman" w:cs="Times New Roman"/>
          <w:sz w:val="24"/>
          <w:szCs w:val="24"/>
        </w:rPr>
        <w:t>μl</w:t>
      </w:r>
      <w:proofErr w:type="spellEnd"/>
      <w:r w:rsidR="00724B21" w:rsidRPr="00724B21">
        <w:rPr>
          <w:rFonts w:ascii="Times New Roman" w:eastAsia="Times New Roman" w:hAnsi="Times New Roman" w:cs="Times New Roman"/>
          <w:sz w:val="24"/>
          <w:szCs w:val="24"/>
        </w:rPr>
        <w:t xml:space="preserve"> of DNA (100 ng)</w:t>
      </w:r>
      <w:r w:rsidR="00724B21">
        <w:rPr>
          <w:rFonts w:ascii="Times New Roman" w:eastAsia="Times New Roman" w:hAnsi="Times New Roman" w:cs="Times New Roman"/>
          <w:sz w:val="24"/>
          <w:szCs w:val="24"/>
        </w:rPr>
        <w:t>.</w:t>
      </w:r>
      <w:r w:rsidR="00196E1B">
        <w:rPr>
          <w:rFonts w:ascii="Times New Roman" w:eastAsia="Times New Roman" w:hAnsi="Times New Roman" w:cs="Times New Roman"/>
          <w:sz w:val="24"/>
          <w:szCs w:val="24"/>
        </w:rPr>
        <w:t xml:space="preserve"> </w:t>
      </w:r>
      <w:r w:rsidR="00532634">
        <w:rPr>
          <w:rFonts w:ascii="Times New Roman" w:eastAsia="Times New Roman" w:hAnsi="Times New Roman" w:cs="Times New Roman"/>
          <w:sz w:val="24"/>
          <w:szCs w:val="24"/>
        </w:rPr>
        <w:t>The PCR settings</w:t>
      </w:r>
      <w:r w:rsidR="0028238A">
        <w:rPr>
          <w:rFonts w:ascii="Times New Roman" w:eastAsia="Times New Roman" w:hAnsi="Times New Roman" w:cs="Times New Roman"/>
          <w:sz w:val="24"/>
          <w:szCs w:val="24"/>
        </w:rPr>
        <w:t xml:space="preserve"> for the </w:t>
      </w:r>
      <w:r w:rsidR="000F02B5" w:rsidRPr="000F02B5">
        <w:rPr>
          <w:rFonts w:ascii="Times New Roman" w:eastAsia="Times New Roman" w:hAnsi="Times New Roman" w:cs="Times New Roman"/>
          <w:sz w:val="24"/>
          <w:szCs w:val="24"/>
        </w:rPr>
        <w:t xml:space="preserve">IVS2-13A/C&gt;G </w:t>
      </w:r>
      <w:r w:rsidR="0028238A">
        <w:rPr>
          <w:rFonts w:ascii="Times New Roman" w:eastAsia="Times New Roman" w:hAnsi="Times New Roman" w:cs="Times New Roman"/>
          <w:sz w:val="24"/>
          <w:szCs w:val="24"/>
        </w:rPr>
        <w:t xml:space="preserve">variant </w:t>
      </w:r>
      <w:r w:rsidR="005D318C">
        <w:rPr>
          <w:rFonts w:ascii="Times New Roman" w:eastAsia="Times New Roman" w:hAnsi="Times New Roman" w:cs="Times New Roman"/>
          <w:sz w:val="24"/>
          <w:szCs w:val="24"/>
        </w:rPr>
        <w:t xml:space="preserve">were </w:t>
      </w:r>
      <w:r w:rsidR="0028238A">
        <w:rPr>
          <w:rFonts w:ascii="Times New Roman" w:eastAsia="Times New Roman" w:hAnsi="Times New Roman" w:cs="Times New Roman"/>
          <w:sz w:val="24"/>
          <w:szCs w:val="24"/>
        </w:rPr>
        <w:t xml:space="preserve">1 cycle of initial denaturation at </w:t>
      </w:r>
      <w:r w:rsidR="00BC4A61" w:rsidRPr="00BC4A61">
        <w:rPr>
          <w:rFonts w:ascii="Times New Roman" w:eastAsia="Times New Roman" w:hAnsi="Times New Roman" w:cs="Times New Roman"/>
          <w:sz w:val="24"/>
          <w:szCs w:val="24"/>
        </w:rPr>
        <w:t>94°C for 5 minutes, followed by 30 cycles of denaturation at 94°C for 20 seconds, annealing at 60°C for 30 seconds, extension at 72°C for 1 minute, and concluded with a final extension at 72°C for 5 minutes.</w:t>
      </w:r>
      <w:r w:rsidR="00BC4A61">
        <w:rPr>
          <w:rFonts w:ascii="Times New Roman" w:eastAsia="Times New Roman" w:hAnsi="Times New Roman" w:cs="Times New Roman"/>
          <w:sz w:val="24"/>
          <w:szCs w:val="24"/>
        </w:rPr>
        <w:t xml:space="preserve"> The PCR settings for the </w:t>
      </w:r>
      <w:r w:rsidR="00A607BF">
        <w:rPr>
          <w:rFonts w:ascii="Times New Roman" w:eastAsia="Times New Roman" w:hAnsi="Times New Roman" w:cs="Times New Roman"/>
          <w:sz w:val="24"/>
          <w:szCs w:val="24"/>
        </w:rPr>
        <w:t xml:space="preserve">E6 cluster, p.Gln318Ter, and p.Arg357Trp </w:t>
      </w:r>
      <w:r w:rsidR="005D318C">
        <w:rPr>
          <w:rFonts w:ascii="Times New Roman" w:eastAsia="Times New Roman" w:hAnsi="Times New Roman" w:cs="Times New Roman"/>
          <w:sz w:val="24"/>
          <w:szCs w:val="24"/>
        </w:rPr>
        <w:t xml:space="preserve">were </w:t>
      </w:r>
      <w:r w:rsidR="00A607BF">
        <w:rPr>
          <w:rFonts w:ascii="Times New Roman" w:eastAsia="Times New Roman" w:hAnsi="Times New Roman" w:cs="Times New Roman"/>
          <w:sz w:val="24"/>
          <w:szCs w:val="24"/>
        </w:rPr>
        <w:t xml:space="preserve">1 cycle of </w:t>
      </w:r>
      <w:r w:rsidR="00E009A9" w:rsidRPr="00E009A9">
        <w:rPr>
          <w:rFonts w:ascii="Times New Roman" w:eastAsia="Times New Roman" w:hAnsi="Times New Roman" w:cs="Times New Roman"/>
          <w:sz w:val="24"/>
          <w:szCs w:val="24"/>
        </w:rPr>
        <w:t>initial denaturation at 94°C for 5 minutes, followed by 30 cycles of denaturation at 94°C for 20 seconds, annealing at 59.3°C for 30 seconds, extension at 72°C for 1 minute, and a final extension at 72°C for 5 minutes.</w:t>
      </w:r>
    </w:p>
    <w:p w14:paraId="63FCA9A7" w14:textId="77777777" w:rsidR="00E009A9" w:rsidRDefault="00E009A9">
      <w:pPr>
        <w:spacing w:after="0" w:line="240" w:lineRule="auto"/>
        <w:ind w:left="0" w:hanging="2"/>
        <w:jc w:val="both"/>
        <w:rPr>
          <w:rFonts w:ascii="Times New Roman" w:eastAsia="Times New Roman" w:hAnsi="Times New Roman" w:cs="Times New Roman"/>
          <w:sz w:val="24"/>
          <w:szCs w:val="24"/>
        </w:rPr>
      </w:pPr>
    </w:p>
    <w:p w14:paraId="3B72F96E" w14:textId="7089031B" w:rsidR="00E009A9" w:rsidRDefault="00E60A5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mixture for the second round of PCR comprised </w:t>
      </w:r>
      <w:r w:rsidR="00DA343D" w:rsidRPr="00DA343D">
        <w:rPr>
          <w:rFonts w:ascii="Times New Roman" w:eastAsia="Times New Roman" w:hAnsi="Times New Roman" w:cs="Times New Roman"/>
          <w:sz w:val="24"/>
          <w:szCs w:val="24"/>
        </w:rPr>
        <w:t xml:space="preserve">8.2 </w:t>
      </w:r>
      <w:proofErr w:type="spellStart"/>
      <w:r w:rsidR="00DA343D" w:rsidRPr="00DA343D">
        <w:rPr>
          <w:rFonts w:ascii="Times New Roman" w:eastAsia="Times New Roman" w:hAnsi="Times New Roman" w:cs="Times New Roman"/>
          <w:sz w:val="24"/>
          <w:szCs w:val="24"/>
        </w:rPr>
        <w:t>μl</w:t>
      </w:r>
      <w:proofErr w:type="spellEnd"/>
      <w:r w:rsidR="00DA343D" w:rsidRPr="00DA343D">
        <w:rPr>
          <w:rFonts w:ascii="Times New Roman" w:eastAsia="Times New Roman" w:hAnsi="Times New Roman" w:cs="Times New Roman"/>
          <w:sz w:val="24"/>
          <w:szCs w:val="24"/>
        </w:rPr>
        <w:t xml:space="preserve"> of H</w:t>
      </w:r>
      <w:r w:rsidR="00DA343D" w:rsidRPr="0025071E">
        <w:rPr>
          <w:rFonts w:ascii="Times New Roman" w:eastAsia="Times New Roman" w:hAnsi="Times New Roman" w:cs="Times New Roman"/>
          <w:sz w:val="24"/>
          <w:szCs w:val="24"/>
          <w:vertAlign w:val="subscript"/>
        </w:rPr>
        <w:t>2</w:t>
      </w:r>
      <w:r w:rsidR="00DA343D" w:rsidRPr="00DA343D">
        <w:rPr>
          <w:rFonts w:ascii="Times New Roman" w:eastAsia="Times New Roman" w:hAnsi="Times New Roman" w:cs="Times New Roman"/>
          <w:sz w:val="24"/>
          <w:szCs w:val="24"/>
        </w:rPr>
        <w:t xml:space="preserve">O, 10 </w:t>
      </w:r>
      <w:proofErr w:type="spellStart"/>
      <w:r w:rsidR="00DA343D" w:rsidRPr="00DA343D">
        <w:rPr>
          <w:rFonts w:ascii="Times New Roman" w:eastAsia="Times New Roman" w:hAnsi="Times New Roman" w:cs="Times New Roman"/>
          <w:sz w:val="24"/>
          <w:szCs w:val="24"/>
        </w:rPr>
        <w:t>μl</w:t>
      </w:r>
      <w:proofErr w:type="spellEnd"/>
      <w:r w:rsidR="00DA343D" w:rsidRPr="00DA343D">
        <w:rPr>
          <w:rFonts w:ascii="Times New Roman" w:eastAsia="Times New Roman" w:hAnsi="Times New Roman" w:cs="Times New Roman"/>
          <w:sz w:val="24"/>
          <w:szCs w:val="24"/>
        </w:rPr>
        <w:t xml:space="preserve"> of PCR mix, 0.4 </w:t>
      </w:r>
      <w:proofErr w:type="spellStart"/>
      <w:r w:rsidR="00DA343D" w:rsidRPr="00DA343D">
        <w:rPr>
          <w:rFonts w:ascii="Times New Roman" w:eastAsia="Times New Roman" w:hAnsi="Times New Roman" w:cs="Times New Roman"/>
          <w:sz w:val="24"/>
          <w:szCs w:val="24"/>
        </w:rPr>
        <w:t>μl</w:t>
      </w:r>
      <w:proofErr w:type="spellEnd"/>
      <w:r w:rsidR="00DA343D" w:rsidRPr="00DA343D">
        <w:rPr>
          <w:rFonts w:ascii="Times New Roman" w:eastAsia="Times New Roman" w:hAnsi="Times New Roman" w:cs="Times New Roman"/>
          <w:sz w:val="24"/>
          <w:szCs w:val="24"/>
        </w:rPr>
        <w:t xml:space="preserve"> of forward primer (primer 7), 0.4 </w:t>
      </w:r>
      <w:proofErr w:type="spellStart"/>
      <w:r w:rsidR="00DA343D" w:rsidRPr="00DA343D">
        <w:rPr>
          <w:rFonts w:ascii="Times New Roman" w:eastAsia="Times New Roman" w:hAnsi="Times New Roman" w:cs="Times New Roman"/>
          <w:sz w:val="24"/>
          <w:szCs w:val="24"/>
        </w:rPr>
        <w:t>μl</w:t>
      </w:r>
      <w:proofErr w:type="spellEnd"/>
      <w:r w:rsidR="00DA343D" w:rsidRPr="00DA343D">
        <w:rPr>
          <w:rFonts w:ascii="Times New Roman" w:eastAsia="Times New Roman" w:hAnsi="Times New Roman" w:cs="Times New Roman"/>
          <w:sz w:val="24"/>
          <w:szCs w:val="24"/>
        </w:rPr>
        <w:t xml:space="preserve"> of reverse primer (primer 8), and 1 </w:t>
      </w:r>
      <w:proofErr w:type="spellStart"/>
      <w:r w:rsidR="00DA343D" w:rsidRPr="00DA343D">
        <w:rPr>
          <w:rFonts w:ascii="Times New Roman" w:eastAsia="Times New Roman" w:hAnsi="Times New Roman" w:cs="Times New Roman"/>
          <w:sz w:val="24"/>
          <w:szCs w:val="24"/>
        </w:rPr>
        <w:t>μl</w:t>
      </w:r>
      <w:proofErr w:type="spellEnd"/>
      <w:r w:rsidR="00DA343D" w:rsidRPr="00DA343D">
        <w:rPr>
          <w:rFonts w:ascii="Times New Roman" w:eastAsia="Times New Roman" w:hAnsi="Times New Roman" w:cs="Times New Roman"/>
          <w:sz w:val="24"/>
          <w:szCs w:val="24"/>
        </w:rPr>
        <w:t xml:space="preserve"> of DNA (100 ng).</w:t>
      </w:r>
      <w:r w:rsidR="00DA343D">
        <w:rPr>
          <w:rFonts w:ascii="Times New Roman" w:eastAsia="Times New Roman" w:hAnsi="Times New Roman" w:cs="Times New Roman"/>
          <w:sz w:val="24"/>
          <w:szCs w:val="24"/>
        </w:rPr>
        <w:t xml:space="preserve"> The PCR</w:t>
      </w:r>
      <w:r w:rsidR="008A0F00">
        <w:rPr>
          <w:rFonts w:ascii="Times New Roman" w:eastAsia="Times New Roman" w:hAnsi="Times New Roman" w:cs="Times New Roman"/>
          <w:sz w:val="24"/>
          <w:szCs w:val="24"/>
        </w:rPr>
        <w:t xml:space="preserve"> settings for this process </w:t>
      </w:r>
      <w:r w:rsidR="00BC5FF2">
        <w:rPr>
          <w:rFonts w:ascii="Times New Roman" w:eastAsia="Times New Roman" w:hAnsi="Times New Roman" w:cs="Times New Roman"/>
          <w:sz w:val="24"/>
          <w:szCs w:val="24"/>
        </w:rPr>
        <w:t xml:space="preserve">involved </w:t>
      </w:r>
      <w:r w:rsidR="00BC5FF2" w:rsidRPr="00BC5FF2">
        <w:rPr>
          <w:rFonts w:ascii="Times New Roman" w:eastAsia="Times New Roman" w:hAnsi="Times New Roman" w:cs="Times New Roman"/>
          <w:sz w:val="24"/>
          <w:szCs w:val="24"/>
        </w:rPr>
        <w:t>30 cycles of denaturation at 94°C for 30 seconds, annealing at 58°C for 30 seconds, and extension at 72°C for 30 seconds</w:t>
      </w:r>
      <w:r w:rsidR="00835CD1">
        <w:rPr>
          <w:rFonts w:ascii="Times New Roman" w:eastAsia="Times New Roman" w:hAnsi="Times New Roman" w:cs="Times New Roman"/>
          <w:sz w:val="24"/>
          <w:szCs w:val="24"/>
        </w:rPr>
        <w:t>.</w:t>
      </w:r>
    </w:p>
    <w:p w14:paraId="03F3174F" w14:textId="77777777" w:rsidR="00B93BE3" w:rsidRDefault="00B93BE3">
      <w:pPr>
        <w:spacing w:after="0" w:line="240" w:lineRule="auto"/>
        <w:ind w:left="0" w:hanging="2"/>
        <w:jc w:val="both"/>
        <w:rPr>
          <w:rFonts w:ascii="Times New Roman" w:eastAsia="Times New Roman" w:hAnsi="Times New Roman" w:cs="Times New Roman"/>
          <w:sz w:val="24"/>
          <w:szCs w:val="24"/>
        </w:rPr>
      </w:pPr>
    </w:p>
    <w:p w14:paraId="504F382B" w14:textId="37528187" w:rsidR="00B93BE3" w:rsidRDefault="00B93BE3">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product check was conducted after each round of PCR using the 1.5% and 2.5% agarose gel </w:t>
      </w:r>
      <w:r w:rsidR="000C4679">
        <w:rPr>
          <w:rFonts w:ascii="Times New Roman" w:eastAsia="Times New Roman" w:hAnsi="Times New Roman" w:cs="Times New Roman"/>
          <w:sz w:val="24"/>
          <w:szCs w:val="24"/>
        </w:rPr>
        <w:t xml:space="preserve">electrophoresis </w:t>
      </w:r>
      <w:r w:rsidR="00FF6FFF">
        <w:rPr>
          <w:rFonts w:ascii="Times New Roman" w:eastAsia="Times New Roman" w:hAnsi="Times New Roman" w:cs="Times New Roman"/>
          <w:sz w:val="24"/>
          <w:szCs w:val="24"/>
        </w:rPr>
        <w:t xml:space="preserve">for </w:t>
      </w:r>
      <w:r w:rsidR="005D318C">
        <w:rPr>
          <w:rFonts w:ascii="Times New Roman" w:eastAsia="Times New Roman" w:hAnsi="Times New Roman" w:cs="Times New Roman"/>
          <w:sz w:val="24"/>
          <w:szCs w:val="24"/>
        </w:rPr>
        <w:t xml:space="preserve">sequences </w:t>
      </w:r>
      <w:r w:rsidR="0002277A">
        <w:rPr>
          <w:rFonts w:ascii="Times New Roman" w:eastAsia="Times New Roman" w:hAnsi="Times New Roman" w:cs="Times New Roman"/>
          <w:sz w:val="24"/>
          <w:szCs w:val="24"/>
        </w:rPr>
        <w:t>larger and smaller than 1000 bp, respectively.</w:t>
      </w:r>
      <w:r w:rsidR="00851A5F">
        <w:rPr>
          <w:rFonts w:ascii="Times New Roman" w:eastAsia="Times New Roman" w:hAnsi="Times New Roman" w:cs="Times New Roman"/>
          <w:sz w:val="24"/>
          <w:szCs w:val="24"/>
        </w:rPr>
        <w:t xml:space="preserve"> </w:t>
      </w:r>
      <w:r w:rsidR="00246C61" w:rsidRPr="00246C61">
        <w:rPr>
          <w:rFonts w:ascii="Times New Roman" w:eastAsia="Times New Roman" w:hAnsi="Times New Roman" w:cs="Times New Roman"/>
          <w:sz w:val="24"/>
          <w:szCs w:val="24"/>
        </w:rPr>
        <w:t>Gel electrophoresis was run for 35 minutes at 120 V.</w:t>
      </w:r>
    </w:p>
    <w:p w14:paraId="3C512203" w14:textId="77777777" w:rsidR="0051587B" w:rsidRDefault="0051587B">
      <w:pPr>
        <w:spacing w:after="0" w:line="240" w:lineRule="auto"/>
        <w:ind w:left="0" w:hanging="2"/>
        <w:jc w:val="both"/>
        <w:rPr>
          <w:rFonts w:ascii="Times New Roman" w:eastAsia="Times New Roman" w:hAnsi="Times New Roman" w:cs="Times New Roman"/>
          <w:sz w:val="24"/>
          <w:szCs w:val="24"/>
        </w:rPr>
      </w:pPr>
    </w:p>
    <w:p w14:paraId="0477740A" w14:textId="6466E03A" w:rsidR="0051587B" w:rsidRPr="00F34C43" w:rsidRDefault="0051587B">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 to the RFLP analysis, an in-silico analysis using </w:t>
      </w:r>
      <w:r w:rsidR="004D2D8E">
        <w:rPr>
          <w:rFonts w:ascii="Times New Roman" w:eastAsia="Times New Roman" w:hAnsi="Times New Roman" w:cs="Times New Roman"/>
          <w:sz w:val="24"/>
          <w:szCs w:val="24"/>
        </w:rPr>
        <w:t>a restriction analyzer tool (</w:t>
      </w:r>
      <w:r w:rsidR="00F34C43" w:rsidRPr="00F34C43">
        <w:rPr>
          <w:rFonts w:ascii="Times New Roman" w:eastAsia="Times New Roman" w:hAnsi="Times New Roman" w:cs="Times New Roman"/>
          <w:sz w:val="24"/>
          <w:szCs w:val="24"/>
        </w:rPr>
        <w:t>https://molbiotools.com/restrictionanalyzer.php</w:t>
      </w:r>
      <w:r w:rsidR="004D2D8E">
        <w:rPr>
          <w:rFonts w:ascii="Times New Roman" w:eastAsia="Times New Roman" w:hAnsi="Times New Roman" w:cs="Times New Roman"/>
          <w:sz w:val="24"/>
          <w:szCs w:val="24"/>
        </w:rPr>
        <w:t>) was conducted</w:t>
      </w:r>
      <w:r w:rsidR="00F34C43">
        <w:rPr>
          <w:rFonts w:ascii="Times New Roman" w:eastAsia="Times New Roman" w:hAnsi="Times New Roman" w:cs="Times New Roman"/>
          <w:sz w:val="24"/>
          <w:szCs w:val="24"/>
        </w:rPr>
        <w:t xml:space="preserve"> utilizing the </w:t>
      </w:r>
      <w:r w:rsidR="00F34C43">
        <w:rPr>
          <w:rFonts w:ascii="Times New Roman" w:eastAsia="Times New Roman" w:hAnsi="Times New Roman" w:cs="Times New Roman"/>
          <w:i/>
          <w:iCs/>
          <w:sz w:val="24"/>
          <w:szCs w:val="24"/>
        </w:rPr>
        <w:t xml:space="preserve">CYP21A2 </w:t>
      </w:r>
      <w:r w:rsidR="009748D7">
        <w:rPr>
          <w:rFonts w:ascii="Times New Roman" w:eastAsia="Times New Roman" w:hAnsi="Times New Roman" w:cs="Times New Roman"/>
          <w:sz w:val="24"/>
          <w:szCs w:val="24"/>
        </w:rPr>
        <w:t>(</w:t>
      </w:r>
      <w:r w:rsidR="009748D7" w:rsidRPr="00DD2E0D">
        <w:rPr>
          <w:rFonts w:ascii="Times New Roman" w:eastAsia="Times New Roman" w:hAnsi="Times New Roman" w:cs="Times New Roman"/>
          <w:sz w:val="24"/>
          <w:szCs w:val="24"/>
        </w:rPr>
        <w:t>NG_007941.3</w:t>
      </w:r>
      <w:r w:rsidR="009748D7">
        <w:rPr>
          <w:rFonts w:ascii="Times New Roman" w:eastAsia="Times New Roman" w:hAnsi="Times New Roman" w:cs="Times New Roman"/>
          <w:sz w:val="24"/>
          <w:szCs w:val="24"/>
        </w:rPr>
        <w:t xml:space="preserve">) </w:t>
      </w:r>
      <w:r w:rsidR="00F34C43">
        <w:rPr>
          <w:rFonts w:ascii="Times New Roman" w:eastAsia="Times New Roman" w:hAnsi="Times New Roman" w:cs="Times New Roman"/>
          <w:sz w:val="24"/>
          <w:szCs w:val="24"/>
        </w:rPr>
        <w:t xml:space="preserve">sequence retrieved from the </w:t>
      </w:r>
      <w:r w:rsidR="00BE2F92" w:rsidRPr="00BE2F92">
        <w:rPr>
          <w:rFonts w:ascii="Times New Roman" w:eastAsia="Times New Roman" w:hAnsi="Times New Roman" w:cs="Times New Roman"/>
          <w:sz w:val="24"/>
          <w:szCs w:val="24"/>
        </w:rPr>
        <w:t>human genome assembly GRCh38/hg38</w:t>
      </w:r>
      <w:r w:rsidR="00BE2F92">
        <w:rPr>
          <w:rFonts w:ascii="Times New Roman" w:eastAsia="Times New Roman" w:hAnsi="Times New Roman" w:cs="Times New Roman"/>
          <w:sz w:val="24"/>
          <w:szCs w:val="24"/>
        </w:rPr>
        <w:t xml:space="preserve"> </w:t>
      </w:r>
      <w:r w:rsidR="00CE602A">
        <w:rPr>
          <w:rFonts w:ascii="Times New Roman" w:eastAsia="Times New Roman" w:hAnsi="Times New Roman" w:cs="Times New Roman"/>
          <w:sz w:val="24"/>
          <w:szCs w:val="24"/>
        </w:rPr>
        <w:t>(unpublished data)</w:t>
      </w:r>
      <w:r w:rsidR="00BE2F92">
        <w:rPr>
          <w:rFonts w:ascii="Times New Roman" w:eastAsia="Times New Roman" w:hAnsi="Times New Roman" w:cs="Times New Roman"/>
          <w:sz w:val="24"/>
          <w:szCs w:val="24"/>
        </w:rPr>
        <w:t>.</w:t>
      </w:r>
    </w:p>
    <w:p w14:paraId="10A4BB05" w14:textId="77777777" w:rsidR="000C4679" w:rsidRDefault="000C4679">
      <w:pPr>
        <w:spacing w:after="0" w:line="240" w:lineRule="auto"/>
        <w:ind w:left="0" w:hanging="2"/>
        <w:jc w:val="both"/>
        <w:rPr>
          <w:rFonts w:ascii="Times New Roman" w:eastAsia="Times New Roman" w:hAnsi="Times New Roman" w:cs="Times New Roman"/>
          <w:sz w:val="24"/>
          <w:szCs w:val="24"/>
        </w:rPr>
      </w:pPr>
    </w:p>
    <w:p w14:paraId="59A75AA0" w14:textId="4333BB49" w:rsidR="00851A5F" w:rsidRDefault="00854D79">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AC23D0">
        <w:rPr>
          <w:rFonts w:ascii="Times New Roman" w:eastAsia="Times New Roman" w:hAnsi="Times New Roman" w:cs="Times New Roman"/>
          <w:sz w:val="24"/>
          <w:szCs w:val="24"/>
        </w:rPr>
        <w:t xml:space="preserve">reaction mixture for RFLP was comprised of </w:t>
      </w:r>
      <w:r w:rsidR="00AE77FC">
        <w:rPr>
          <w:rFonts w:ascii="Times New Roman" w:eastAsia="Times New Roman" w:hAnsi="Times New Roman" w:cs="Times New Roman"/>
          <w:sz w:val="24"/>
          <w:szCs w:val="24"/>
        </w:rPr>
        <w:t>0.</w:t>
      </w:r>
      <w:r w:rsidR="00AE77FC" w:rsidRPr="00AE77FC">
        <w:rPr>
          <w:rFonts w:ascii="Times New Roman" w:eastAsia="Times New Roman" w:hAnsi="Times New Roman" w:cs="Times New Roman"/>
          <w:sz w:val="24"/>
          <w:szCs w:val="24"/>
        </w:rPr>
        <w:t xml:space="preserve">5 </w:t>
      </w:r>
      <w:proofErr w:type="spellStart"/>
      <w:r w:rsidR="00AE77FC" w:rsidRPr="00AE77FC">
        <w:rPr>
          <w:rFonts w:ascii="Times New Roman" w:eastAsia="Times New Roman" w:hAnsi="Times New Roman" w:cs="Times New Roman"/>
          <w:sz w:val="24"/>
          <w:szCs w:val="24"/>
        </w:rPr>
        <w:t>μl</w:t>
      </w:r>
      <w:proofErr w:type="spellEnd"/>
      <w:r w:rsidR="00AE77FC" w:rsidRPr="00AE77FC">
        <w:rPr>
          <w:rFonts w:ascii="Times New Roman" w:eastAsia="Times New Roman" w:hAnsi="Times New Roman" w:cs="Times New Roman"/>
          <w:sz w:val="24"/>
          <w:szCs w:val="24"/>
        </w:rPr>
        <w:t xml:space="preserve"> of buffer Tango, </w:t>
      </w:r>
      <w:r w:rsidR="00AE77FC">
        <w:rPr>
          <w:rFonts w:ascii="Times New Roman" w:eastAsia="Times New Roman" w:hAnsi="Times New Roman" w:cs="Times New Roman"/>
          <w:sz w:val="24"/>
          <w:szCs w:val="24"/>
        </w:rPr>
        <w:t>0.</w:t>
      </w:r>
      <w:r w:rsidR="00AE77FC" w:rsidRPr="00AE77FC">
        <w:rPr>
          <w:rFonts w:ascii="Times New Roman" w:eastAsia="Times New Roman" w:hAnsi="Times New Roman" w:cs="Times New Roman"/>
          <w:sz w:val="24"/>
          <w:szCs w:val="24"/>
        </w:rPr>
        <w:t xml:space="preserve">5 </w:t>
      </w:r>
      <w:proofErr w:type="spellStart"/>
      <w:r w:rsidR="00AE77FC" w:rsidRPr="00AE77FC">
        <w:rPr>
          <w:rFonts w:ascii="Times New Roman" w:eastAsia="Times New Roman" w:hAnsi="Times New Roman" w:cs="Times New Roman"/>
          <w:sz w:val="24"/>
          <w:szCs w:val="24"/>
        </w:rPr>
        <w:t>μl</w:t>
      </w:r>
      <w:proofErr w:type="spellEnd"/>
      <w:r w:rsidR="00AE77FC" w:rsidRPr="00AE77FC">
        <w:rPr>
          <w:rFonts w:ascii="Times New Roman" w:eastAsia="Times New Roman" w:hAnsi="Times New Roman" w:cs="Times New Roman"/>
          <w:sz w:val="24"/>
          <w:szCs w:val="24"/>
        </w:rPr>
        <w:t xml:space="preserve"> of 10x PCR buffer, </w:t>
      </w:r>
      <w:r w:rsidR="00AE77FC">
        <w:rPr>
          <w:rFonts w:ascii="Times New Roman" w:eastAsia="Times New Roman" w:hAnsi="Times New Roman" w:cs="Times New Roman"/>
          <w:sz w:val="24"/>
          <w:szCs w:val="24"/>
        </w:rPr>
        <w:t>0.</w:t>
      </w:r>
      <w:r w:rsidR="00AE77FC" w:rsidRPr="00AE77FC">
        <w:rPr>
          <w:rFonts w:ascii="Times New Roman" w:eastAsia="Times New Roman" w:hAnsi="Times New Roman" w:cs="Times New Roman"/>
          <w:sz w:val="24"/>
          <w:szCs w:val="24"/>
        </w:rPr>
        <w:t xml:space="preserve">5 </w:t>
      </w:r>
      <w:proofErr w:type="spellStart"/>
      <w:r w:rsidR="00AE77FC" w:rsidRPr="00AE77FC">
        <w:rPr>
          <w:rFonts w:ascii="Times New Roman" w:eastAsia="Times New Roman" w:hAnsi="Times New Roman" w:cs="Times New Roman"/>
          <w:sz w:val="24"/>
          <w:szCs w:val="24"/>
        </w:rPr>
        <w:t>μl</w:t>
      </w:r>
      <w:proofErr w:type="spellEnd"/>
      <w:r w:rsidR="00AE77FC" w:rsidRPr="00AE77FC">
        <w:rPr>
          <w:rFonts w:ascii="Times New Roman" w:eastAsia="Times New Roman" w:hAnsi="Times New Roman" w:cs="Times New Roman"/>
          <w:sz w:val="24"/>
          <w:szCs w:val="24"/>
        </w:rPr>
        <w:t xml:space="preserve"> of restriction enzyme, 8</w:t>
      </w:r>
      <w:r w:rsidR="00AE77FC">
        <w:rPr>
          <w:rFonts w:ascii="Times New Roman" w:eastAsia="Times New Roman" w:hAnsi="Times New Roman" w:cs="Times New Roman"/>
          <w:sz w:val="24"/>
          <w:szCs w:val="24"/>
        </w:rPr>
        <w:t>.</w:t>
      </w:r>
      <w:r w:rsidR="00AE77FC" w:rsidRPr="00AE77FC">
        <w:rPr>
          <w:rFonts w:ascii="Times New Roman" w:eastAsia="Times New Roman" w:hAnsi="Times New Roman" w:cs="Times New Roman"/>
          <w:sz w:val="24"/>
          <w:szCs w:val="24"/>
        </w:rPr>
        <w:t xml:space="preserve">5 </w:t>
      </w:r>
      <w:proofErr w:type="spellStart"/>
      <w:r w:rsidR="00AE77FC" w:rsidRPr="00AE77FC">
        <w:rPr>
          <w:rFonts w:ascii="Times New Roman" w:eastAsia="Times New Roman" w:hAnsi="Times New Roman" w:cs="Times New Roman"/>
          <w:sz w:val="24"/>
          <w:szCs w:val="24"/>
        </w:rPr>
        <w:t>μl</w:t>
      </w:r>
      <w:proofErr w:type="spellEnd"/>
      <w:r w:rsidR="00AE77FC" w:rsidRPr="00AE77FC">
        <w:rPr>
          <w:rFonts w:ascii="Times New Roman" w:eastAsia="Times New Roman" w:hAnsi="Times New Roman" w:cs="Times New Roman"/>
          <w:sz w:val="24"/>
          <w:szCs w:val="24"/>
        </w:rPr>
        <w:t xml:space="preserve"> of H2O, </w:t>
      </w:r>
      <w:r w:rsidR="00367029">
        <w:rPr>
          <w:rFonts w:ascii="Times New Roman" w:eastAsia="Times New Roman" w:hAnsi="Times New Roman" w:cs="Times New Roman"/>
          <w:sz w:val="24"/>
          <w:szCs w:val="24"/>
        </w:rPr>
        <w:t xml:space="preserve">and </w:t>
      </w:r>
      <w:r w:rsidR="00AE77FC" w:rsidRPr="00AE77FC">
        <w:rPr>
          <w:rFonts w:ascii="Times New Roman" w:eastAsia="Times New Roman" w:hAnsi="Times New Roman" w:cs="Times New Roman"/>
          <w:sz w:val="24"/>
          <w:szCs w:val="24"/>
        </w:rPr>
        <w:t xml:space="preserve">10 </w:t>
      </w:r>
      <w:proofErr w:type="spellStart"/>
      <w:r w:rsidR="00AE77FC" w:rsidRPr="00AE77FC">
        <w:rPr>
          <w:rFonts w:ascii="Times New Roman" w:eastAsia="Times New Roman" w:hAnsi="Times New Roman" w:cs="Times New Roman"/>
          <w:sz w:val="24"/>
          <w:szCs w:val="24"/>
        </w:rPr>
        <w:t>μl</w:t>
      </w:r>
      <w:proofErr w:type="spellEnd"/>
      <w:r w:rsidR="00367029">
        <w:rPr>
          <w:rFonts w:ascii="Times New Roman" w:eastAsia="Times New Roman" w:hAnsi="Times New Roman" w:cs="Times New Roman"/>
          <w:sz w:val="24"/>
          <w:szCs w:val="24"/>
        </w:rPr>
        <w:t xml:space="preserve"> of PCR product</w:t>
      </w:r>
      <w:r w:rsidR="00AE77FC">
        <w:rPr>
          <w:rFonts w:ascii="Times New Roman" w:eastAsia="Times New Roman" w:hAnsi="Times New Roman" w:cs="Times New Roman"/>
          <w:sz w:val="24"/>
          <w:szCs w:val="24"/>
        </w:rPr>
        <w:t>.</w:t>
      </w:r>
      <w:r w:rsidR="00CC5CAF">
        <w:rPr>
          <w:rFonts w:ascii="Times New Roman" w:eastAsia="Times New Roman" w:hAnsi="Times New Roman" w:cs="Times New Roman"/>
          <w:sz w:val="24"/>
          <w:szCs w:val="24"/>
        </w:rPr>
        <w:t xml:space="preserve"> </w:t>
      </w:r>
      <w:r w:rsidR="005D318C">
        <w:rPr>
          <w:rFonts w:ascii="Times New Roman" w:eastAsia="Times New Roman" w:hAnsi="Times New Roman" w:cs="Times New Roman"/>
          <w:sz w:val="24"/>
          <w:szCs w:val="24"/>
        </w:rPr>
        <w:t xml:space="preserve">Digestion </w:t>
      </w:r>
      <w:r w:rsidR="00CC5CAF">
        <w:rPr>
          <w:rFonts w:ascii="Times New Roman" w:eastAsia="Times New Roman" w:hAnsi="Times New Roman" w:cs="Times New Roman"/>
          <w:sz w:val="24"/>
          <w:szCs w:val="24"/>
        </w:rPr>
        <w:t xml:space="preserve">process </w:t>
      </w:r>
      <w:r w:rsidR="00CF26D7">
        <w:rPr>
          <w:rFonts w:ascii="Times New Roman" w:eastAsia="Times New Roman" w:hAnsi="Times New Roman" w:cs="Times New Roman"/>
          <w:sz w:val="24"/>
          <w:szCs w:val="24"/>
        </w:rPr>
        <w:t xml:space="preserve">was conducted for 2 hours at a temperature of </w:t>
      </w:r>
      <w:r w:rsidR="00851A5F" w:rsidRPr="00851A5F">
        <w:rPr>
          <w:rFonts w:ascii="Times New Roman" w:eastAsia="Times New Roman" w:hAnsi="Times New Roman" w:cs="Times New Roman"/>
          <w:sz w:val="24"/>
          <w:szCs w:val="24"/>
        </w:rPr>
        <w:t>37°C.</w:t>
      </w:r>
      <w:r w:rsidR="00B67690">
        <w:rPr>
          <w:rFonts w:ascii="Times New Roman" w:eastAsia="Times New Roman" w:hAnsi="Times New Roman" w:cs="Times New Roman"/>
          <w:sz w:val="24"/>
          <w:szCs w:val="24"/>
        </w:rPr>
        <w:t xml:space="preserve"> To visualize the fragments, a 1.5% or 2.5% agarose gel </w:t>
      </w:r>
      <w:r w:rsidR="002B08A2">
        <w:rPr>
          <w:rFonts w:ascii="Times New Roman" w:eastAsia="Times New Roman" w:hAnsi="Times New Roman" w:cs="Times New Roman"/>
          <w:sz w:val="24"/>
          <w:szCs w:val="24"/>
        </w:rPr>
        <w:t xml:space="preserve">electrophoresis was </w:t>
      </w:r>
      <w:r w:rsidR="009748D7">
        <w:rPr>
          <w:rFonts w:ascii="Times New Roman" w:eastAsia="Times New Roman" w:hAnsi="Times New Roman" w:cs="Times New Roman"/>
          <w:sz w:val="24"/>
          <w:szCs w:val="24"/>
        </w:rPr>
        <w:t xml:space="preserve">operated </w:t>
      </w:r>
      <w:r w:rsidR="002B08A2">
        <w:rPr>
          <w:rFonts w:ascii="Times New Roman" w:eastAsia="Times New Roman" w:hAnsi="Times New Roman" w:cs="Times New Roman"/>
          <w:sz w:val="24"/>
          <w:szCs w:val="24"/>
        </w:rPr>
        <w:t xml:space="preserve">for </w:t>
      </w:r>
      <w:r w:rsidR="009D34A2" w:rsidRPr="009D34A2">
        <w:rPr>
          <w:rFonts w:ascii="Times New Roman" w:eastAsia="Times New Roman" w:hAnsi="Times New Roman" w:cs="Times New Roman"/>
          <w:sz w:val="24"/>
          <w:szCs w:val="24"/>
        </w:rPr>
        <w:t xml:space="preserve">40 minutes at 110 V </w:t>
      </w:r>
      <w:r w:rsidR="009D34A2">
        <w:rPr>
          <w:rFonts w:ascii="Times New Roman" w:eastAsia="Times New Roman" w:hAnsi="Times New Roman" w:cs="Times New Roman"/>
          <w:sz w:val="24"/>
          <w:szCs w:val="24"/>
        </w:rPr>
        <w:t>to effectively separate the DNA fragments based on their length.</w:t>
      </w:r>
      <w:r w:rsidR="00CE68A2">
        <w:rPr>
          <w:rFonts w:ascii="Times New Roman" w:eastAsia="Times New Roman" w:hAnsi="Times New Roman" w:cs="Times New Roman"/>
          <w:sz w:val="24"/>
          <w:szCs w:val="24"/>
        </w:rPr>
        <w:t xml:space="preserve"> Each restriction </w:t>
      </w:r>
      <w:r w:rsidR="005D318C">
        <w:rPr>
          <w:rFonts w:ascii="Times New Roman" w:eastAsia="Times New Roman" w:hAnsi="Times New Roman" w:cs="Times New Roman"/>
          <w:sz w:val="24"/>
          <w:szCs w:val="24"/>
        </w:rPr>
        <w:t xml:space="preserve">enzyme's </w:t>
      </w:r>
      <w:r w:rsidR="00CE68A2">
        <w:rPr>
          <w:rFonts w:ascii="Times New Roman" w:eastAsia="Times New Roman" w:hAnsi="Times New Roman" w:cs="Times New Roman"/>
          <w:sz w:val="24"/>
          <w:szCs w:val="24"/>
        </w:rPr>
        <w:t xml:space="preserve">specific site was displayed in Table </w:t>
      </w:r>
      <w:r w:rsidR="00A95FE0">
        <w:rPr>
          <w:rFonts w:ascii="Times New Roman" w:eastAsia="Times New Roman" w:hAnsi="Times New Roman" w:cs="Times New Roman"/>
          <w:sz w:val="24"/>
          <w:szCs w:val="24"/>
        </w:rPr>
        <w:t>1</w:t>
      </w:r>
      <w:r w:rsidR="00CE68A2">
        <w:rPr>
          <w:rFonts w:ascii="Times New Roman" w:eastAsia="Times New Roman" w:hAnsi="Times New Roman" w:cs="Times New Roman"/>
          <w:sz w:val="24"/>
          <w:szCs w:val="24"/>
        </w:rPr>
        <w:t>.</w:t>
      </w:r>
    </w:p>
    <w:p w14:paraId="0A487D8A" w14:textId="77777777" w:rsidR="00851A5F" w:rsidRDefault="00851A5F">
      <w:pPr>
        <w:spacing w:after="0" w:line="240" w:lineRule="auto"/>
        <w:ind w:left="0" w:hanging="2"/>
        <w:jc w:val="both"/>
        <w:rPr>
          <w:rFonts w:ascii="Times New Roman" w:eastAsia="Times New Roman" w:hAnsi="Times New Roman" w:cs="Times New Roman"/>
          <w:sz w:val="24"/>
          <w:szCs w:val="24"/>
        </w:rPr>
      </w:pPr>
    </w:p>
    <w:p w14:paraId="3298A8DF" w14:textId="1C5FA807" w:rsidR="008E6C80" w:rsidRDefault="009A53A1">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Ethic</w:t>
      </w:r>
      <w:r w:rsidR="00EA0885">
        <w:rPr>
          <w:rFonts w:ascii="Times New Roman" w:eastAsia="Times New Roman" w:hAnsi="Times New Roman" w:cs="Times New Roman"/>
          <w:sz w:val="24"/>
          <w:szCs w:val="24"/>
        </w:rPr>
        <w:t xml:space="preserve">al approval was </w:t>
      </w:r>
      <w:r w:rsidR="00507006">
        <w:rPr>
          <w:rFonts w:ascii="Times New Roman" w:eastAsia="Times New Roman" w:hAnsi="Times New Roman" w:cs="Times New Roman"/>
          <w:sz w:val="24"/>
          <w:szCs w:val="24"/>
        </w:rPr>
        <w:t xml:space="preserve">issued </w:t>
      </w:r>
      <w:r w:rsidR="008A5BE2">
        <w:rPr>
          <w:rFonts w:ascii="Times New Roman" w:eastAsia="Times New Roman" w:hAnsi="Times New Roman" w:cs="Times New Roman"/>
          <w:sz w:val="24"/>
          <w:szCs w:val="24"/>
        </w:rPr>
        <w:t xml:space="preserve">before the commencement of the study (No. </w:t>
      </w:r>
      <w:r w:rsidR="00F8471C">
        <w:rPr>
          <w:rFonts w:ascii="Times New Roman" w:eastAsia="Times New Roman" w:hAnsi="Times New Roman" w:cs="Times New Roman"/>
          <w:sz w:val="24"/>
          <w:szCs w:val="24"/>
        </w:rPr>
        <w:t>072/EC/KEPK/FK-UNDIP/II/2024</w:t>
      </w:r>
      <w:r w:rsidR="008A5BE2">
        <w:rPr>
          <w:rFonts w:ascii="Times New Roman" w:eastAsia="Times New Roman" w:hAnsi="Times New Roman" w:cs="Times New Roman"/>
          <w:sz w:val="24"/>
          <w:szCs w:val="24"/>
        </w:rPr>
        <w:t xml:space="preserve">). Data were presented descriptively as </w:t>
      </w:r>
      <w:r w:rsidR="00A52DF6">
        <w:rPr>
          <w:rFonts w:ascii="Times New Roman" w:eastAsia="Times New Roman" w:hAnsi="Times New Roman" w:cs="Times New Roman"/>
          <w:sz w:val="24"/>
          <w:szCs w:val="24"/>
        </w:rPr>
        <w:t>frequencies</w:t>
      </w:r>
      <w:r w:rsidR="008E1D93">
        <w:rPr>
          <w:rFonts w:ascii="Times New Roman" w:eastAsia="Times New Roman" w:hAnsi="Times New Roman" w:cs="Times New Roman"/>
          <w:sz w:val="24"/>
          <w:szCs w:val="24"/>
        </w:rPr>
        <w:t xml:space="preserve"> and percentages. No statistical analysis was conducted in the study.</w:t>
      </w:r>
    </w:p>
    <w:p w14:paraId="4AE28A89" w14:textId="77777777" w:rsidR="009A53A1" w:rsidRDefault="009A53A1">
      <w:pPr>
        <w:spacing w:after="0" w:line="240" w:lineRule="auto"/>
        <w:ind w:left="0" w:hanging="2"/>
        <w:jc w:val="both"/>
        <w:rPr>
          <w:rFonts w:ascii="Times New Roman" w:eastAsia="Times New Roman" w:hAnsi="Times New Roman" w:cs="Times New Roman"/>
          <w:sz w:val="24"/>
          <w:szCs w:val="24"/>
        </w:rPr>
      </w:pPr>
    </w:p>
    <w:p w14:paraId="3298A8E2" w14:textId="59234C16" w:rsidR="008E6C80" w:rsidRDefault="005D3AC0" w:rsidP="00CA46E3">
      <w:pPr>
        <w:pStyle w:val="Heading1"/>
      </w:pPr>
      <w:r>
        <w:t>RESULTS</w:t>
      </w:r>
    </w:p>
    <w:p w14:paraId="3298A8E3" w14:textId="32A4A6B4" w:rsidR="008E6C80" w:rsidRDefault="00047D0C">
      <w:pPr>
        <w:spacing w:after="0" w:line="240" w:lineRule="auto"/>
        <w:ind w:left="0" w:hanging="2"/>
        <w:jc w:val="both"/>
        <w:rPr>
          <w:rFonts w:ascii="Times New Roman" w:eastAsia="Times New Roman" w:hAnsi="Times New Roman" w:cs="Times New Roman"/>
          <w:sz w:val="24"/>
          <w:szCs w:val="24"/>
        </w:rPr>
      </w:pPr>
      <w:r w:rsidRPr="00047D0C">
        <w:rPr>
          <w:rFonts w:ascii="Times New Roman" w:eastAsia="Times New Roman" w:hAnsi="Times New Roman" w:cs="Times New Roman"/>
          <w:sz w:val="24"/>
          <w:szCs w:val="24"/>
        </w:rPr>
        <w:t>Among 49 SW-CAH patient</w:t>
      </w:r>
      <w:r w:rsidR="00066EEA">
        <w:rPr>
          <w:rFonts w:ascii="Times New Roman" w:eastAsia="Times New Roman" w:hAnsi="Times New Roman" w:cs="Times New Roman"/>
          <w:sz w:val="24"/>
          <w:szCs w:val="24"/>
        </w:rPr>
        <w:t>s</w:t>
      </w:r>
      <w:r w:rsidRPr="00047D0C">
        <w:rPr>
          <w:rFonts w:ascii="Times New Roman" w:eastAsia="Times New Roman" w:hAnsi="Times New Roman" w:cs="Times New Roman"/>
          <w:sz w:val="24"/>
          <w:szCs w:val="24"/>
        </w:rPr>
        <w:t xml:space="preserve">, the two most common pathogenic variants causing SW-CAH were identified, including </w:t>
      </w:r>
      <w:r w:rsidR="0025071E" w:rsidRPr="0025071E">
        <w:rPr>
          <w:rFonts w:ascii="Times New Roman" w:eastAsia="Times New Roman" w:hAnsi="Times New Roman" w:cs="Times New Roman"/>
          <w:sz w:val="24"/>
          <w:szCs w:val="24"/>
        </w:rPr>
        <w:t>IVS2-13A/C&gt;G</w:t>
      </w:r>
      <w:r w:rsidR="008A29F5">
        <w:rPr>
          <w:rFonts w:ascii="Times New Roman" w:eastAsia="Times New Roman" w:hAnsi="Times New Roman" w:cs="Times New Roman"/>
          <w:sz w:val="24"/>
          <w:szCs w:val="24"/>
        </w:rPr>
        <w:t xml:space="preserve"> </w:t>
      </w:r>
      <w:r w:rsidRPr="00047D0C">
        <w:rPr>
          <w:rFonts w:ascii="Times New Roman" w:eastAsia="Times New Roman" w:hAnsi="Times New Roman" w:cs="Times New Roman"/>
          <w:sz w:val="24"/>
          <w:szCs w:val="24"/>
        </w:rPr>
        <w:t xml:space="preserve">and </w:t>
      </w:r>
      <w:proofErr w:type="gramStart"/>
      <w:r w:rsidRPr="00047D0C">
        <w:rPr>
          <w:rFonts w:ascii="Times New Roman" w:eastAsia="Times New Roman" w:hAnsi="Times New Roman" w:cs="Times New Roman"/>
          <w:sz w:val="24"/>
          <w:szCs w:val="24"/>
        </w:rPr>
        <w:t>p.Gln</w:t>
      </w:r>
      <w:proofErr w:type="gramEnd"/>
      <w:r w:rsidRPr="00047D0C">
        <w:rPr>
          <w:rFonts w:ascii="Times New Roman" w:eastAsia="Times New Roman" w:hAnsi="Times New Roman" w:cs="Times New Roman"/>
          <w:sz w:val="24"/>
          <w:szCs w:val="24"/>
        </w:rPr>
        <w:t xml:space="preserve">318Ter. The most frequent variant was </w:t>
      </w:r>
      <w:r w:rsidR="0025071E" w:rsidRPr="0025071E">
        <w:rPr>
          <w:rFonts w:ascii="Times New Roman" w:eastAsia="Times New Roman" w:hAnsi="Times New Roman" w:cs="Times New Roman"/>
          <w:sz w:val="24"/>
          <w:szCs w:val="24"/>
        </w:rPr>
        <w:t>IVS2-13A/C&gt;G</w:t>
      </w:r>
      <w:r w:rsidR="000C606E">
        <w:rPr>
          <w:rFonts w:ascii="Times New Roman" w:eastAsia="Times New Roman" w:hAnsi="Times New Roman" w:cs="Times New Roman"/>
          <w:sz w:val="24"/>
          <w:szCs w:val="24"/>
        </w:rPr>
        <w:t>,</w:t>
      </w:r>
      <w:r w:rsidR="008A29F5">
        <w:rPr>
          <w:rFonts w:ascii="Times New Roman" w:eastAsia="Times New Roman" w:hAnsi="Times New Roman" w:cs="Times New Roman"/>
          <w:sz w:val="24"/>
          <w:szCs w:val="24"/>
        </w:rPr>
        <w:t xml:space="preserve"> </w:t>
      </w:r>
      <w:r w:rsidRPr="00047D0C">
        <w:rPr>
          <w:rFonts w:ascii="Times New Roman" w:eastAsia="Times New Roman" w:hAnsi="Times New Roman" w:cs="Times New Roman"/>
          <w:sz w:val="24"/>
          <w:szCs w:val="24"/>
        </w:rPr>
        <w:t xml:space="preserve">which was </w:t>
      </w:r>
      <w:r w:rsidR="00B13C9E">
        <w:rPr>
          <w:rFonts w:ascii="Times New Roman" w:eastAsia="Times New Roman" w:hAnsi="Times New Roman" w:cs="Times New Roman"/>
          <w:sz w:val="24"/>
          <w:szCs w:val="24"/>
        </w:rPr>
        <w:t>detected in 26 out</w:t>
      </w:r>
      <w:r w:rsidRPr="00047D0C">
        <w:rPr>
          <w:rFonts w:ascii="Times New Roman" w:eastAsia="Times New Roman" w:hAnsi="Times New Roman" w:cs="Times New Roman"/>
          <w:sz w:val="24"/>
          <w:szCs w:val="24"/>
        </w:rPr>
        <w:t xml:space="preserve"> of 27 patients tested (96.3%). The </w:t>
      </w:r>
      <w:proofErr w:type="gramStart"/>
      <w:r w:rsidRPr="00047D0C">
        <w:rPr>
          <w:rFonts w:ascii="Times New Roman" w:eastAsia="Times New Roman" w:hAnsi="Times New Roman" w:cs="Times New Roman"/>
          <w:sz w:val="24"/>
          <w:szCs w:val="24"/>
        </w:rPr>
        <w:t>p.Gln</w:t>
      </w:r>
      <w:proofErr w:type="gramEnd"/>
      <w:r w:rsidRPr="00047D0C">
        <w:rPr>
          <w:rFonts w:ascii="Times New Roman" w:eastAsia="Times New Roman" w:hAnsi="Times New Roman" w:cs="Times New Roman"/>
          <w:sz w:val="24"/>
          <w:szCs w:val="24"/>
        </w:rPr>
        <w:t>318Ter was only detected in 3 patients from a total of 49 patients (6.1%).</w:t>
      </w:r>
    </w:p>
    <w:p w14:paraId="2016FB82" w14:textId="77777777" w:rsidR="00310890" w:rsidRDefault="00310890">
      <w:pPr>
        <w:spacing w:after="0" w:line="240" w:lineRule="auto"/>
        <w:ind w:left="0" w:hanging="2"/>
        <w:jc w:val="both"/>
        <w:rPr>
          <w:rFonts w:ascii="Times New Roman" w:eastAsia="Times New Roman" w:hAnsi="Times New Roman" w:cs="Times New Roman"/>
          <w:sz w:val="24"/>
          <w:szCs w:val="24"/>
        </w:rPr>
      </w:pPr>
    </w:p>
    <w:p w14:paraId="0C1FC944" w14:textId="2938A315" w:rsidR="00047D0C" w:rsidRDefault="0000498B">
      <w:pPr>
        <w:spacing w:after="0" w:line="240" w:lineRule="auto"/>
        <w:ind w:left="0" w:hanging="2"/>
        <w:jc w:val="both"/>
        <w:rPr>
          <w:rFonts w:ascii="Times New Roman" w:eastAsia="Times New Roman" w:hAnsi="Times New Roman" w:cs="Times New Roman"/>
          <w:sz w:val="24"/>
          <w:szCs w:val="24"/>
        </w:rPr>
      </w:pPr>
      <w:r w:rsidRPr="0000498B">
        <w:rPr>
          <w:rFonts w:ascii="Times New Roman" w:eastAsia="Times New Roman" w:hAnsi="Times New Roman" w:cs="Times New Roman"/>
          <w:sz w:val="24"/>
          <w:szCs w:val="24"/>
        </w:rPr>
        <w:t xml:space="preserve">The positive result of RFLP analysis </w:t>
      </w:r>
      <w:r w:rsidR="008A29F5">
        <w:rPr>
          <w:rFonts w:ascii="Times New Roman" w:eastAsia="Times New Roman" w:hAnsi="Times New Roman" w:cs="Times New Roman"/>
          <w:sz w:val="24"/>
          <w:szCs w:val="24"/>
        </w:rPr>
        <w:t xml:space="preserve">of the </w:t>
      </w:r>
      <w:r w:rsidR="0025071E" w:rsidRPr="0025071E">
        <w:rPr>
          <w:rFonts w:ascii="Times New Roman" w:eastAsia="Times New Roman" w:hAnsi="Times New Roman" w:cs="Times New Roman"/>
          <w:sz w:val="24"/>
          <w:szCs w:val="24"/>
        </w:rPr>
        <w:t xml:space="preserve">IVS2-13A/C&gt;G </w:t>
      </w:r>
      <w:r w:rsidR="000C606E">
        <w:rPr>
          <w:rFonts w:ascii="Times New Roman" w:eastAsia="Times New Roman" w:hAnsi="Times New Roman" w:cs="Times New Roman"/>
          <w:sz w:val="24"/>
          <w:szCs w:val="24"/>
        </w:rPr>
        <w:t>variant</w:t>
      </w:r>
      <w:r w:rsidR="000C606E" w:rsidRPr="0000498B">
        <w:rPr>
          <w:rFonts w:ascii="Times New Roman" w:eastAsia="Times New Roman" w:hAnsi="Times New Roman" w:cs="Times New Roman"/>
          <w:sz w:val="24"/>
          <w:szCs w:val="24"/>
        </w:rPr>
        <w:t xml:space="preserve"> </w:t>
      </w:r>
      <w:r w:rsidRPr="0000498B">
        <w:rPr>
          <w:rFonts w:ascii="Times New Roman" w:eastAsia="Times New Roman" w:hAnsi="Times New Roman" w:cs="Times New Roman"/>
          <w:sz w:val="24"/>
          <w:szCs w:val="24"/>
        </w:rPr>
        <w:t>produced 4 DNA fragments at around 150 bp, 180 bp, 300 bp, and 450 bp</w:t>
      </w:r>
      <w:r w:rsidR="00B13C9E">
        <w:rPr>
          <w:rFonts w:ascii="Times New Roman" w:eastAsia="Times New Roman" w:hAnsi="Times New Roman" w:cs="Times New Roman"/>
          <w:sz w:val="24"/>
          <w:szCs w:val="24"/>
        </w:rPr>
        <w:t>,</w:t>
      </w:r>
      <w:r w:rsidRPr="0000498B">
        <w:rPr>
          <w:rFonts w:ascii="Times New Roman" w:eastAsia="Times New Roman" w:hAnsi="Times New Roman" w:cs="Times New Roman"/>
          <w:sz w:val="24"/>
          <w:szCs w:val="24"/>
        </w:rPr>
        <w:t xml:space="preserve"> whereas the fifth fragment was visible in the negative result at around 650 bp as can be seen in Figure </w:t>
      </w:r>
      <w:r w:rsidR="00A95FE0">
        <w:rPr>
          <w:rFonts w:ascii="Times New Roman" w:eastAsia="Times New Roman" w:hAnsi="Times New Roman" w:cs="Times New Roman"/>
          <w:sz w:val="24"/>
          <w:szCs w:val="24"/>
        </w:rPr>
        <w:t>2</w:t>
      </w:r>
      <w:r w:rsidRPr="0000498B">
        <w:rPr>
          <w:rFonts w:ascii="Times New Roman" w:eastAsia="Times New Roman" w:hAnsi="Times New Roman" w:cs="Times New Roman"/>
          <w:sz w:val="24"/>
          <w:szCs w:val="24"/>
        </w:rPr>
        <w:t>.</w:t>
      </w:r>
    </w:p>
    <w:p w14:paraId="3826D2CA" w14:textId="77777777" w:rsidR="0000498B" w:rsidRDefault="0000498B">
      <w:pPr>
        <w:spacing w:after="0" w:line="240" w:lineRule="auto"/>
        <w:ind w:left="0" w:hanging="2"/>
        <w:jc w:val="both"/>
        <w:rPr>
          <w:rFonts w:ascii="Times New Roman" w:eastAsia="Times New Roman" w:hAnsi="Times New Roman" w:cs="Times New Roman"/>
          <w:sz w:val="24"/>
          <w:szCs w:val="24"/>
        </w:rPr>
      </w:pPr>
    </w:p>
    <w:p w14:paraId="559571FC" w14:textId="0B2A0356" w:rsidR="0000498B" w:rsidRDefault="001D1FAB">
      <w:pPr>
        <w:spacing w:after="0" w:line="240" w:lineRule="auto"/>
        <w:ind w:left="0" w:hanging="2"/>
        <w:jc w:val="both"/>
        <w:rPr>
          <w:rFonts w:ascii="Times New Roman" w:eastAsia="Times New Roman" w:hAnsi="Times New Roman" w:cs="Times New Roman"/>
          <w:sz w:val="24"/>
          <w:szCs w:val="24"/>
        </w:rPr>
      </w:pPr>
      <w:r w:rsidRPr="001D1FAB">
        <w:rPr>
          <w:rFonts w:ascii="Times New Roman" w:eastAsia="Times New Roman" w:hAnsi="Times New Roman" w:cs="Times New Roman"/>
          <w:sz w:val="24"/>
          <w:szCs w:val="24"/>
        </w:rPr>
        <w:t xml:space="preserve">Post-digested DNA products using </w:t>
      </w:r>
      <w:r w:rsidR="00B13C9E">
        <w:rPr>
          <w:rFonts w:ascii="Times New Roman" w:eastAsia="Times New Roman" w:hAnsi="Times New Roman" w:cs="Times New Roman"/>
          <w:sz w:val="24"/>
          <w:szCs w:val="24"/>
        </w:rPr>
        <w:t xml:space="preserve">the </w:t>
      </w:r>
      <w:proofErr w:type="spellStart"/>
      <w:r w:rsidRPr="001D1FAB">
        <w:rPr>
          <w:rFonts w:ascii="Times New Roman" w:eastAsia="Times New Roman" w:hAnsi="Times New Roman" w:cs="Times New Roman"/>
          <w:sz w:val="24"/>
          <w:szCs w:val="24"/>
        </w:rPr>
        <w:t>PstI</w:t>
      </w:r>
      <w:proofErr w:type="spellEnd"/>
      <w:r w:rsidRPr="001D1FAB">
        <w:rPr>
          <w:rFonts w:ascii="Times New Roman" w:eastAsia="Times New Roman" w:hAnsi="Times New Roman" w:cs="Times New Roman"/>
          <w:sz w:val="24"/>
          <w:szCs w:val="24"/>
        </w:rPr>
        <w:t xml:space="preserve"> enzyme visualized several fragments. The positive result showed an </w:t>
      </w:r>
      <w:r w:rsidR="00B13C9E">
        <w:rPr>
          <w:rFonts w:ascii="Times New Roman" w:eastAsia="Times New Roman" w:hAnsi="Times New Roman" w:cs="Times New Roman"/>
          <w:sz w:val="24"/>
          <w:szCs w:val="24"/>
        </w:rPr>
        <w:t>additional fragment at approximately 1</w:t>
      </w:r>
      <w:r w:rsidR="003D4130">
        <w:rPr>
          <w:rFonts w:ascii="Times New Roman" w:eastAsia="Times New Roman" w:hAnsi="Times New Roman" w:cs="Times New Roman"/>
          <w:sz w:val="24"/>
          <w:szCs w:val="24"/>
        </w:rPr>
        <w:t>,</w:t>
      </w:r>
      <w:r w:rsidR="00B13C9E">
        <w:rPr>
          <w:rFonts w:ascii="Times New Roman" w:eastAsia="Times New Roman" w:hAnsi="Times New Roman" w:cs="Times New Roman"/>
          <w:sz w:val="24"/>
          <w:szCs w:val="24"/>
        </w:rPr>
        <w:t>000 bp, which</w:t>
      </w:r>
      <w:r w:rsidRPr="001D1FAB">
        <w:rPr>
          <w:rFonts w:ascii="Times New Roman" w:eastAsia="Times New Roman" w:hAnsi="Times New Roman" w:cs="Times New Roman"/>
          <w:sz w:val="24"/>
          <w:szCs w:val="24"/>
        </w:rPr>
        <w:t xml:space="preserve"> was not present in the negative result. (See Figure </w:t>
      </w:r>
      <w:r w:rsidR="00A95FE0">
        <w:rPr>
          <w:rFonts w:ascii="Times New Roman" w:eastAsia="Times New Roman" w:hAnsi="Times New Roman" w:cs="Times New Roman"/>
          <w:sz w:val="24"/>
          <w:szCs w:val="24"/>
        </w:rPr>
        <w:t>3</w:t>
      </w:r>
      <w:r w:rsidRPr="001D1FAB">
        <w:rPr>
          <w:rFonts w:ascii="Times New Roman" w:eastAsia="Times New Roman" w:hAnsi="Times New Roman" w:cs="Times New Roman"/>
          <w:sz w:val="24"/>
          <w:szCs w:val="24"/>
        </w:rPr>
        <w:t>)</w:t>
      </w:r>
    </w:p>
    <w:p w14:paraId="41862526" w14:textId="77777777" w:rsidR="001D1FAB" w:rsidRDefault="001D1FAB">
      <w:pPr>
        <w:spacing w:after="0" w:line="240" w:lineRule="auto"/>
        <w:ind w:left="0" w:hanging="2"/>
        <w:jc w:val="both"/>
        <w:rPr>
          <w:rFonts w:ascii="Times New Roman" w:eastAsia="Times New Roman" w:hAnsi="Times New Roman" w:cs="Times New Roman"/>
          <w:sz w:val="24"/>
          <w:szCs w:val="24"/>
        </w:rPr>
      </w:pPr>
    </w:p>
    <w:p w14:paraId="57B750CE" w14:textId="5A20FBC5" w:rsidR="0000498B" w:rsidRDefault="000D6016">
      <w:pPr>
        <w:spacing w:after="0" w:line="240" w:lineRule="auto"/>
        <w:ind w:left="0" w:hanging="2"/>
        <w:jc w:val="both"/>
        <w:rPr>
          <w:rFonts w:ascii="Times New Roman" w:eastAsia="Times New Roman" w:hAnsi="Times New Roman" w:cs="Times New Roman"/>
          <w:sz w:val="24"/>
          <w:szCs w:val="24"/>
        </w:rPr>
      </w:pPr>
      <w:r w:rsidRPr="000D6016">
        <w:rPr>
          <w:rFonts w:ascii="Times New Roman" w:eastAsia="Times New Roman" w:hAnsi="Times New Roman" w:cs="Times New Roman"/>
          <w:sz w:val="24"/>
          <w:szCs w:val="24"/>
        </w:rPr>
        <w:t xml:space="preserve">Analysis of </w:t>
      </w:r>
      <w:r w:rsidR="00B13C9E">
        <w:rPr>
          <w:rFonts w:ascii="Times New Roman" w:eastAsia="Times New Roman" w:hAnsi="Times New Roman" w:cs="Times New Roman"/>
          <w:sz w:val="24"/>
          <w:szCs w:val="24"/>
        </w:rPr>
        <w:t xml:space="preserve">the </w:t>
      </w:r>
      <w:r w:rsidRPr="000D6016">
        <w:rPr>
          <w:rFonts w:ascii="Times New Roman" w:eastAsia="Times New Roman" w:hAnsi="Times New Roman" w:cs="Times New Roman"/>
          <w:sz w:val="24"/>
          <w:szCs w:val="24"/>
        </w:rPr>
        <w:t xml:space="preserve">post-digested DNA product using </w:t>
      </w:r>
      <w:proofErr w:type="spellStart"/>
      <w:r w:rsidRPr="000D6016">
        <w:rPr>
          <w:rFonts w:ascii="Times New Roman" w:eastAsia="Times New Roman" w:hAnsi="Times New Roman" w:cs="Times New Roman"/>
          <w:sz w:val="24"/>
          <w:szCs w:val="24"/>
        </w:rPr>
        <w:t>AciI</w:t>
      </w:r>
      <w:proofErr w:type="spellEnd"/>
      <w:r w:rsidRPr="000D6016">
        <w:rPr>
          <w:rFonts w:ascii="Times New Roman" w:eastAsia="Times New Roman" w:hAnsi="Times New Roman" w:cs="Times New Roman"/>
          <w:sz w:val="24"/>
          <w:szCs w:val="24"/>
        </w:rPr>
        <w:t xml:space="preserve"> of </w:t>
      </w:r>
      <w:proofErr w:type="gramStart"/>
      <w:r w:rsidRPr="000D6016">
        <w:rPr>
          <w:rFonts w:ascii="Times New Roman" w:eastAsia="Times New Roman" w:hAnsi="Times New Roman" w:cs="Times New Roman"/>
          <w:sz w:val="24"/>
          <w:szCs w:val="24"/>
        </w:rPr>
        <w:t>p.Arg</w:t>
      </w:r>
      <w:proofErr w:type="gramEnd"/>
      <w:r w:rsidRPr="000D6016">
        <w:rPr>
          <w:rFonts w:ascii="Times New Roman" w:eastAsia="Times New Roman" w:hAnsi="Times New Roman" w:cs="Times New Roman"/>
          <w:sz w:val="24"/>
          <w:szCs w:val="24"/>
        </w:rPr>
        <w:t xml:space="preserve">357Trp displayed no band in </w:t>
      </w:r>
      <w:r w:rsidR="00B13C9E">
        <w:rPr>
          <w:rFonts w:ascii="Times New Roman" w:eastAsia="Times New Roman" w:hAnsi="Times New Roman" w:cs="Times New Roman"/>
          <w:sz w:val="24"/>
          <w:szCs w:val="24"/>
        </w:rPr>
        <w:t xml:space="preserve">either </w:t>
      </w:r>
      <w:r w:rsidRPr="000D6016">
        <w:rPr>
          <w:rFonts w:ascii="Times New Roman" w:eastAsia="Times New Roman" w:hAnsi="Times New Roman" w:cs="Times New Roman"/>
          <w:sz w:val="24"/>
          <w:szCs w:val="24"/>
        </w:rPr>
        <w:t xml:space="preserve">positive </w:t>
      </w:r>
      <w:r w:rsidR="00B13C9E">
        <w:rPr>
          <w:rFonts w:ascii="Times New Roman" w:eastAsia="Times New Roman" w:hAnsi="Times New Roman" w:cs="Times New Roman"/>
          <w:sz w:val="24"/>
          <w:szCs w:val="24"/>
        </w:rPr>
        <w:t>or</w:t>
      </w:r>
      <w:r w:rsidR="00B13C9E" w:rsidRPr="000D6016">
        <w:rPr>
          <w:rFonts w:ascii="Times New Roman" w:eastAsia="Times New Roman" w:hAnsi="Times New Roman" w:cs="Times New Roman"/>
          <w:sz w:val="24"/>
          <w:szCs w:val="24"/>
        </w:rPr>
        <w:t xml:space="preserve"> </w:t>
      </w:r>
      <w:r w:rsidRPr="000D6016">
        <w:rPr>
          <w:rFonts w:ascii="Times New Roman" w:eastAsia="Times New Roman" w:hAnsi="Times New Roman" w:cs="Times New Roman"/>
          <w:sz w:val="24"/>
          <w:szCs w:val="24"/>
        </w:rPr>
        <w:t xml:space="preserve">negative controls. Several DNA samples </w:t>
      </w:r>
      <w:proofErr w:type="gramStart"/>
      <w:r w:rsidRPr="000D6016">
        <w:rPr>
          <w:rFonts w:ascii="Times New Roman" w:eastAsia="Times New Roman" w:hAnsi="Times New Roman" w:cs="Times New Roman"/>
          <w:sz w:val="24"/>
          <w:szCs w:val="24"/>
        </w:rPr>
        <w:t>showed  fragments</w:t>
      </w:r>
      <w:proofErr w:type="gramEnd"/>
      <w:r w:rsidRPr="000D6016">
        <w:rPr>
          <w:rFonts w:ascii="Times New Roman" w:eastAsia="Times New Roman" w:hAnsi="Times New Roman" w:cs="Times New Roman"/>
          <w:sz w:val="24"/>
          <w:szCs w:val="24"/>
        </w:rPr>
        <w:t xml:space="preserve"> </w:t>
      </w:r>
      <w:r w:rsidR="00B13C9E">
        <w:rPr>
          <w:rFonts w:ascii="Times New Roman" w:eastAsia="Times New Roman" w:hAnsi="Times New Roman" w:cs="Times New Roman"/>
          <w:sz w:val="24"/>
          <w:szCs w:val="24"/>
        </w:rPr>
        <w:t>approximately</w:t>
      </w:r>
      <w:r w:rsidRPr="000D6016">
        <w:rPr>
          <w:rFonts w:ascii="Times New Roman" w:eastAsia="Times New Roman" w:hAnsi="Times New Roman" w:cs="Times New Roman"/>
          <w:sz w:val="24"/>
          <w:szCs w:val="24"/>
        </w:rPr>
        <w:t xml:space="preserve"> 500 bp, 300 bp, 200 bp, and 100 bp. (See Figure </w:t>
      </w:r>
      <w:r w:rsidR="00A95FE0">
        <w:rPr>
          <w:rFonts w:ascii="Times New Roman" w:eastAsia="Times New Roman" w:hAnsi="Times New Roman" w:cs="Times New Roman"/>
          <w:sz w:val="24"/>
          <w:szCs w:val="24"/>
        </w:rPr>
        <w:t>4</w:t>
      </w:r>
      <w:r w:rsidRPr="000D6016">
        <w:rPr>
          <w:rFonts w:ascii="Times New Roman" w:eastAsia="Times New Roman" w:hAnsi="Times New Roman" w:cs="Times New Roman"/>
          <w:sz w:val="24"/>
          <w:szCs w:val="24"/>
        </w:rPr>
        <w:t>)</w:t>
      </w:r>
    </w:p>
    <w:p w14:paraId="398FFE21" w14:textId="77777777" w:rsidR="007D2C4A" w:rsidRDefault="007D2C4A">
      <w:pPr>
        <w:spacing w:after="0" w:line="240" w:lineRule="auto"/>
        <w:ind w:left="0" w:hanging="2"/>
        <w:jc w:val="both"/>
        <w:rPr>
          <w:rFonts w:ascii="Times New Roman" w:eastAsia="Times New Roman" w:hAnsi="Times New Roman" w:cs="Times New Roman"/>
          <w:sz w:val="24"/>
          <w:szCs w:val="24"/>
        </w:rPr>
      </w:pPr>
    </w:p>
    <w:p w14:paraId="52C35F15" w14:textId="4DC59438" w:rsidR="00B71E00" w:rsidRDefault="00EB3C9C">
      <w:pPr>
        <w:spacing w:after="0" w:line="240" w:lineRule="auto"/>
        <w:ind w:left="0" w:hanging="2"/>
        <w:jc w:val="both"/>
        <w:rPr>
          <w:rFonts w:ascii="Times New Roman" w:eastAsia="Times New Roman" w:hAnsi="Times New Roman" w:cs="Times New Roman"/>
          <w:sz w:val="24"/>
          <w:szCs w:val="24"/>
        </w:rPr>
      </w:pPr>
      <w:r w:rsidRPr="00EB3C9C">
        <w:rPr>
          <w:rFonts w:ascii="Times New Roman" w:eastAsia="Times New Roman" w:hAnsi="Times New Roman" w:cs="Times New Roman"/>
          <w:sz w:val="24"/>
          <w:szCs w:val="24"/>
        </w:rPr>
        <w:t>There was no DNA fragment visualized on the positive control (number 2)</w:t>
      </w:r>
      <w:r w:rsidR="007D2C4A">
        <w:rPr>
          <w:rFonts w:ascii="Times New Roman" w:eastAsia="Times New Roman" w:hAnsi="Times New Roman" w:cs="Times New Roman"/>
          <w:sz w:val="24"/>
          <w:szCs w:val="24"/>
        </w:rPr>
        <w:t>,</w:t>
      </w:r>
      <w:r w:rsidRPr="00EB3C9C">
        <w:rPr>
          <w:rFonts w:ascii="Times New Roman" w:eastAsia="Times New Roman" w:hAnsi="Times New Roman" w:cs="Times New Roman"/>
          <w:sz w:val="24"/>
          <w:szCs w:val="24"/>
        </w:rPr>
        <w:t xml:space="preserve"> although two fragments were visualized on the negative control (number 22). The samples </w:t>
      </w:r>
      <w:r w:rsidR="00B13C9E">
        <w:rPr>
          <w:rFonts w:ascii="Times New Roman" w:eastAsia="Times New Roman" w:hAnsi="Times New Roman" w:cs="Times New Roman"/>
          <w:sz w:val="24"/>
          <w:szCs w:val="24"/>
        </w:rPr>
        <w:t>exhibited different fragment sizes, as shown</w:t>
      </w:r>
      <w:r w:rsidRPr="00EB3C9C">
        <w:rPr>
          <w:rFonts w:ascii="Times New Roman" w:eastAsia="Times New Roman" w:hAnsi="Times New Roman" w:cs="Times New Roman"/>
          <w:sz w:val="24"/>
          <w:szCs w:val="24"/>
        </w:rPr>
        <w:t xml:space="preserve"> in Figure 5.</w:t>
      </w:r>
    </w:p>
    <w:p w14:paraId="6EBF49E7" w14:textId="77777777" w:rsidR="007D2C4A" w:rsidRDefault="007D2C4A">
      <w:pPr>
        <w:spacing w:after="0" w:line="240" w:lineRule="auto"/>
        <w:ind w:left="0" w:hanging="2"/>
        <w:jc w:val="both"/>
        <w:rPr>
          <w:rFonts w:ascii="Times New Roman" w:eastAsia="Times New Roman" w:hAnsi="Times New Roman" w:cs="Times New Roman"/>
          <w:sz w:val="24"/>
          <w:szCs w:val="24"/>
        </w:rPr>
      </w:pPr>
    </w:p>
    <w:p w14:paraId="283E8268" w14:textId="041AE4D6" w:rsidR="00EB3C9C" w:rsidRPr="000E69AF" w:rsidRDefault="006C2C02" w:rsidP="000E69AF">
      <w:pPr>
        <w:pStyle w:val="Heading2"/>
      </w:pPr>
      <w:r w:rsidRPr="000E69AF">
        <w:t>Genotype-Phenotype Correlation</w:t>
      </w:r>
    </w:p>
    <w:p w14:paraId="399EDE14" w14:textId="54C76E4F" w:rsidR="002C03FC" w:rsidRDefault="006C2C02" w:rsidP="006C2C02">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Among the 49 patients </w:t>
      </w:r>
      <w:r w:rsidR="002C03FC">
        <w:rPr>
          <w:rFonts w:ascii="Times New Roman" w:eastAsia="Times New Roman" w:hAnsi="Times New Roman" w:cs="Times New Roman"/>
          <w:color w:val="000000"/>
          <w:sz w:val="24"/>
          <w:szCs w:val="24"/>
        </w:rPr>
        <w:t xml:space="preserve">analyzed in the study, the </w:t>
      </w:r>
      <w:proofErr w:type="gramStart"/>
      <w:r w:rsidR="002C03FC">
        <w:rPr>
          <w:rFonts w:ascii="Times New Roman" w:eastAsia="Times New Roman" w:hAnsi="Times New Roman" w:cs="Times New Roman"/>
          <w:color w:val="000000"/>
          <w:sz w:val="24"/>
          <w:szCs w:val="24"/>
        </w:rPr>
        <w:t>p.Gln</w:t>
      </w:r>
      <w:proofErr w:type="gramEnd"/>
      <w:r w:rsidR="002C03FC">
        <w:rPr>
          <w:rFonts w:ascii="Times New Roman" w:eastAsia="Times New Roman" w:hAnsi="Times New Roman" w:cs="Times New Roman"/>
          <w:color w:val="000000"/>
          <w:sz w:val="24"/>
          <w:szCs w:val="24"/>
        </w:rPr>
        <w:t xml:space="preserve">318Ter variant was found in 3 individuals. </w:t>
      </w:r>
      <w:r w:rsidR="005552F3">
        <w:rPr>
          <w:rFonts w:ascii="Times New Roman" w:eastAsia="Times New Roman" w:hAnsi="Times New Roman" w:cs="Times New Roman"/>
          <w:color w:val="000000"/>
          <w:sz w:val="24"/>
          <w:szCs w:val="24"/>
        </w:rPr>
        <w:t xml:space="preserve">However, the </w:t>
      </w:r>
      <w:r w:rsidR="003F4F41" w:rsidRPr="003F4F41">
        <w:rPr>
          <w:rFonts w:ascii="Times New Roman" w:eastAsia="Times New Roman" w:hAnsi="Times New Roman" w:cs="Times New Roman"/>
          <w:sz w:val="24"/>
          <w:szCs w:val="24"/>
        </w:rPr>
        <w:t xml:space="preserve">IVS2-13A/C&gt;G </w:t>
      </w:r>
      <w:r w:rsidR="005552F3">
        <w:rPr>
          <w:rFonts w:ascii="Times New Roman" w:eastAsia="Times New Roman" w:hAnsi="Times New Roman" w:cs="Times New Roman"/>
          <w:sz w:val="24"/>
          <w:szCs w:val="24"/>
        </w:rPr>
        <w:t xml:space="preserve">variant was found in 96.3% of 27 patients as displayed in Table </w:t>
      </w:r>
      <w:r w:rsidR="00A95FE0">
        <w:rPr>
          <w:rFonts w:ascii="Times New Roman" w:eastAsia="Times New Roman" w:hAnsi="Times New Roman" w:cs="Times New Roman"/>
          <w:sz w:val="24"/>
          <w:szCs w:val="24"/>
        </w:rPr>
        <w:t>2</w:t>
      </w:r>
      <w:r w:rsidR="005552F3">
        <w:rPr>
          <w:rFonts w:ascii="Times New Roman" w:eastAsia="Times New Roman" w:hAnsi="Times New Roman" w:cs="Times New Roman"/>
          <w:sz w:val="24"/>
          <w:szCs w:val="24"/>
        </w:rPr>
        <w:t>.</w:t>
      </w:r>
      <w:r w:rsidR="000773BE">
        <w:rPr>
          <w:rFonts w:ascii="Times New Roman" w:eastAsia="Times New Roman" w:hAnsi="Times New Roman" w:cs="Times New Roman"/>
          <w:sz w:val="24"/>
          <w:szCs w:val="24"/>
        </w:rPr>
        <w:t xml:space="preserve"> One patient had a heterozygous mutation of the </w:t>
      </w:r>
      <w:r w:rsidR="003F4F41" w:rsidRPr="003F4F41">
        <w:rPr>
          <w:rFonts w:ascii="Times New Roman" w:eastAsia="Times New Roman" w:hAnsi="Times New Roman" w:cs="Times New Roman"/>
          <w:sz w:val="24"/>
          <w:szCs w:val="24"/>
        </w:rPr>
        <w:t xml:space="preserve">IVS2-13A/C&gt;G </w:t>
      </w:r>
      <w:r w:rsidR="000773BE">
        <w:rPr>
          <w:rFonts w:ascii="Times New Roman" w:eastAsia="Times New Roman" w:hAnsi="Times New Roman" w:cs="Times New Roman"/>
          <w:sz w:val="24"/>
          <w:szCs w:val="24"/>
        </w:rPr>
        <w:t xml:space="preserve">and </w:t>
      </w:r>
      <w:proofErr w:type="gramStart"/>
      <w:r w:rsidR="000773BE">
        <w:rPr>
          <w:rFonts w:ascii="Times New Roman" w:eastAsia="Times New Roman" w:hAnsi="Times New Roman" w:cs="Times New Roman"/>
          <w:sz w:val="24"/>
          <w:szCs w:val="24"/>
        </w:rPr>
        <w:t>p.Gln</w:t>
      </w:r>
      <w:proofErr w:type="gramEnd"/>
      <w:r w:rsidR="000773BE">
        <w:rPr>
          <w:rFonts w:ascii="Times New Roman" w:eastAsia="Times New Roman" w:hAnsi="Times New Roman" w:cs="Times New Roman"/>
          <w:sz w:val="24"/>
          <w:szCs w:val="24"/>
        </w:rPr>
        <w:t>318Ter.</w:t>
      </w:r>
    </w:p>
    <w:p w14:paraId="2847FA58" w14:textId="77777777" w:rsidR="000773BE" w:rsidRDefault="000773BE" w:rsidP="006C2C02">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rPr>
      </w:pPr>
    </w:p>
    <w:p w14:paraId="6D494ACF" w14:textId="7332CB5C" w:rsidR="000773BE" w:rsidRDefault="00313DC7" w:rsidP="006C2C02">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sidRPr="00313DC7">
        <w:rPr>
          <w:rFonts w:ascii="Times New Roman" w:eastAsia="Times New Roman" w:hAnsi="Times New Roman" w:cs="Times New Roman"/>
          <w:color w:val="000000"/>
          <w:sz w:val="24"/>
          <w:szCs w:val="24"/>
        </w:rPr>
        <w:t xml:space="preserve">A group classification based on the prediction of 21-hydroxylase residual enzymatic </w:t>
      </w:r>
      <w:r w:rsidRPr="00313DC7">
        <w:rPr>
          <w:rFonts w:ascii="Times New Roman" w:eastAsia="Times New Roman" w:hAnsi="Times New Roman" w:cs="Times New Roman"/>
          <w:color w:val="000000"/>
          <w:sz w:val="24"/>
          <w:szCs w:val="24"/>
        </w:rPr>
        <w:lastRenderedPageBreak/>
        <w:t xml:space="preserve">activity exhibited 3 (6.1%) individuals with </w:t>
      </w:r>
      <w:proofErr w:type="gramStart"/>
      <w:r w:rsidRPr="00313DC7">
        <w:rPr>
          <w:rFonts w:ascii="Times New Roman" w:eastAsia="Times New Roman" w:hAnsi="Times New Roman" w:cs="Times New Roman"/>
          <w:color w:val="000000"/>
          <w:sz w:val="24"/>
          <w:szCs w:val="24"/>
        </w:rPr>
        <w:t>p.Gln</w:t>
      </w:r>
      <w:proofErr w:type="gramEnd"/>
      <w:r w:rsidRPr="00313DC7">
        <w:rPr>
          <w:rFonts w:ascii="Times New Roman" w:eastAsia="Times New Roman" w:hAnsi="Times New Roman" w:cs="Times New Roman"/>
          <w:color w:val="000000"/>
          <w:sz w:val="24"/>
          <w:szCs w:val="24"/>
        </w:rPr>
        <w:t xml:space="preserve">318Ter variant categorized into the Null group. This group had no remaining enzymatic activity. No patient was identified in group B and C. (See Table </w:t>
      </w:r>
      <w:r w:rsidR="00B40A1F">
        <w:rPr>
          <w:rFonts w:ascii="Times New Roman" w:eastAsia="Times New Roman" w:hAnsi="Times New Roman" w:cs="Times New Roman"/>
          <w:color w:val="000000"/>
          <w:sz w:val="24"/>
          <w:szCs w:val="24"/>
        </w:rPr>
        <w:t>4</w:t>
      </w:r>
      <w:r w:rsidRPr="00313DC7">
        <w:rPr>
          <w:rFonts w:ascii="Times New Roman" w:eastAsia="Times New Roman" w:hAnsi="Times New Roman" w:cs="Times New Roman"/>
          <w:color w:val="000000"/>
          <w:sz w:val="24"/>
          <w:szCs w:val="24"/>
        </w:rPr>
        <w:t>)</w:t>
      </w:r>
    </w:p>
    <w:p w14:paraId="5EAB25E9" w14:textId="77777777" w:rsidR="00313DC7" w:rsidRDefault="00313DC7" w:rsidP="006C2C02">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3298A8E4" w14:textId="40BA4B9E" w:rsidR="008E6C80" w:rsidRDefault="005D3AC0" w:rsidP="00CA46E3">
      <w:pPr>
        <w:pStyle w:val="Heading1"/>
      </w:pPr>
      <w:r>
        <w:t>DISCUSSION</w:t>
      </w:r>
    </w:p>
    <w:p w14:paraId="3DABF728" w14:textId="75EB59A5" w:rsidR="0058358D" w:rsidRDefault="00FD2551">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rapid </w:t>
      </w:r>
      <w:r w:rsidR="008C51B6">
        <w:rPr>
          <w:rFonts w:ascii="Times New Roman" w:eastAsia="Times New Roman" w:hAnsi="Times New Roman" w:cs="Times New Roman"/>
          <w:color w:val="000000"/>
          <w:sz w:val="24"/>
          <w:szCs w:val="24"/>
        </w:rPr>
        <w:t xml:space="preserve">molecular analysis for detecting the </w:t>
      </w:r>
      <w:r w:rsidR="0041373F">
        <w:rPr>
          <w:rFonts w:ascii="Times New Roman" w:eastAsia="Times New Roman" w:hAnsi="Times New Roman" w:cs="Times New Roman"/>
          <w:color w:val="000000"/>
          <w:sz w:val="24"/>
          <w:szCs w:val="24"/>
        </w:rPr>
        <w:t xml:space="preserve">four </w:t>
      </w:r>
      <w:r w:rsidR="008C51B6">
        <w:rPr>
          <w:rFonts w:ascii="Times New Roman" w:eastAsia="Times New Roman" w:hAnsi="Times New Roman" w:cs="Times New Roman"/>
          <w:color w:val="000000"/>
          <w:sz w:val="24"/>
          <w:szCs w:val="24"/>
        </w:rPr>
        <w:t xml:space="preserve">most common </w:t>
      </w:r>
      <w:r w:rsidR="008C51B6">
        <w:rPr>
          <w:rFonts w:ascii="Times New Roman" w:eastAsia="Times New Roman" w:hAnsi="Times New Roman" w:cs="Times New Roman"/>
          <w:i/>
          <w:iCs/>
          <w:color w:val="000000"/>
          <w:sz w:val="24"/>
          <w:szCs w:val="24"/>
        </w:rPr>
        <w:t xml:space="preserve">CYP21A2 </w:t>
      </w:r>
      <w:r w:rsidR="008C51B6">
        <w:rPr>
          <w:rFonts w:ascii="Times New Roman" w:eastAsia="Times New Roman" w:hAnsi="Times New Roman" w:cs="Times New Roman"/>
          <w:color w:val="000000"/>
          <w:sz w:val="24"/>
          <w:szCs w:val="24"/>
        </w:rPr>
        <w:t xml:space="preserve">variants causing SW CAH was </w:t>
      </w:r>
      <w:r w:rsidR="003D4130">
        <w:rPr>
          <w:rFonts w:ascii="Times New Roman" w:eastAsia="Times New Roman" w:hAnsi="Times New Roman" w:cs="Times New Roman"/>
          <w:color w:val="000000"/>
          <w:sz w:val="24"/>
          <w:szCs w:val="24"/>
        </w:rPr>
        <w:t xml:space="preserve">performed </w:t>
      </w:r>
      <w:r w:rsidR="008C51B6">
        <w:rPr>
          <w:rFonts w:ascii="Times New Roman" w:eastAsia="Times New Roman" w:hAnsi="Times New Roman" w:cs="Times New Roman"/>
          <w:color w:val="000000"/>
          <w:sz w:val="24"/>
          <w:szCs w:val="24"/>
        </w:rPr>
        <w:t xml:space="preserve">in the </w:t>
      </w:r>
      <w:r w:rsidR="003D4130">
        <w:rPr>
          <w:rFonts w:ascii="Times New Roman" w:eastAsia="Times New Roman" w:hAnsi="Times New Roman" w:cs="Times New Roman"/>
          <w:color w:val="000000"/>
          <w:sz w:val="24"/>
          <w:szCs w:val="24"/>
        </w:rPr>
        <w:t xml:space="preserve">main </w:t>
      </w:r>
      <w:r w:rsidR="008C51B6">
        <w:rPr>
          <w:rFonts w:ascii="Times New Roman" w:eastAsia="Times New Roman" w:hAnsi="Times New Roman" w:cs="Times New Roman"/>
          <w:color w:val="000000"/>
          <w:sz w:val="24"/>
          <w:szCs w:val="24"/>
        </w:rPr>
        <w:t xml:space="preserve">CAH center in Indonesia. </w:t>
      </w:r>
      <w:r w:rsidR="006F19E3">
        <w:rPr>
          <w:rFonts w:ascii="Times New Roman" w:eastAsia="Times New Roman" w:hAnsi="Times New Roman" w:cs="Times New Roman"/>
          <w:color w:val="000000"/>
          <w:sz w:val="24"/>
          <w:szCs w:val="24"/>
        </w:rPr>
        <w:t xml:space="preserve">The analysis utilized sets of primers </w:t>
      </w:r>
      <w:r w:rsidR="00057805">
        <w:rPr>
          <w:rFonts w:ascii="Times New Roman" w:eastAsia="Times New Roman" w:hAnsi="Times New Roman" w:cs="Times New Roman"/>
          <w:color w:val="000000"/>
          <w:sz w:val="24"/>
          <w:szCs w:val="24"/>
        </w:rPr>
        <w:t>designed for long-range PCR</w:t>
      </w:r>
      <w:r w:rsidR="00983AD7">
        <w:rPr>
          <w:rFonts w:ascii="Times New Roman" w:eastAsia="Times New Roman" w:hAnsi="Times New Roman" w:cs="Times New Roman"/>
          <w:color w:val="000000"/>
          <w:sz w:val="24"/>
          <w:szCs w:val="24"/>
        </w:rPr>
        <w:t>,</w:t>
      </w:r>
      <w:r w:rsidR="00057805">
        <w:rPr>
          <w:rFonts w:ascii="Times New Roman" w:eastAsia="Times New Roman" w:hAnsi="Times New Roman" w:cs="Times New Roman"/>
          <w:color w:val="000000"/>
          <w:sz w:val="24"/>
          <w:szCs w:val="24"/>
        </w:rPr>
        <w:t xml:space="preserve"> combined with the </w:t>
      </w:r>
      <w:r w:rsidR="0004412A">
        <w:rPr>
          <w:rFonts w:ascii="Times New Roman" w:eastAsia="Times New Roman" w:hAnsi="Times New Roman" w:cs="Times New Roman"/>
          <w:color w:val="000000"/>
          <w:sz w:val="24"/>
          <w:szCs w:val="24"/>
        </w:rPr>
        <w:t>specific digestion enzyme used in the RFLP. The primers</w:t>
      </w:r>
      <w:r w:rsidR="006F19E3">
        <w:rPr>
          <w:rFonts w:ascii="Times New Roman" w:eastAsia="Times New Roman" w:hAnsi="Times New Roman" w:cs="Times New Roman"/>
          <w:color w:val="000000"/>
          <w:sz w:val="24"/>
          <w:szCs w:val="24"/>
        </w:rPr>
        <w:t xml:space="preserve">, </w:t>
      </w:r>
      <w:proofErr w:type="spellStart"/>
      <w:r w:rsidR="006F19E3">
        <w:rPr>
          <w:rFonts w:ascii="Times New Roman" w:eastAsia="Times New Roman" w:hAnsi="Times New Roman" w:cs="Times New Roman"/>
          <w:color w:val="000000"/>
          <w:sz w:val="24"/>
          <w:szCs w:val="24"/>
        </w:rPr>
        <w:t>i.e</w:t>
      </w:r>
      <w:proofErr w:type="spellEnd"/>
      <w:r w:rsidR="006F19E3">
        <w:rPr>
          <w:rFonts w:ascii="Times New Roman" w:eastAsia="Times New Roman" w:hAnsi="Times New Roman" w:cs="Times New Roman"/>
          <w:color w:val="000000"/>
          <w:sz w:val="24"/>
          <w:szCs w:val="24"/>
        </w:rPr>
        <w:t xml:space="preserve">, </w:t>
      </w:r>
      <w:r w:rsidR="00015D2E">
        <w:rPr>
          <w:rFonts w:ascii="Times New Roman" w:eastAsia="Times New Roman" w:hAnsi="Times New Roman" w:cs="Times New Roman"/>
          <w:color w:val="000000"/>
          <w:sz w:val="24"/>
          <w:szCs w:val="24"/>
        </w:rPr>
        <w:t>B2</w:t>
      </w:r>
      <w:r w:rsidR="006F19E3">
        <w:rPr>
          <w:rFonts w:ascii="Times New Roman" w:eastAsia="Times New Roman" w:hAnsi="Times New Roman" w:cs="Times New Roman"/>
          <w:color w:val="000000"/>
          <w:sz w:val="24"/>
          <w:szCs w:val="24"/>
        </w:rPr>
        <w:t xml:space="preserve"> and C1, comprised the </w:t>
      </w:r>
      <w:r w:rsidR="00D61CA4">
        <w:rPr>
          <w:rFonts w:ascii="Times New Roman" w:eastAsia="Times New Roman" w:hAnsi="Times New Roman" w:cs="Times New Roman"/>
          <w:color w:val="000000"/>
          <w:sz w:val="24"/>
          <w:szCs w:val="24"/>
        </w:rPr>
        <w:t>sequence absent in the pseudogene</w:t>
      </w:r>
      <w:r w:rsidR="00D5104E">
        <w:rPr>
          <w:rFonts w:ascii="Times New Roman" w:eastAsia="Times New Roman" w:hAnsi="Times New Roman" w:cs="Times New Roman"/>
          <w:color w:val="000000"/>
          <w:sz w:val="24"/>
          <w:szCs w:val="24"/>
        </w:rPr>
        <w:t xml:space="preserve">, such as the </w:t>
      </w:r>
      <w:r w:rsidR="006F19E3">
        <w:rPr>
          <w:rFonts w:ascii="Times New Roman" w:eastAsia="Times New Roman" w:hAnsi="Times New Roman" w:cs="Times New Roman"/>
          <w:color w:val="000000"/>
          <w:sz w:val="24"/>
          <w:szCs w:val="24"/>
        </w:rPr>
        <w:t xml:space="preserve">8 bp deletion </w:t>
      </w:r>
      <w:r w:rsidR="00D5104E">
        <w:rPr>
          <w:rFonts w:ascii="Times New Roman" w:eastAsia="Times New Roman" w:hAnsi="Times New Roman" w:cs="Times New Roman"/>
          <w:color w:val="000000"/>
          <w:sz w:val="24"/>
          <w:szCs w:val="24"/>
        </w:rPr>
        <w:t>in exon 3</w:t>
      </w:r>
      <w:r w:rsidR="00F60002">
        <w:rPr>
          <w:rFonts w:ascii="Times New Roman" w:eastAsia="Times New Roman" w:hAnsi="Times New Roman" w:cs="Times New Roman"/>
          <w:color w:val="000000"/>
          <w:sz w:val="24"/>
          <w:szCs w:val="24"/>
        </w:rPr>
        <w:t xml:space="preserve"> (</w:t>
      </w:r>
      <w:r w:rsidR="00F60002" w:rsidRPr="00F60002">
        <w:rPr>
          <w:rFonts w:ascii="Times New Roman" w:eastAsia="Times New Roman" w:hAnsi="Times New Roman" w:cs="Times New Roman"/>
          <w:color w:val="000000"/>
          <w:sz w:val="24"/>
          <w:szCs w:val="24"/>
        </w:rPr>
        <w:t>E3Δ8bp</w:t>
      </w:r>
      <w:r w:rsidR="003F3F3E">
        <w:rPr>
          <w:rFonts w:ascii="Times New Roman" w:eastAsia="Times New Roman" w:hAnsi="Times New Roman" w:cs="Times New Roman"/>
          <w:color w:val="000000"/>
          <w:sz w:val="24"/>
          <w:szCs w:val="24"/>
        </w:rPr>
        <w:t xml:space="preserve">; </w:t>
      </w:r>
      <w:r w:rsidR="003F3F3E" w:rsidRPr="003F3F3E">
        <w:rPr>
          <w:rFonts w:ascii="Times New Roman" w:eastAsia="Times New Roman" w:hAnsi="Times New Roman" w:cs="Times New Roman"/>
          <w:color w:val="000000"/>
          <w:sz w:val="24"/>
          <w:szCs w:val="24"/>
        </w:rPr>
        <w:t>c.332_339del; p.Gly111fs; rs387906510</w:t>
      </w:r>
      <w:r w:rsidR="00F60002">
        <w:rPr>
          <w:rFonts w:ascii="Times New Roman" w:eastAsia="Times New Roman" w:hAnsi="Times New Roman" w:cs="Times New Roman"/>
          <w:color w:val="000000"/>
          <w:sz w:val="24"/>
          <w:szCs w:val="24"/>
        </w:rPr>
        <w:t>)</w:t>
      </w:r>
      <w:r w:rsidR="0004412A">
        <w:rPr>
          <w:rFonts w:ascii="Times New Roman" w:eastAsia="Times New Roman" w:hAnsi="Times New Roman" w:cs="Times New Roman"/>
          <w:color w:val="000000"/>
          <w:sz w:val="24"/>
          <w:szCs w:val="24"/>
        </w:rPr>
        <w:t xml:space="preserve">, ensured the amplification of the </w:t>
      </w:r>
      <w:r w:rsidR="0004412A">
        <w:rPr>
          <w:rFonts w:ascii="Times New Roman" w:eastAsia="Times New Roman" w:hAnsi="Times New Roman" w:cs="Times New Roman"/>
          <w:i/>
          <w:iCs/>
          <w:color w:val="000000"/>
          <w:sz w:val="24"/>
          <w:szCs w:val="24"/>
        </w:rPr>
        <w:t>CYP21A</w:t>
      </w:r>
      <w:r w:rsidR="00015D2E">
        <w:rPr>
          <w:rFonts w:ascii="Times New Roman" w:eastAsia="Times New Roman" w:hAnsi="Times New Roman" w:cs="Times New Roman"/>
          <w:i/>
          <w:iCs/>
          <w:color w:val="000000"/>
          <w:sz w:val="24"/>
          <w:szCs w:val="24"/>
        </w:rPr>
        <w:t>2</w:t>
      </w:r>
      <w:r w:rsidR="00E65C95">
        <w:rPr>
          <w:rFonts w:ascii="Times New Roman" w:eastAsia="Times New Roman" w:hAnsi="Times New Roman" w:cs="Times New Roman"/>
          <w:color w:val="000000"/>
          <w:sz w:val="24"/>
          <w:szCs w:val="24"/>
        </w:rPr>
        <w:t>.</w:t>
      </w:r>
      <w:r w:rsidR="00F27082">
        <w:rPr>
          <w:rFonts w:ascii="Times New Roman" w:eastAsia="Times New Roman" w:hAnsi="Times New Roman" w:cs="Times New Roman"/>
          <w:color w:val="000000"/>
          <w:sz w:val="24"/>
          <w:szCs w:val="24"/>
        </w:rPr>
        <w:fldChar w:fldCharType="begin"/>
      </w:r>
      <w:r w:rsidR="00FD080B">
        <w:rPr>
          <w:rFonts w:ascii="Times New Roman" w:eastAsia="Times New Roman" w:hAnsi="Times New Roman" w:cs="Times New Roman"/>
          <w:color w:val="000000"/>
          <w:sz w:val="24"/>
          <w:szCs w:val="24"/>
        </w:rPr>
        <w:instrText xml:space="preserve"> ADDIN ZOTERO_ITEM CSL_CITATION {"citationID":"C1pNZevh","properties":{"formattedCitation":"\\super 9\\nosupersub{}","plainCitation":"9","noteIndex":0},"citationItems":[{"id":892,"uris":["http://zotero.org/users/local/j4kVnGn0/items/939C6DGM"],"itemData":{"id":892,"type":"article-journal","abstract":"Abstract To facilitate a rapid and practical molecular diagnosis of 21-hydroxylase deficiency (21-OHD), we developed a polymerase chain reaction (PCR) test in which only the 21-OH gene (CYP21) is amplified. We applied the test to diagnose 23 patients with salt-wasting type of 21-OHD. The upstream and downstream sequences of CYP21 have been specifically amplified by using a primer set containing the 8-bp deletion sequence of exon 3, which is distinct from its pseudogene CYP21P. The amplified PCR products were further subjected to mutation detection by restriction analysis: E1PL by AciI, I2g by PstI, E63a by DraIII, E7VL by ApaLI, E8non by PstI, and E8RW by AciI. To detect delections and/or gene conversions occurring on exon 3, we used the method described by Rumsby and Honour [1990: J Med Genet 27:676?678]. Our method is able to elucidate 8 common CYP21 mutations by using only 3 primer pairs and 4 restriction enzymes. The overall detection ratio of abnormal haplotypes by this method was over 95%, indicating that our method is practical and useful, particularly for carrier detection. Am. J. Med. Genet. 94:28?31, 2000. ? 2000 Wiley-Liss, Inc.","container-title":"American Journal of Medical Genetics","DOI":"https://doi.org/10.1002/1096-8628(20000904)94:1&lt;28::AID-AJMG6&gt;3.0.CO;2-F","ISSN":"0148-7299","issue":"1","note":"publisher: John Wiley &amp; Sons, Ltd","page":"28-31","title":"Rapid screening method to detect mutations in CYP21, the gene for 21-hydroxylase","volume":"94","author":[{"family":"Yokoyama","given":"Yuji"},{"family":"Teraoka","given":"Michio"},{"family":"Tsuji","given":"Kazushiro"},{"family":"Ninomiya","given":"Shinsuke"},{"family":"Inoue","given":"Chiyo"},{"family":"Yamashita","given":"Sumie"},{"family":"Narahara","given":"Koji"},{"family":"Seino","given":"Yoshiki"}],"issued":{"date-parts":[["2000",9,4]]}}}],"schema":"https://github.com/citation-style-language/schema/raw/master/csl-citation.json"} </w:instrText>
      </w:r>
      <w:r w:rsidR="00F27082">
        <w:rPr>
          <w:rFonts w:ascii="Times New Roman" w:eastAsia="Times New Roman" w:hAnsi="Times New Roman" w:cs="Times New Roman"/>
          <w:color w:val="000000"/>
          <w:sz w:val="24"/>
          <w:szCs w:val="24"/>
        </w:rPr>
        <w:fldChar w:fldCharType="separate"/>
      </w:r>
      <w:r w:rsidR="0071648C" w:rsidRPr="0071648C">
        <w:rPr>
          <w:rFonts w:ascii="Times New Roman" w:hAnsi="Times New Roman" w:cs="Times New Roman"/>
          <w:sz w:val="24"/>
          <w:vertAlign w:val="superscript"/>
        </w:rPr>
        <w:t>9</w:t>
      </w:r>
      <w:r w:rsidR="00F27082">
        <w:rPr>
          <w:rFonts w:ascii="Times New Roman" w:eastAsia="Times New Roman" w:hAnsi="Times New Roman" w:cs="Times New Roman"/>
          <w:color w:val="000000"/>
          <w:sz w:val="24"/>
          <w:szCs w:val="24"/>
        </w:rPr>
        <w:fldChar w:fldCharType="end"/>
      </w:r>
      <w:r w:rsidR="00E55419">
        <w:rPr>
          <w:rFonts w:ascii="Times New Roman" w:eastAsia="Times New Roman" w:hAnsi="Times New Roman" w:cs="Times New Roman"/>
          <w:i/>
          <w:iCs/>
          <w:color w:val="000000"/>
          <w:sz w:val="24"/>
          <w:szCs w:val="24"/>
        </w:rPr>
        <w:t xml:space="preserve"> </w:t>
      </w:r>
      <w:r w:rsidR="00291466">
        <w:rPr>
          <w:rFonts w:ascii="Times New Roman" w:eastAsia="Times New Roman" w:hAnsi="Times New Roman" w:cs="Times New Roman"/>
          <w:color w:val="000000"/>
          <w:sz w:val="24"/>
          <w:szCs w:val="24"/>
        </w:rPr>
        <w:t>Nevertheless,</w:t>
      </w:r>
      <w:r w:rsidR="00B04B57">
        <w:rPr>
          <w:rFonts w:ascii="Times New Roman" w:eastAsia="Times New Roman" w:hAnsi="Times New Roman" w:cs="Times New Roman"/>
          <w:color w:val="000000"/>
          <w:sz w:val="24"/>
          <w:szCs w:val="24"/>
        </w:rPr>
        <w:t xml:space="preserve"> the Del and </w:t>
      </w:r>
      <w:r w:rsidR="00F60002" w:rsidRPr="00F60002">
        <w:rPr>
          <w:rFonts w:ascii="Times New Roman" w:eastAsia="Times New Roman" w:hAnsi="Times New Roman" w:cs="Times New Roman"/>
          <w:color w:val="000000"/>
          <w:sz w:val="24"/>
          <w:szCs w:val="24"/>
        </w:rPr>
        <w:t>E3Δ8bp</w:t>
      </w:r>
      <w:r w:rsidR="00F60002">
        <w:rPr>
          <w:rFonts w:ascii="Times New Roman" w:eastAsia="Times New Roman" w:hAnsi="Times New Roman" w:cs="Times New Roman"/>
          <w:color w:val="000000"/>
          <w:sz w:val="24"/>
          <w:szCs w:val="24"/>
        </w:rPr>
        <w:t xml:space="preserve"> could not be distinguished due to the </w:t>
      </w:r>
      <w:r w:rsidR="00813E58">
        <w:rPr>
          <w:rFonts w:ascii="Times New Roman" w:eastAsia="Times New Roman" w:hAnsi="Times New Roman" w:cs="Times New Roman"/>
          <w:color w:val="000000"/>
          <w:sz w:val="24"/>
          <w:szCs w:val="24"/>
        </w:rPr>
        <w:t xml:space="preserve">location of both PCR primers in exon 3. </w:t>
      </w:r>
      <w:r w:rsidR="00983AD7">
        <w:rPr>
          <w:rFonts w:ascii="Times New Roman" w:eastAsia="Times New Roman" w:hAnsi="Times New Roman" w:cs="Times New Roman"/>
          <w:color w:val="000000"/>
          <w:sz w:val="24"/>
          <w:szCs w:val="24"/>
        </w:rPr>
        <w:t>A previous</w:t>
      </w:r>
      <w:r w:rsidR="007964C1">
        <w:rPr>
          <w:rFonts w:ascii="Times New Roman" w:eastAsia="Times New Roman" w:hAnsi="Times New Roman" w:cs="Times New Roman"/>
          <w:color w:val="000000"/>
          <w:sz w:val="24"/>
          <w:szCs w:val="24"/>
        </w:rPr>
        <w:t xml:space="preserve"> study </w:t>
      </w:r>
      <w:r w:rsidR="0082050F">
        <w:rPr>
          <w:rFonts w:ascii="Times New Roman" w:eastAsia="Times New Roman" w:hAnsi="Times New Roman" w:cs="Times New Roman"/>
          <w:color w:val="000000"/>
          <w:sz w:val="24"/>
          <w:szCs w:val="24"/>
        </w:rPr>
        <w:t xml:space="preserve">conducted in </w:t>
      </w:r>
      <w:r w:rsidR="00983AD7">
        <w:rPr>
          <w:rFonts w:ascii="Times New Roman" w:eastAsia="Times New Roman" w:hAnsi="Times New Roman" w:cs="Times New Roman"/>
          <w:color w:val="000000"/>
          <w:sz w:val="24"/>
          <w:szCs w:val="24"/>
        </w:rPr>
        <w:t>62 other</w:t>
      </w:r>
      <w:r w:rsidR="0082050F">
        <w:rPr>
          <w:rFonts w:ascii="Times New Roman" w:eastAsia="Times New Roman" w:hAnsi="Times New Roman" w:cs="Times New Roman"/>
          <w:color w:val="000000"/>
          <w:sz w:val="24"/>
          <w:szCs w:val="24"/>
        </w:rPr>
        <w:t xml:space="preserve"> Indonesian CAH patients displayed that</w:t>
      </w:r>
      <w:r w:rsidR="0058358D">
        <w:rPr>
          <w:rFonts w:ascii="Times New Roman" w:eastAsia="Times New Roman" w:hAnsi="Times New Roman" w:cs="Times New Roman"/>
          <w:color w:val="000000"/>
          <w:sz w:val="24"/>
          <w:szCs w:val="24"/>
        </w:rPr>
        <w:t xml:space="preserve"> the</w:t>
      </w:r>
      <w:r w:rsidR="0082050F">
        <w:rPr>
          <w:rFonts w:ascii="Times New Roman" w:eastAsia="Times New Roman" w:hAnsi="Times New Roman" w:cs="Times New Roman"/>
          <w:color w:val="000000"/>
          <w:sz w:val="24"/>
          <w:szCs w:val="24"/>
        </w:rPr>
        <w:t xml:space="preserve"> </w:t>
      </w:r>
      <w:r w:rsidR="003C3555" w:rsidRPr="00F60002">
        <w:rPr>
          <w:rFonts w:ascii="Times New Roman" w:eastAsia="Times New Roman" w:hAnsi="Times New Roman" w:cs="Times New Roman"/>
          <w:color w:val="000000"/>
          <w:sz w:val="24"/>
          <w:szCs w:val="24"/>
        </w:rPr>
        <w:t>E3Δ8bp</w:t>
      </w:r>
      <w:r w:rsidR="003C3555">
        <w:rPr>
          <w:rFonts w:ascii="Times New Roman" w:eastAsia="Times New Roman" w:hAnsi="Times New Roman" w:cs="Times New Roman"/>
          <w:color w:val="000000"/>
          <w:sz w:val="24"/>
          <w:szCs w:val="24"/>
        </w:rPr>
        <w:t xml:space="preserve"> variant was found only in </w:t>
      </w:r>
      <w:r w:rsidR="0082050F">
        <w:rPr>
          <w:rFonts w:ascii="Times New Roman" w:eastAsia="Times New Roman" w:hAnsi="Times New Roman" w:cs="Times New Roman"/>
          <w:color w:val="000000"/>
          <w:sz w:val="24"/>
          <w:szCs w:val="24"/>
        </w:rPr>
        <w:t xml:space="preserve">1 </w:t>
      </w:r>
      <w:r w:rsidR="0058358D">
        <w:rPr>
          <w:rFonts w:ascii="Times New Roman" w:eastAsia="Times New Roman" w:hAnsi="Times New Roman" w:cs="Times New Roman"/>
          <w:color w:val="000000"/>
          <w:sz w:val="24"/>
          <w:szCs w:val="24"/>
        </w:rPr>
        <w:t>allele</w:t>
      </w:r>
      <w:r w:rsidR="00983AD7">
        <w:rPr>
          <w:rFonts w:ascii="Times New Roman" w:eastAsia="Times New Roman" w:hAnsi="Times New Roman" w:cs="Times New Roman"/>
          <w:color w:val="000000"/>
          <w:sz w:val="24"/>
          <w:szCs w:val="24"/>
        </w:rPr>
        <w:t>,</w:t>
      </w:r>
      <w:r w:rsidR="0058358D">
        <w:rPr>
          <w:rFonts w:ascii="Times New Roman" w:eastAsia="Times New Roman" w:hAnsi="Times New Roman" w:cs="Times New Roman"/>
          <w:color w:val="000000"/>
          <w:sz w:val="24"/>
          <w:szCs w:val="24"/>
        </w:rPr>
        <w:t xml:space="preserve"> and the Del variant was found in none among 124 alleles analyzed</w:t>
      </w:r>
      <w:r w:rsidR="00F27082">
        <w:rPr>
          <w:rFonts w:ascii="Times New Roman" w:eastAsia="Times New Roman" w:hAnsi="Times New Roman" w:cs="Times New Roman"/>
          <w:color w:val="000000"/>
          <w:sz w:val="24"/>
          <w:szCs w:val="24"/>
        </w:rPr>
        <w:t>.</w:t>
      </w:r>
      <w:r w:rsidR="00D2346E">
        <w:rPr>
          <w:rFonts w:ascii="Times New Roman" w:eastAsia="Times New Roman" w:hAnsi="Times New Roman" w:cs="Times New Roman"/>
          <w:color w:val="000000"/>
          <w:sz w:val="24"/>
          <w:szCs w:val="24"/>
        </w:rPr>
        <w:fldChar w:fldCharType="begin"/>
      </w:r>
      <w:r w:rsidR="00FD080B">
        <w:rPr>
          <w:rFonts w:ascii="Times New Roman" w:eastAsia="Times New Roman" w:hAnsi="Times New Roman" w:cs="Times New Roman"/>
          <w:color w:val="000000"/>
          <w:sz w:val="24"/>
          <w:szCs w:val="24"/>
        </w:rPr>
        <w:instrText xml:space="preserve"> ADDIN ZOTERO_ITEM CSL_CITATION {"citationID":"1AxE5IIg","properties":{"formattedCitation":"\\super 10\\nosupersub{}","plainCitation":"10","noteIndex":0},"citationItems":[{"id":1310,"uris":["http://zotero.org/users/local/j4kVnGn0/items/L3IFJSST"],"itemData":{"id":1310,"type":"article-journal","abstract":"Background: Our multidisciplinary team (MDT) is a large specialized team based in Semarang, Indonesia, that cares for a wide variety of pediatric and adult individuals with differences of sex development (DSD) from across Indonesia. Here, we describe our work over the last 17 years. Methods: We analyzed phenotypic, hormonal, and genetic findings from clinical records for all patients referred to our MDT during the period 2004–2020. Results: Among 1,184 DSD patients, 10% had sex chromosome DSD, 67% had 46,XY DSD, and 23% had 46,XX DSD. The most common sex chromosome anomaly was Turner syndrome (45,X) (55 cases). For patients with 46,XY DSD under-masculinization was the most common diagnosis (311 cases), and for 46,XX DSD, a defect of Müllerian development was most common (131 cases) followed by congenital adrenal hyperplasia (CAH) (116 cases). Sanger sequencing, MLPA, and targeted gene sequencing of 257 patients with 46,XY DSD found likely causative variants in 21% (55 cases), with 13 diagnostic genes implicated. The most affected gene codes for the androgen receptor. Molecular analysis identified a diagnosis for 69 of 116 patients with CAH, with 62 carrying variants in CYP21A2 including four novel variants, and 7 patients carrying variants in CYP11B1. In many cases, these genetic diagnoses influenced the clinical management of patients and their families. Conclusions: Our work has highlighted the occurrence of different DSDs in Indonesia. By applying sequencing technologies as part of our clinical care, we have delivered a number of genetic diagnoses and identified novel pathogenic variants in some genes, which may be clinically specific to Indonesia. Genetics can inform many aspects of DSD clinical management, and while many of our patients remain undiagnosed, we hope that future testing may provide answers for even more.","container-title":"Sexual Development","DOI":"10.1159/000534085","ISSN":"1661-5425","journalAbbreviation":"Sexual Development","page":"1-11","title":"Lessons Learned from 17 Years of Multidisciplinary Care for Differences of Sex Development Patients at a Single Indonesian Center","author":[{"family":"Faradz","given":"Sultana M.H."},{"family":"Listyasari","given":"Nurin"},{"family":"Utari","given":"Agustini"},{"family":"Ariani","given":"Mahayu Dewi"},{"family":"Juniarto","given":"Achmad Zulfa"},{"family":"Santosa","given":"Ardy"},{"family":"Ediati","given":"Annastasia"},{"family":"Rinne","given":"Tuula K"},{"family":"Westra","given":"Dineke"},{"family":"Claahsen-van der Grinten","given":"Hedi"},{"family":"Jong","given":"Frank H","non-dropping-particle":"de"},{"family":"Drop","given":"Stenvert L.S."},{"family":"Ayers","given":"Katie"},{"family":"Sinclair","given":"Andrew"}],"issued":{"date-parts":[["2023",9,12]]}}}],"schema":"https://github.com/citation-style-language/schema/raw/master/csl-citation.json"} </w:instrText>
      </w:r>
      <w:r w:rsidR="00D2346E">
        <w:rPr>
          <w:rFonts w:ascii="Times New Roman" w:eastAsia="Times New Roman" w:hAnsi="Times New Roman" w:cs="Times New Roman"/>
          <w:color w:val="000000"/>
          <w:sz w:val="24"/>
          <w:szCs w:val="24"/>
        </w:rPr>
        <w:fldChar w:fldCharType="separate"/>
      </w:r>
      <w:r w:rsidR="00525D43" w:rsidRPr="00525D43">
        <w:rPr>
          <w:rFonts w:ascii="Times New Roman" w:hAnsi="Times New Roman" w:cs="Times New Roman"/>
          <w:sz w:val="24"/>
          <w:vertAlign w:val="superscript"/>
        </w:rPr>
        <w:t>10</w:t>
      </w:r>
      <w:r w:rsidR="00D2346E">
        <w:rPr>
          <w:rFonts w:ascii="Times New Roman" w:eastAsia="Times New Roman" w:hAnsi="Times New Roman" w:cs="Times New Roman"/>
          <w:color w:val="000000"/>
          <w:sz w:val="24"/>
          <w:szCs w:val="24"/>
        </w:rPr>
        <w:fldChar w:fldCharType="end"/>
      </w:r>
    </w:p>
    <w:p w14:paraId="65300E88" w14:textId="77777777" w:rsidR="0058358D" w:rsidRDefault="0058358D">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38BDABFA" w14:textId="60DB082C" w:rsidR="009874E3" w:rsidRDefault="002B5461">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Among the four-point pathogenic variants with clinical manifestation of SW CAH detected using the PCR-RFLP method, which were </w:t>
      </w:r>
      <w:r w:rsidR="00A6384E" w:rsidRPr="00A6384E">
        <w:rPr>
          <w:rFonts w:ascii="Times New Roman" w:eastAsia="Times New Roman" w:hAnsi="Times New Roman" w:cs="Times New Roman"/>
          <w:color w:val="000000"/>
          <w:sz w:val="24"/>
          <w:szCs w:val="24"/>
        </w:rPr>
        <w:t xml:space="preserve">IVS2-13A/C&gt;G, </w:t>
      </w:r>
      <w:proofErr w:type="gramStart"/>
      <w:r w:rsidR="00A6384E" w:rsidRPr="00A6384E">
        <w:rPr>
          <w:rFonts w:ascii="Times New Roman" w:eastAsia="Times New Roman" w:hAnsi="Times New Roman" w:cs="Times New Roman"/>
          <w:color w:val="000000"/>
          <w:sz w:val="24"/>
          <w:szCs w:val="24"/>
        </w:rPr>
        <w:t>p.Gln</w:t>
      </w:r>
      <w:proofErr w:type="gramEnd"/>
      <w:r w:rsidR="00A6384E" w:rsidRPr="00A6384E">
        <w:rPr>
          <w:rFonts w:ascii="Times New Roman" w:eastAsia="Times New Roman" w:hAnsi="Times New Roman" w:cs="Times New Roman"/>
          <w:color w:val="000000"/>
          <w:sz w:val="24"/>
          <w:szCs w:val="24"/>
        </w:rPr>
        <w:t xml:space="preserve">318Ter, p.Arg357Trp, and </w:t>
      </w:r>
      <w:r w:rsidR="00983AD7">
        <w:rPr>
          <w:rFonts w:ascii="Times New Roman" w:eastAsia="Times New Roman" w:hAnsi="Times New Roman" w:cs="Times New Roman"/>
          <w:color w:val="000000"/>
          <w:sz w:val="24"/>
          <w:szCs w:val="24"/>
        </w:rPr>
        <w:t xml:space="preserve">the </w:t>
      </w:r>
      <w:r w:rsidR="00A6384E" w:rsidRPr="00A6384E">
        <w:rPr>
          <w:rFonts w:ascii="Times New Roman" w:eastAsia="Times New Roman" w:hAnsi="Times New Roman" w:cs="Times New Roman"/>
          <w:color w:val="000000"/>
          <w:sz w:val="24"/>
          <w:szCs w:val="24"/>
        </w:rPr>
        <w:t>exon 6 cluster</w:t>
      </w:r>
      <w:r w:rsidR="00A6384E">
        <w:rPr>
          <w:rFonts w:ascii="Times New Roman" w:eastAsia="Times New Roman" w:hAnsi="Times New Roman" w:cs="Times New Roman"/>
          <w:color w:val="000000"/>
          <w:sz w:val="24"/>
          <w:szCs w:val="24"/>
        </w:rPr>
        <w:t xml:space="preserve">. </w:t>
      </w:r>
      <w:r w:rsidR="005C5D4B">
        <w:rPr>
          <w:rFonts w:ascii="Times New Roman" w:eastAsia="Times New Roman" w:hAnsi="Times New Roman" w:cs="Times New Roman"/>
          <w:color w:val="000000"/>
          <w:sz w:val="24"/>
          <w:szCs w:val="24"/>
        </w:rPr>
        <w:t xml:space="preserve">The intron 2 splice and </w:t>
      </w:r>
      <w:proofErr w:type="gramStart"/>
      <w:r w:rsidR="00760CCA">
        <w:rPr>
          <w:rFonts w:ascii="Times New Roman" w:eastAsia="Times New Roman" w:hAnsi="Times New Roman" w:cs="Times New Roman"/>
          <w:color w:val="000000"/>
          <w:sz w:val="24"/>
          <w:szCs w:val="24"/>
        </w:rPr>
        <w:t>p.Gln</w:t>
      </w:r>
      <w:proofErr w:type="gramEnd"/>
      <w:r w:rsidR="00760CCA">
        <w:rPr>
          <w:rFonts w:ascii="Times New Roman" w:eastAsia="Times New Roman" w:hAnsi="Times New Roman" w:cs="Times New Roman"/>
          <w:color w:val="000000"/>
          <w:sz w:val="24"/>
          <w:szCs w:val="24"/>
        </w:rPr>
        <w:t xml:space="preserve">318Ter variants were successfully identified because of </w:t>
      </w:r>
      <w:r w:rsidR="00983AD7">
        <w:rPr>
          <w:rFonts w:ascii="Times New Roman" w:eastAsia="Times New Roman" w:hAnsi="Times New Roman" w:cs="Times New Roman"/>
          <w:color w:val="000000"/>
          <w:sz w:val="24"/>
          <w:szCs w:val="24"/>
        </w:rPr>
        <w:t>larger-sized</w:t>
      </w:r>
      <w:r w:rsidR="00760CCA">
        <w:rPr>
          <w:rFonts w:ascii="Times New Roman" w:eastAsia="Times New Roman" w:hAnsi="Times New Roman" w:cs="Times New Roman"/>
          <w:color w:val="000000"/>
          <w:sz w:val="24"/>
          <w:szCs w:val="24"/>
        </w:rPr>
        <w:t xml:space="preserve"> fragments visualized on the UV-illuminator. However, </w:t>
      </w:r>
      <w:r w:rsidR="008A5BEA">
        <w:rPr>
          <w:rFonts w:ascii="Times New Roman" w:eastAsia="Times New Roman" w:hAnsi="Times New Roman" w:cs="Times New Roman"/>
          <w:color w:val="000000"/>
          <w:sz w:val="24"/>
          <w:szCs w:val="24"/>
        </w:rPr>
        <w:t xml:space="preserve">the </w:t>
      </w:r>
      <w:proofErr w:type="gramStart"/>
      <w:r w:rsidR="008A5BEA">
        <w:rPr>
          <w:rFonts w:ascii="Times New Roman" w:eastAsia="Times New Roman" w:hAnsi="Times New Roman" w:cs="Times New Roman"/>
          <w:color w:val="000000"/>
          <w:sz w:val="24"/>
          <w:szCs w:val="24"/>
        </w:rPr>
        <w:t>p.Arg</w:t>
      </w:r>
      <w:proofErr w:type="gramEnd"/>
      <w:r w:rsidR="008A5BEA">
        <w:rPr>
          <w:rFonts w:ascii="Times New Roman" w:eastAsia="Times New Roman" w:hAnsi="Times New Roman" w:cs="Times New Roman"/>
          <w:color w:val="000000"/>
          <w:sz w:val="24"/>
          <w:szCs w:val="24"/>
        </w:rPr>
        <w:t>357Trp</w:t>
      </w:r>
      <w:r w:rsidR="00920FA6">
        <w:rPr>
          <w:rFonts w:ascii="Times New Roman" w:eastAsia="Times New Roman" w:hAnsi="Times New Roman" w:cs="Times New Roman"/>
          <w:color w:val="000000"/>
          <w:sz w:val="24"/>
          <w:szCs w:val="24"/>
        </w:rPr>
        <w:t xml:space="preserve"> could hardly be identified due to the insignificant fragment size differences between the </w:t>
      </w:r>
      <w:r w:rsidR="00B04C32">
        <w:rPr>
          <w:rFonts w:ascii="Times New Roman" w:eastAsia="Times New Roman" w:hAnsi="Times New Roman" w:cs="Times New Roman"/>
          <w:color w:val="000000"/>
          <w:sz w:val="24"/>
          <w:szCs w:val="24"/>
        </w:rPr>
        <w:t>wild and mutant types</w:t>
      </w:r>
      <w:r w:rsidR="00FA37E4">
        <w:rPr>
          <w:rFonts w:ascii="Times New Roman" w:eastAsia="Times New Roman" w:hAnsi="Times New Roman" w:cs="Times New Roman"/>
          <w:color w:val="000000"/>
          <w:sz w:val="24"/>
          <w:szCs w:val="24"/>
        </w:rPr>
        <w:t xml:space="preserve">, </w:t>
      </w:r>
      <w:r w:rsidR="002105E8">
        <w:rPr>
          <w:rFonts w:ascii="Times New Roman" w:eastAsia="Times New Roman" w:hAnsi="Times New Roman" w:cs="Times New Roman"/>
          <w:color w:val="000000"/>
          <w:sz w:val="24"/>
          <w:szCs w:val="24"/>
        </w:rPr>
        <w:t xml:space="preserve">i.e., 189 </w:t>
      </w:r>
      <w:r w:rsidR="0052089A">
        <w:rPr>
          <w:rFonts w:ascii="Times New Roman" w:eastAsia="Times New Roman" w:hAnsi="Times New Roman" w:cs="Times New Roman"/>
          <w:color w:val="000000"/>
          <w:sz w:val="24"/>
          <w:szCs w:val="24"/>
        </w:rPr>
        <w:t>and 30 bp in the wild type and 219 bp in the mutant type</w:t>
      </w:r>
      <w:r w:rsidR="005C4CBF">
        <w:rPr>
          <w:rFonts w:ascii="Times New Roman" w:eastAsia="Times New Roman" w:hAnsi="Times New Roman" w:cs="Times New Roman"/>
          <w:color w:val="000000"/>
          <w:sz w:val="24"/>
          <w:szCs w:val="24"/>
        </w:rPr>
        <w:t xml:space="preserve">, despite </w:t>
      </w:r>
      <w:r w:rsidR="00771883">
        <w:rPr>
          <w:rFonts w:ascii="Times New Roman" w:eastAsia="Times New Roman" w:hAnsi="Times New Roman" w:cs="Times New Roman"/>
          <w:color w:val="000000"/>
          <w:sz w:val="24"/>
          <w:szCs w:val="24"/>
        </w:rPr>
        <w:t xml:space="preserve">a </w:t>
      </w:r>
      <w:r w:rsidR="005C4CBF">
        <w:rPr>
          <w:rFonts w:ascii="Times New Roman" w:eastAsia="Times New Roman" w:hAnsi="Times New Roman" w:cs="Times New Roman"/>
          <w:color w:val="000000"/>
          <w:sz w:val="24"/>
          <w:szCs w:val="24"/>
        </w:rPr>
        <w:t>higher agarose gel concentration at 2.5% and lower Voltage and shorter duration had been implemented</w:t>
      </w:r>
      <w:r w:rsidR="0052089A">
        <w:rPr>
          <w:rFonts w:ascii="Times New Roman" w:eastAsia="Times New Roman" w:hAnsi="Times New Roman" w:cs="Times New Roman"/>
          <w:color w:val="000000"/>
          <w:sz w:val="24"/>
          <w:szCs w:val="24"/>
        </w:rPr>
        <w:t>.</w:t>
      </w:r>
      <w:r w:rsidR="007413EF">
        <w:rPr>
          <w:rFonts w:ascii="Times New Roman" w:eastAsia="Times New Roman" w:hAnsi="Times New Roman" w:cs="Times New Roman"/>
          <w:color w:val="000000"/>
          <w:sz w:val="24"/>
          <w:szCs w:val="24"/>
        </w:rPr>
        <w:t xml:space="preserve"> The application of the 100 bp + 3k marker in the study made the interpretation of DNA fragments smaller than 200 bp difficult. </w:t>
      </w:r>
      <w:r w:rsidR="00A1097A">
        <w:rPr>
          <w:rFonts w:ascii="Times New Roman" w:eastAsia="Times New Roman" w:hAnsi="Times New Roman" w:cs="Times New Roman"/>
          <w:color w:val="000000"/>
          <w:sz w:val="24"/>
          <w:szCs w:val="24"/>
        </w:rPr>
        <w:t xml:space="preserve">The approach applied relied solely on the </w:t>
      </w:r>
      <w:r w:rsidR="005F4323">
        <w:rPr>
          <w:rFonts w:ascii="Times New Roman" w:eastAsia="Times New Roman" w:hAnsi="Times New Roman" w:cs="Times New Roman"/>
          <w:color w:val="000000"/>
          <w:sz w:val="24"/>
          <w:szCs w:val="24"/>
        </w:rPr>
        <w:t xml:space="preserve">visualization of DNA bands using a UV-illuminator. Conversely, previous studies </w:t>
      </w:r>
      <w:r w:rsidR="00BF57A8">
        <w:rPr>
          <w:rFonts w:ascii="Times New Roman" w:eastAsia="Times New Roman" w:hAnsi="Times New Roman" w:cs="Times New Roman"/>
          <w:color w:val="000000"/>
          <w:sz w:val="24"/>
          <w:szCs w:val="24"/>
        </w:rPr>
        <w:t xml:space="preserve">utilizing a similar method successfully recognized the variant because of the use of </w:t>
      </w:r>
      <w:r w:rsidR="0058104D">
        <w:rPr>
          <w:rFonts w:ascii="Times New Roman" w:eastAsia="Times New Roman" w:hAnsi="Times New Roman" w:cs="Times New Roman"/>
          <w:color w:val="000000"/>
          <w:sz w:val="24"/>
          <w:szCs w:val="24"/>
        </w:rPr>
        <w:t>Southern Blot and direct sequencing to confirm the deletions or gene conversion and base substitution, respectively</w:t>
      </w:r>
      <w:r w:rsidR="00D2346E">
        <w:rPr>
          <w:rFonts w:ascii="Times New Roman" w:eastAsia="Times New Roman" w:hAnsi="Times New Roman" w:cs="Times New Roman"/>
          <w:color w:val="000000"/>
          <w:sz w:val="24"/>
          <w:szCs w:val="24"/>
        </w:rPr>
        <w:t>.</w:t>
      </w:r>
      <w:r w:rsidR="00D2346E">
        <w:rPr>
          <w:rFonts w:ascii="Times New Roman" w:eastAsia="Times New Roman" w:hAnsi="Times New Roman" w:cs="Times New Roman"/>
          <w:color w:val="000000"/>
          <w:sz w:val="24"/>
          <w:szCs w:val="24"/>
        </w:rPr>
        <w:fldChar w:fldCharType="begin"/>
      </w:r>
      <w:r w:rsidR="00FD080B">
        <w:rPr>
          <w:rFonts w:ascii="Times New Roman" w:eastAsia="Times New Roman" w:hAnsi="Times New Roman" w:cs="Times New Roman"/>
          <w:color w:val="000000"/>
          <w:sz w:val="24"/>
          <w:szCs w:val="24"/>
        </w:rPr>
        <w:instrText xml:space="preserve"> ADDIN ZOTERO_ITEM CSL_CITATION {"citationID":"vFBjIn8v","properties":{"formattedCitation":"\\super 8,9,11\\nosupersub{}","plainCitation":"8,9,11","noteIndex":0},"citationItems":[{"id":881,"uris":["http://www.mendeley.com/documents/?uuid=569521f1-89dd-4575-a4d1-79f7bdcb5aeb","http://zotero.org/users/local/j4kVnGn0/items/CYKUDCUF"],"itemData":{"id":881,"type":"article-journal","abstract":"ObjectiveThe spectrum of molecular defects in Chinese patients with 21-hydroxylase deficiency (21-OHD), and genotype?phenotype relationships are unknown.MethodsWe screened eight patients with non-classical (NC) 21-OHD and 35 with classical 21-OHD, and detected nine known mutations.ResultsThe most frequent mutation among the 43 21-OHD cases was p.Ile172Asn (allele frequency, 36.0%), followed by c.290-13A/C?&gt;?G (20.9%), Del (8.6%), p.Pro30Leu (7.0%), p.Gln318Ter (7.0%), p.Val281Leu (4.7%), p.Arg356Trp (2.3%), p.[Ile236Asn; Val237Glu; Met239Lys] (2.3%), and E3?8?bp (1.2%). The frequency spectrum of CYP21A2 mutations in the Chinese population was similar to that in the Japanese population, except that p.Val281Leu was identified in Chinese NC21-OHD patients at a frequency of 25.0%, whereas it was absent in Japanese patients. We found that genotype could predict phenotype in 88.3% of patients.ConclusionSome characteristics appear to be unique to the Chinese population, but genotype was strongly predictive of phenotype.","container-title":"Journal of International Medical Research","DOI":"10.1177/0300060516685204","ISSN":"0300-0605","issue":"2","note":"publisher: SAGE Publications Ltd","page":"481-492","title":"Molecular diagnosis of Chinese patients with 21-hydroxylase deficiency and analysis of genotype–phenotype correlations","volume":"45","author":[{"family":"Zhang","given":"Bo"},{"family":"Lu","given":"Lin"},{"family":"Lu","given":"Zhaolin"}],"issued":{"date-parts":[["2017",2,2]]}}},{"id":892,"uris":["http://zotero.org/users/local/j4kVnGn0/items/939C6DGM"],"itemData":{"id":892,"type":"article-journal","abstract":"Abstract To facilitate a rapid and practical molecular diagnosis of 21-hydroxylase deficiency (21-OHD), we developed a polymerase chain reaction (PCR) test in which only the 21-OH gene (CYP21) is amplified. We applied the test to diagnose 23 patients with salt-wasting type of 21-OHD. The upstream and downstream sequences of CYP21 have been specifically amplified by using a primer set containing the 8-bp deletion sequence of exon 3, which is distinct from its pseudogene CYP21P. The amplified PCR products were further subjected to mutation detection by restriction analysis: E1PL by AciI, I2g by PstI, E63a by DraIII, E7VL by ApaLI, E8non by PstI, and E8RW by AciI. To detect delections and/or gene conversions occurring on exon 3, we used the method described by Rumsby and Honour [1990: J Med Genet 27:676?678]. Our method is able to elucidate 8 common CYP21 mutations by using only 3 primer pairs and 4 restriction enzymes. The overall detection ratio of abnormal haplotypes by this method was over 95%, indicating that our method is practical and useful, particularly for carrier detection. Am. J. Med. Genet. 94:28?31, 2000. ? 2000 Wiley-Liss, Inc.","container-title":"American Journal of Medical Genetics","DOI":"https://doi.org/10.1002/1096-8628(20000904)94:1&lt;28::AID-AJMG6&gt;3.0.CO;2-F","ISSN":"0148-7299","issue":"1","note":"publisher: John Wiley &amp; Sons, Ltd","page":"28-31","title":"Rapid screening method to detect mutations in CYP21, the gene for 21-hydroxylase","volume":"94","author":[{"family":"Yokoyama","given":"Yuji"},{"family":"Teraoka","given":"Michio"},{"family":"Tsuji","given":"Kazushiro"},{"family":"Ninomiya","given":"Shinsuke"},{"family":"Inoue","given":"Chiyo"},{"family":"Yamashita","given":"Sumie"},{"family":"Narahara","given":"Koji"},{"family":"Seino","given":"Yoshiki"}],"issued":{"date-parts":[["2000",9,4]]}}},{"id":879,"uris":["http://zotero.org/users/local/j4kVnGn0/items/Z7VPU6WK"],"itemData":{"id":879,"type":"article-journal","abstract":"We have designed a rapid and convenient strategy to determine nine of the most common mutations in the 21-hydroxylase gene (CYP21). The frequency of the mutations was investigated in 34 Japanese patients affected with congenital adrenal hyperplasia (CAH) caused by 21-hydroxylase deficiency. We characterized 82% of the CAH chromosomes. The most frequent mutations were a C/A to G substitution in intron 2 in the salt-wasting form of the disease and an I172N in the simple virilizing form. Three de novo mutations were found. Two homozygous mutations (S268T and N493S) were detected by direct sequencing of all exons of CYP21 in two siblings, who had a normal genotype at all positions screened. We successfully applied these methods for prenatal diagnosis in one family. These procedures proved to be sensitive and rapid for the detection of the most common known mutations in the CYP21 gene and may be useful for genetic screening.","container-title":"Journal of Human Genetics","DOI":"10.1007/s100380050167","ISSN":"1435-232X","issue":"5","page":"312-317","title":"Molecular analysis of Japanese patients with steroid 21-hydroxylase deficiency","volume":"44","author":[{"family":"Asanuma","given":"A"},{"family":"Ohura","given":"T"},{"family":"Ogawa","given":"Eishin"},{"family":"Sato","given":"Sachiko"},{"family":"Igarashi","given":"Yutaka"},{"family":"Matsubara","given":"Yoichi"},{"family":"Iinuma","given":"Kazuie"}],"issued":{"date-parts":[["1999"]]}}}],"schema":"https://github.com/citation-style-language/schema/raw/master/csl-citation.json"} </w:instrText>
      </w:r>
      <w:r w:rsidR="00D2346E">
        <w:rPr>
          <w:rFonts w:ascii="Times New Roman" w:eastAsia="Times New Roman" w:hAnsi="Times New Roman" w:cs="Times New Roman"/>
          <w:color w:val="000000"/>
          <w:sz w:val="24"/>
          <w:szCs w:val="24"/>
        </w:rPr>
        <w:fldChar w:fldCharType="separate"/>
      </w:r>
      <w:r w:rsidR="00525D43" w:rsidRPr="00525D43">
        <w:rPr>
          <w:rFonts w:ascii="Times New Roman" w:hAnsi="Times New Roman" w:cs="Times New Roman"/>
          <w:sz w:val="24"/>
          <w:vertAlign w:val="superscript"/>
        </w:rPr>
        <w:t>8,9,11</w:t>
      </w:r>
      <w:r w:rsidR="00D2346E">
        <w:rPr>
          <w:rFonts w:ascii="Times New Roman" w:eastAsia="Times New Roman" w:hAnsi="Times New Roman" w:cs="Times New Roman"/>
          <w:color w:val="000000"/>
          <w:sz w:val="24"/>
          <w:szCs w:val="24"/>
        </w:rPr>
        <w:fldChar w:fldCharType="end"/>
      </w:r>
    </w:p>
    <w:p w14:paraId="1D075D1D" w14:textId="77777777" w:rsidR="009874E3" w:rsidRDefault="009874E3">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0F3DB82" w14:textId="53D0F47E" w:rsidR="00A148C5" w:rsidRDefault="00A94642" w:rsidP="00DD456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exon 6 cluster yielded inconclusive results </w:t>
      </w:r>
      <w:r w:rsidR="00E77A07">
        <w:rPr>
          <w:rFonts w:ascii="Times New Roman" w:eastAsia="Times New Roman" w:hAnsi="Times New Roman" w:cs="Times New Roman"/>
          <w:color w:val="000000"/>
          <w:sz w:val="24"/>
          <w:szCs w:val="24"/>
        </w:rPr>
        <w:t xml:space="preserve">due to the </w:t>
      </w:r>
      <w:r w:rsidR="00983AD7">
        <w:rPr>
          <w:rFonts w:ascii="Times New Roman" w:eastAsia="Times New Roman" w:hAnsi="Times New Roman" w:cs="Times New Roman"/>
          <w:color w:val="000000"/>
          <w:sz w:val="24"/>
          <w:szCs w:val="24"/>
        </w:rPr>
        <w:t>absence</w:t>
      </w:r>
      <w:r w:rsidR="00E77A07">
        <w:rPr>
          <w:rFonts w:ascii="Times New Roman" w:eastAsia="Times New Roman" w:hAnsi="Times New Roman" w:cs="Times New Roman"/>
          <w:color w:val="000000"/>
          <w:sz w:val="24"/>
          <w:szCs w:val="24"/>
        </w:rPr>
        <w:t xml:space="preserve"> of DNA fragments </w:t>
      </w:r>
      <w:r w:rsidR="004A1F8A">
        <w:rPr>
          <w:rFonts w:ascii="Times New Roman" w:eastAsia="Times New Roman" w:hAnsi="Times New Roman" w:cs="Times New Roman"/>
          <w:color w:val="000000"/>
          <w:sz w:val="24"/>
          <w:szCs w:val="24"/>
        </w:rPr>
        <w:t xml:space="preserve">of the positive control </w:t>
      </w:r>
      <w:r w:rsidR="00E77A07">
        <w:rPr>
          <w:rFonts w:ascii="Times New Roman" w:eastAsia="Times New Roman" w:hAnsi="Times New Roman" w:cs="Times New Roman"/>
          <w:color w:val="000000"/>
          <w:sz w:val="24"/>
          <w:szCs w:val="24"/>
        </w:rPr>
        <w:t xml:space="preserve">after digestion by a </w:t>
      </w:r>
      <w:r w:rsidR="000661CC">
        <w:rPr>
          <w:rFonts w:ascii="Times New Roman" w:eastAsia="Times New Roman" w:hAnsi="Times New Roman" w:cs="Times New Roman"/>
          <w:color w:val="000000"/>
          <w:sz w:val="24"/>
          <w:szCs w:val="24"/>
        </w:rPr>
        <w:t xml:space="preserve">specific restriction enzyme, </w:t>
      </w:r>
      <w:proofErr w:type="spellStart"/>
      <w:r w:rsidR="000661CC">
        <w:rPr>
          <w:rFonts w:ascii="Times New Roman" w:eastAsia="Times New Roman" w:hAnsi="Times New Roman" w:cs="Times New Roman"/>
          <w:color w:val="000000"/>
          <w:sz w:val="24"/>
          <w:szCs w:val="24"/>
        </w:rPr>
        <w:t>DraIII</w:t>
      </w:r>
      <w:proofErr w:type="spellEnd"/>
      <w:r w:rsidR="000661CC">
        <w:rPr>
          <w:rFonts w:ascii="Times New Roman" w:eastAsia="Times New Roman" w:hAnsi="Times New Roman" w:cs="Times New Roman"/>
          <w:color w:val="000000"/>
          <w:sz w:val="24"/>
          <w:szCs w:val="24"/>
        </w:rPr>
        <w:t xml:space="preserve">. </w:t>
      </w:r>
      <w:r w:rsidR="002E6727">
        <w:rPr>
          <w:rFonts w:ascii="Times New Roman" w:eastAsia="Times New Roman" w:hAnsi="Times New Roman" w:cs="Times New Roman"/>
          <w:color w:val="000000"/>
          <w:sz w:val="24"/>
          <w:szCs w:val="24"/>
        </w:rPr>
        <w:t xml:space="preserve">The </w:t>
      </w:r>
      <w:r w:rsidR="007E240C">
        <w:rPr>
          <w:rFonts w:ascii="Times New Roman" w:eastAsia="Times New Roman" w:hAnsi="Times New Roman" w:cs="Times New Roman"/>
          <w:color w:val="000000"/>
          <w:sz w:val="24"/>
          <w:szCs w:val="24"/>
        </w:rPr>
        <w:t>unavailability</w:t>
      </w:r>
      <w:r w:rsidR="004511F8">
        <w:rPr>
          <w:rFonts w:ascii="Times New Roman" w:eastAsia="Times New Roman" w:hAnsi="Times New Roman" w:cs="Times New Roman"/>
          <w:color w:val="000000"/>
          <w:sz w:val="24"/>
          <w:szCs w:val="24"/>
        </w:rPr>
        <w:t xml:space="preserve"> of </w:t>
      </w:r>
      <w:r w:rsidR="007E240C">
        <w:rPr>
          <w:rFonts w:ascii="Times New Roman" w:eastAsia="Times New Roman" w:hAnsi="Times New Roman" w:cs="Times New Roman"/>
          <w:color w:val="000000"/>
          <w:sz w:val="24"/>
          <w:szCs w:val="24"/>
        </w:rPr>
        <w:t xml:space="preserve">the </w:t>
      </w:r>
      <w:r w:rsidR="004511F8">
        <w:rPr>
          <w:rFonts w:ascii="Times New Roman" w:eastAsia="Times New Roman" w:hAnsi="Times New Roman" w:cs="Times New Roman"/>
          <w:color w:val="000000"/>
          <w:sz w:val="24"/>
          <w:szCs w:val="24"/>
        </w:rPr>
        <w:t xml:space="preserve">product after the digestion by a restriction enzyme </w:t>
      </w:r>
      <w:r w:rsidR="00D14C89">
        <w:rPr>
          <w:rFonts w:ascii="Times New Roman" w:eastAsia="Times New Roman" w:hAnsi="Times New Roman" w:cs="Times New Roman"/>
          <w:color w:val="000000"/>
          <w:sz w:val="24"/>
          <w:szCs w:val="24"/>
        </w:rPr>
        <w:t xml:space="preserve">did not rule out the possibility of contamination. </w:t>
      </w:r>
      <w:r w:rsidR="00F164CF">
        <w:rPr>
          <w:rFonts w:ascii="Times New Roman" w:eastAsia="Times New Roman" w:hAnsi="Times New Roman" w:cs="Times New Roman"/>
          <w:color w:val="000000"/>
          <w:sz w:val="24"/>
          <w:szCs w:val="24"/>
        </w:rPr>
        <w:t>Preceding studies by Yokoyama et al</w:t>
      </w:r>
      <w:r w:rsidR="00397996">
        <w:rPr>
          <w:rFonts w:ascii="Times New Roman" w:eastAsia="Times New Roman" w:hAnsi="Times New Roman" w:cs="Times New Roman"/>
          <w:color w:val="000000"/>
          <w:sz w:val="24"/>
          <w:szCs w:val="24"/>
        </w:rPr>
        <w:t>.</w:t>
      </w:r>
      <w:r w:rsidR="00983AD7">
        <w:rPr>
          <w:rFonts w:ascii="Times New Roman" w:eastAsia="Times New Roman" w:hAnsi="Times New Roman" w:cs="Times New Roman"/>
          <w:color w:val="000000"/>
          <w:sz w:val="24"/>
          <w:szCs w:val="24"/>
        </w:rPr>
        <w:fldChar w:fldCharType="begin"/>
      </w:r>
      <w:r w:rsidR="00FD080B">
        <w:rPr>
          <w:rFonts w:ascii="Times New Roman" w:eastAsia="Times New Roman" w:hAnsi="Times New Roman" w:cs="Times New Roman"/>
          <w:color w:val="000000"/>
          <w:sz w:val="24"/>
          <w:szCs w:val="24"/>
        </w:rPr>
        <w:instrText xml:space="preserve"> ADDIN ZOTERO_ITEM CSL_CITATION {"citationID":"zHJMYxNy","properties":{"formattedCitation":"\\super 9\\nosupersub{}","plainCitation":"9","noteIndex":0},"citationItems":[{"id":892,"uris":["http://zotero.org/users/local/j4kVnGn0/items/939C6DGM"],"itemData":{"id":892,"type":"article-journal","abstract":"Abstract To facilitate a rapid and practical molecular diagnosis of 21-hydroxylase deficiency (21-OHD), we developed a polymerase chain reaction (PCR) test in which only the 21-OH gene (CYP21) is amplified. We applied the test to diagnose 23 patients with salt-wasting type of 21-OHD. The upstream and downstream sequences of CYP21 have been specifically amplified by using a primer set containing the 8-bp deletion sequence of exon 3, whi</w:instrText>
      </w:r>
      <w:r w:rsidR="00FD080B" w:rsidRPr="00B11437">
        <w:rPr>
          <w:rFonts w:ascii="Times New Roman" w:eastAsia="Times New Roman" w:hAnsi="Times New Roman" w:cs="Times New Roman"/>
          <w:color w:val="000000"/>
          <w:sz w:val="24"/>
          <w:szCs w:val="24"/>
          <w:lang w:val="nl-NL"/>
        </w:rPr>
        <w:instrText>ch is distinct from its pseudogene CYP21P. The amplified PCR products were further subjected to mutation detection by restriction analysis: E1PL by AciI, I2g by PstI, E63a by DraIII, E7VL by ApaLI, E8non by PstI, and E8RW by AciI. To detect delections and/or gene conversions occurring on exon 3, we used the method described by Rumsby and Honour [1990: J Med Genet 27:676?678]. Our method is able to elucidate 8 commo</w:instrText>
      </w:r>
      <w:r w:rsidR="00FD080B" w:rsidRPr="00A52DF6">
        <w:rPr>
          <w:rFonts w:ascii="Times New Roman" w:eastAsia="Times New Roman" w:hAnsi="Times New Roman" w:cs="Times New Roman"/>
          <w:color w:val="000000"/>
          <w:sz w:val="24"/>
          <w:szCs w:val="24"/>
          <w:lang w:val="nl-NL"/>
        </w:rPr>
        <w:instrText xml:space="preserve">n CYP21 mutations by using only 3 primer pairs and 4 restriction enzymes. The overall detection ratio of abnormal haplotypes by this method was over 95%, indicating that our method is practical and useful, particularly for carrier detection. Am. J. Med. Genet. 94:28?31, 2000. ? 2000 Wiley-Liss, Inc.","container-title":"American Journal of Medical Genetics","DOI":"https://doi.org/10.1002/1096-8628(20000904)94:1&lt;28::AID-AJMG6&gt;3.0.CO;2-F","ISSN":"0148-7299","issue":"1","note":"publisher: John Wiley &amp; Sons, Ltd","page":"28-31","title":"Rapid screening method to detect mutations in CYP21, the gene for 21-hydroxylase","volume":"94","author":[{"family":"Yokoyama","given":"Yuji"},{"family":"Teraoka","given":"Michio"},{"family":"Tsuji","given":"Kazushiro"},{"family":"Ninomiya","given":"Shinsuke"},{"family":"Inoue","given":"Chiyo"},{"family":"Yamashita","given":"Sumie"},{"family":"Narahara","given":"Koji"},{"family":"Seino","given":"Yoshiki"}],"issued":{"date-parts":[["2000",9,4]]}}}],"schema":"https://github.com/citation-style-language/schema/raw/master/csl-citation.json"} </w:instrText>
      </w:r>
      <w:r w:rsidR="00983AD7">
        <w:rPr>
          <w:rFonts w:ascii="Times New Roman" w:eastAsia="Times New Roman" w:hAnsi="Times New Roman" w:cs="Times New Roman"/>
          <w:color w:val="000000"/>
          <w:sz w:val="24"/>
          <w:szCs w:val="24"/>
        </w:rPr>
        <w:fldChar w:fldCharType="separate"/>
      </w:r>
      <w:r w:rsidR="00525D43" w:rsidRPr="00425D82">
        <w:rPr>
          <w:rFonts w:ascii="Times New Roman" w:hAnsi="Times New Roman" w:cs="Times New Roman"/>
          <w:sz w:val="24"/>
          <w:vertAlign w:val="superscript"/>
          <w:lang w:val="nl-NL"/>
        </w:rPr>
        <w:t>9</w:t>
      </w:r>
      <w:r w:rsidR="00983AD7">
        <w:rPr>
          <w:rFonts w:ascii="Times New Roman" w:eastAsia="Times New Roman" w:hAnsi="Times New Roman" w:cs="Times New Roman"/>
          <w:color w:val="000000"/>
          <w:sz w:val="24"/>
          <w:szCs w:val="24"/>
        </w:rPr>
        <w:fldChar w:fldCharType="end"/>
      </w:r>
      <w:r w:rsidR="00F164CF" w:rsidRPr="000B5201">
        <w:rPr>
          <w:rFonts w:ascii="Times New Roman" w:eastAsia="Times New Roman" w:hAnsi="Times New Roman" w:cs="Times New Roman"/>
          <w:color w:val="000000"/>
          <w:sz w:val="24"/>
          <w:szCs w:val="24"/>
          <w:lang w:val="nl-NL"/>
        </w:rPr>
        <w:t xml:space="preserve"> and Zhang et al</w:t>
      </w:r>
      <w:r w:rsidR="00397996" w:rsidRPr="000B5201">
        <w:rPr>
          <w:rFonts w:ascii="Times New Roman" w:eastAsia="Times New Roman" w:hAnsi="Times New Roman" w:cs="Times New Roman"/>
          <w:color w:val="000000"/>
          <w:sz w:val="24"/>
          <w:szCs w:val="24"/>
          <w:lang w:val="nl-NL"/>
        </w:rPr>
        <w:t>.</w:t>
      </w:r>
      <w:r w:rsidR="00983AD7">
        <w:rPr>
          <w:rFonts w:ascii="Times New Roman" w:eastAsia="Times New Roman" w:hAnsi="Times New Roman" w:cs="Times New Roman"/>
          <w:color w:val="000000"/>
          <w:sz w:val="24"/>
          <w:szCs w:val="24"/>
        </w:rPr>
        <w:fldChar w:fldCharType="begin"/>
      </w:r>
      <w:r w:rsidR="00FD080B">
        <w:rPr>
          <w:rFonts w:ascii="Times New Roman" w:eastAsia="Times New Roman" w:hAnsi="Times New Roman" w:cs="Times New Roman"/>
          <w:color w:val="000000"/>
          <w:sz w:val="24"/>
          <w:szCs w:val="24"/>
          <w:lang w:val="nl-NL"/>
        </w:rPr>
        <w:instrText xml:space="preserve"> ADDIN ZOTERO_ITEM CSL_CITATION {"citationID":"QWjPa9n0","properties":{"formattedCitation":"\\super 8\\nosupersub{}","plainCitation":"8","noteIndex":0},"citationItems":[{"id":881,"uris":["http://www.mendeley.com/documents/?uuid=569521f1-89dd-4575-a4d1-79f7bdcb5aeb","http://zotero.org/users/local/j4kVnGn0/items/CYKUDCUF"],"itemData":{"id":881,"type":"article-journal","abstract":"ObjectiveThe spectrum of molecular defects in Chinese patients with 21-hydroxylase deficiency (21-OHD), and genotype?phenotype relationships are unknown.MethodsWe screened eight patients with non-classical (NC) 21-OHD and 35 with classical 21-OHD, and detected nine known mutations.ResultsThe most frequent mutation among the 43 21-OHD cases was p.Ile172Asn (allele frequency, 36.0%), followed by c.290-13A/C?&gt;?G (20.9%), Del (8.6%), p.Pro30Leu (7.0%), p.Gln318Ter (7.0%), p.Val281Leu (4.7%), p.Arg356Trp (2.3%), p.[Ile236Asn; Val237Glu; Met239Lys] (2.3%), and E3?8?bp (1.2%). The frequency spectrum of CYP21A2 mutations in the Chinese population was similar to that in the Japanese population, except that p.Val281Leu was identified in Chinese NC21-OHD patients at a frequency of 25.0%, whereas it was absent in Japanese patients. We found that genotype could predict phenotype in 88.3% of patients.ConclusionSome characteristics appear to be unique to the Chinese population, but genotype was strongly predictive of phenotype.","container-title":"Journal of International Medical Research","DOI":"10.1177/0300060516685204","ISSN":"0300-0605","issue":"2","note":"publisher: SAGE Publications Ltd","page":"481-492","title":"Molecular diagnosis of Chinese patients with 21-hydroxylase deficiency and analysis of genotype–phenotype correlations","volume":"45","author":[{"family":"Zhang","given":"Bo"},{"family":"Lu","given":"Lin"},{"family":"Lu","given":"Zhaolin"}],"issued":{"date-parts":[["2017",2,2]]}}}],"schema":"https://github.com/citation-style-language/schema/raw/master/csl-citation.json"} </w:instrText>
      </w:r>
      <w:r w:rsidR="00983AD7">
        <w:rPr>
          <w:rFonts w:ascii="Times New Roman" w:eastAsia="Times New Roman" w:hAnsi="Times New Roman" w:cs="Times New Roman"/>
          <w:color w:val="000000"/>
          <w:sz w:val="24"/>
          <w:szCs w:val="24"/>
        </w:rPr>
        <w:fldChar w:fldCharType="separate"/>
      </w:r>
      <w:r w:rsidR="00525D43" w:rsidRPr="00425D82">
        <w:rPr>
          <w:rFonts w:ascii="Times New Roman" w:hAnsi="Times New Roman" w:cs="Times New Roman"/>
          <w:sz w:val="24"/>
          <w:vertAlign w:val="superscript"/>
          <w:lang w:val="nl-NL"/>
        </w:rPr>
        <w:t>8</w:t>
      </w:r>
      <w:r w:rsidR="00983AD7">
        <w:rPr>
          <w:rFonts w:ascii="Times New Roman" w:eastAsia="Times New Roman" w:hAnsi="Times New Roman" w:cs="Times New Roman"/>
          <w:color w:val="000000"/>
          <w:sz w:val="24"/>
          <w:szCs w:val="24"/>
        </w:rPr>
        <w:fldChar w:fldCharType="end"/>
      </w:r>
      <w:r w:rsidR="00397996" w:rsidRPr="000B5201">
        <w:rPr>
          <w:rFonts w:ascii="Times New Roman" w:eastAsia="Times New Roman" w:hAnsi="Times New Roman" w:cs="Times New Roman"/>
          <w:color w:val="000000"/>
          <w:sz w:val="24"/>
          <w:szCs w:val="24"/>
          <w:lang w:val="nl-NL"/>
        </w:rPr>
        <w:t xml:space="preserve"> performed PCR product purification prior to the RFLP procedure.</w:t>
      </w:r>
      <w:r w:rsidR="00397996" w:rsidRPr="00425D82">
        <w:rPr>
          <w:rFonts w:ascii="Times New Roman" w:eastAsia="Times New Roman" w:hAnsi="Times New Roman" w:cs="Times New Roman"/>
          <w:color w:val="000000"/>
          <w:sz w:val="24"/>
          <w:szCs w:val="24"/>
          <w:lang w:val="nl-NL"/>
        </w:rPr>
        <w:t xml:space="preserve"> </w:t>
      </w:r>
      <w:r w:rsidR="00D67147">
        <w:rPr>
          <w:rFonts w:ascii="Times New Roman" w:eastAsia="Times New Roman" w:hAnsi="Times New Roman" w:cs="Times New Roman"/>
          <w:color w:val="000000"/>
          <w:sz w:val="24"/>
          <w:szCs w:val="24"/>
        </w:rPr>
        <w:t xml:space="preserve">During the process, primers, reagents, and other contaminants </w:t>
      </w:r>
      <w:r w:rsidR="00983AD7">
        <w:rPr>
          <w:rFonts w:ascii="Times New Roman" w:eastAsia="Times New Roman" w:hAnsi="Times New Roman" w:cs="Times New Roman"/>
          <w:color w:val="000000"/>
          <w:sz w:val="24"/>
          <w:szCs w:val="24"/>
        </w:rPr>
        <w:t>that</w:t>
      </w:r>
      <w:r w:rsidR="00D67147">
        <w:rPr>
          <w:rFonts w:ascii="Times New Roman" w:eastAsia="Times New Roman" w:hAnsi="Times New Roman" w:cs="Times New Roman"/>
          <w:color w:val="000000"/>
          <w:sz w:val="24"/>
          <w:szCs w:val="24"/>
        </w:rPr>
        <w:t xml:space="preserve"> possibly could obstruct </w:t>
      </w:r>
      <w:r w:rsidR="00FD5541">
        <w:rPr>
          <w:rFonts w:ascii="Times New Roman" w:eastAsia="Times New Roman" w:hAnsi="Times New Roman" w:cs="Times New Roman"/>
          <w:color w:val="000000"/>
          <w:sz w:val="24"/>
          <w:szCs w:val="24"/>
        </w:rPr>
        <w:t xml:space="preserve">the subsequent process </w:t>
      </w:r>
      <w:r w:rsidR="00D67147">
        <w:rPr>
          <w:rFonts w:ascii="Times New Roman" w:eastAsia="Times New Roman" w:hAnsi="Times New Roman" w:cs="Times New Roman"/>
          <w:color w:val="000000"/>
          <w:sz w:val="24"/>
          <w:szCs w:val="24"/>
        </w:rPr>
        <w:t>were removed</w:t>
      </w:r>
      <w:r w:rsidR="00D2346E">
        <w:rPr>
          <w:rFonts w:ascii="Times New Roman" w:eastAsia="Times New Roman" w:hAnsi="Times New Roman" w:cs="Times New Roman"/>
          <w:color w:val="000000"/>
          <w:sz w:val="24"/>
          <w:szCs w:val="24"/>
        </w:rPr>
        <w:t>.</w:t>
      </w:r>
      <w:r w:rsidR="00913AFA">
        <w:rPr>
          <w:rFonts w:ascii="Times New Roman" w:eastAsia="Times New Roman" w:hAnsi="Times New Roman" w:cs="Times New Roman"/>
          <w:color w:val="000000"/>
          <w:sz w:val="24"/>
          <w:szCs w:val="24"/>
        </w:rPr>
        <w:fldChar w:fldCharType="begin"/>
      </w:r>
      <w:r w:rsidR="00FD080B">
        <w:rPr>
          <w:rFonts w:ascii="Times New Roman" w:eastAsia="Times New Roman" w:hAnsi="Times New Roman" w:cs="Times New Roman"/>
          <w:color w:val="000000"/>
          <w:sz w:val="24"/>
          <w:szCs w:val="24"/>
        </w:rPr>
        <w:instrText xml:space="preserve"> ADDIN ZOTERO_ITEM CSL_CITATION {"citationID":"Aau6HLlE","properties":{"formattedCitation":"\\super 12,13\\nosupersub{}","plainCitation":"12,13","noteIndex":0},"citationItems":[{"id":1269,"uris":["http://zotero.org/users/local/j4kVnGn0/items/LGG4D7IF"],"itemData":{"id":1269,"type":"article-journal","abstract":"BACKGROUND: The microbiota of the lower female genital tract plays an important role in women's health. Microbial profiling using the chaperonin60 (cpn60)  universal target (UT) improves resolution of vaginal species associated with  negative health outcomes compared to the more commonly used 16S ribosomal DNA  target. However, the choice of DNA extraction and PCR product purification  methods may bias sequencing-based microbial studies and should be optimized for  the sample type and molecular target used. In this study, we compared two  commercial DNA extraction kits and two commercial PCR product purification kits  for the microbial profiling of cervicovaginal samples using the cpn60 UT.  METHODS: DNA from cervicovaginal secretions and vaginal lavage samples as well as  mock community standards were extracted using either the specialized QIAamp DNA  Microbiome Kit, or the standard DNeasy Blood &amp; Tissue kit with enzymatic  pre-treatment for enhanced lysis of gram-positive bacteria. Extracts were PCR  amplified using well-established cpn60 primer sets and conditions. Products were  then purified using a column-based method (QIAquick PCR Purification Kit) or a  gel-based PCR clean-up method using the QIAEX II Gel Extraction Kit. Purified  amplicons were sequenced with the MiSeq platform using standard procedures. The  overall quality of each method was evaluated by measuring DNA yield, alpha  diversity, and microbial composition. RESULTS: DNA extracted from cervicovaginal  samples using the DNeasy Blood and Tissue kit, pre-treated with lysozyme and  mutanolysin, resulted in increased DNA yield, bacterial diversity, and species  representation compared to the QIAamp DNA Microbiome kit. The column-based PCR  product purification approach also resulted in greater average DNA yield and  wider species representation compared to a gel-based clean-up method. In  conclusion, this study presents a fast, effective sample preparation method for  high resolution cpn60 based microbial profiling of cervicovaginal samples.","container-title":"PloS one","DOI":"10.1371/journal.pone.0262355","ISSN":"1932-6203","issue":"1","journalAbbreviation":"PLoS One","language":"eng","note":"publisher-place: United States\nPMID: 35025956 \nPMCID: PMC8758110","page":"e0262355","title":"Comparative analysis of DNA extraction and PCR product purification methods for cervicovaginal microbiome analysis using cpn60 microbial profiling.","volume":"17","author":[{"family":"Shvartsman","given":"Elinor"},{"family":"Richmond","given":"Meika E. I."},{"family":"Schellenberg","given":"John J."},{"family":"Lamont","given":"Alana"},{"family":"Perciani","given":"Catia"},{"family":"Russell","given":"Justen N. H."},{"family":"Poliquin","given":"Vanessa"},{"family":"Burgener","given":"Adam"},{"family":"Jaoko","given":"Walter"},{"family":"Sandstrom","given":"Paul"},{"family":"MacDonald","given":"Kelly S."}],"issued":{"date-parts":[["2022"]]}}},{"id":1271,"uris":["http://zotero.org/users/local/j4kVnGn0/items/XT82ZKUX"],"itemData":{"id":1271,"type":"article-journal","abstract":"Capillary electrophoresis of amplified DNA isolated from trace evidence samples occasionally results in inadequate STR-profiles due to artifacts caused by, e.g. primers and dNTPs. Removal of artifacts by purification and subsequent concentration of the PCR products may increase the sensitivity and the quality of the DNA profiles without re-amplification of the sample. We have validated and implemented an automated method to purify and 2-fold concentrate PCR products resulting in allelic peaks with higher intensity (a median height across all loci from 130 to 404RFU), fewer allelic drop-outs and a reduced number of artifacts compared to both an increase in injection time and increase in the number of amplification cycles.","container-title":"Progress in Forensic Genetics 14","DOI":"10.1016/j.fsigss.2011.09.036","ISSN":"1875-1768","issue":"1","journalAbbreviation":"Forensic Science International: Genetics Supplement Series","page":"e347-e348","title":"Purification and concentration of PCR products leads to increased signal intensities with fewer allelic drop-outs and artifacts","volume":"3","author":[{"family":"Pedersen","given":"L.M.I."},{"family":"Stangegaard","given":"M."},{"family":"Mogensen","given":"H.S."},{"family":"Morling","given":"N."}],"issued":{"date-parts":[["2011",12,1]]}}}],"schema":"https://github.com/citation-style-language/schema/raw/master/csl-citation.json"} </w:instrText>
      </w:r>
      <w:r w:rsidR="00913AFA">
        <w:rPr>
          <w:rFonts w:ascii="Times New Roman" w:eastAsia="Times New Roman" w:hAnsi="Times New Roman" w:cs="Times New Roman"/>
          <w:color w:val="000000"/>
          <w:sz w:val="24"/>
          <w:szCs w:val="24"/>
        </w:rPr>
        <w:fldChar w:fldCharType="separate"/>
      </w:r>
      <w:r w:rsidR="00525D43" w:rsidRPr="00525D43">
        <w:rPr>
          <w:rFonts w:ascii="Times New Roman" w:hAnsi="Times New Roman" w:cs="Times New Roman"/>
          <w:sz w:val="24"/>
          <w:vertAlign w:val="superscript"/>
        </w:rPr>
        <w:t>12,13</w:t>
      </w:r>
      <w:r w:rsidR="00913AFA">
        <w:rPr>
          <w:rFonts w:ascii="Times New Roman" w:eastAsia="Times New Roman" w:hAnsi="Times New Roman" w:cs="Times New Roman"/>
          <w:color w:val="000000"/>
          <w:sz w:val="24"/>
          <w:szCs w:val="24"/>
        </w:rPr>
        <w:fldChar w:fldCharType="end"/>
      </w:r>
      <w:r w:rsidR="00594F52">
        <w:rPr>
          <w:rFonts w:ascii="Times New Roman" w:eastAsia="Times New Roman" w:hAnsi="Times New Roman" w:cs="Times New Roman"/>
          <w:color w:val="000000"/>
          <w:sz w:val="24"/>
          <w:szCs w:val="24"/>
        </w:rPr>
        <w:t xml:space="preserve"> </w:t>
      </w:r>
      <w:r w:rsidR="00FD5541">
        <w:rPr>
          <w:rFonts w:ascii="Times New Roman" w:eastAsia="Times New Roman" w:hAnsi="Times New Roman" w:cs="Times New Roman"/>
          <w:color w:val="000000"/>
          <w:sz w:val="24"/>
          <w:szCs w:val="24"/>
        </w:rPr>
        <w:t>Excess magnesium could chelate away the restriction enzyme</w:t>
      </w:r>
      <w:r w:rsidR="00983AD7">
        <w:rPr>
          <w:rFonts w:ascii="Times New Roman" w:eastAsia="Times New Roman" w:hAnsi="Times New Roman" w:cs="Times New Roman"/>
          <w:color w:val="000000"/>
          <w:sz w:val="24"/>
          <w:szCs w:val="24"/>
        </w:rPr>
        <w:t>,</w:t>
      </w:r>
      <w:r w:rsidR="00FD5541">
        <w:rPr>
          <w:rFonts w:ascii="Times New Roman" w:eastAsia="Times New Roman" w:hAnsi="Times New Roman" w:cs="Times New Roman"/>
          <w:color w:val="000000"/>
          <w:sz w:val="24"/>
          <w:szCs w:val="24"/>
        </w:rPr>
        <w:t xml:space="preserve"> and frequently</w:t>
      </w:r>
      <w:r w:rsidR="007E240C">
        <w:rPr>
          <w:rFonts w:ascii="Times New Roman" w:eastAsia="Times New Roman" w:hAnsi="Times New Roman" w:cs="Times New Roman"/>
          <w:color w:val="000000"/>
          <w:sz w:val="24"/>
          <w:szCs w:val="24"/>
        </w:rPr>
        <w:t>,</w:t>
      </w:r>
      <w:r w:rsidR="00FD5541">
        <w:rPr>
          <w:rFonts w:ascii="Times New Roman" w:eastAsia="Times New Roman" w:hAnsi="Times New Roman" w:cs="Times New Roman"/>
          <w:color w:val="000000"/>
          <w:sz w:val="24"/>
          <w:szCs w:val="24"/>
        </w:rPr>
        <w:t xml:space="preserve"> the PCR reagents would inhibit the restriction enzymes.</w:t>
      </w:r>
      <w:r w:rsidR="00594F52">
        <w:rPr>
          <w:rFonts w:ascii="Times New Roman" w:eastAsia="Times New Roman" w:hAnsi="Times New Roman" w:cs="Times New Roman"/>
          <w:color w:val="000000"/>
          <w:sz w:val="24"/>
          <w:szCs w:val="24"/>
        </w:rPr>
        <w:t xml:space="preserve"> Hence, contamination prevention was necessary and justified</w:t>
      </w:r>
      <w:r w:rsidR="00913AFA">
        <w:rPr>
          <w:rFonts w:ascii="Times New Roman" w:eastAsia="Times New Roman" w:hAnsi="Times New Roman" w:cs="Times New Roman"/>
          <w:color w:val="000000"/>
          <w:sz w:val="24"/>
          <w:szCs w:val="24"/>
        </w:rPr>
        <w:t>.</w:t>
      </w:r>
      <w:r w:rsidR="00913AFA">
        <w:rPr>
          <w:rFonts w:ascii="Times New Roman" w:eastAsia="Times New Roman" w:hAnsi="Times New Roman" w:cs="Times New Roman"/>
          <w:color w:val="000000"/>
          <w:sz w:val="24"/>
          <w:szCs w:val="24"/>
        </w:rPr>
        <w:fldChar w:fldCharType="begin"/>
      </w:r>
      <w:r w:rsidR="00FD080B">
        <w:rPr>
          <w:rFonts w:ascii="Times New Roman" w:eastAsia="Times New Roman" w:hAnsi="Times New Roman" w:cs="Times New Roman"/>
          <w:color w:val="000000"/>
          <w:sz w:val="24"/>
          <w:szCs w:val="24"/>
        </w:rPr>
        <w:instrText xml:space="preserve"> ADDIN ZOTERO_ITEM CSL_CITATION {"citationID":"uPTxYRja","properties":{"formattedCitation":"\\super 14\\nosupersub{}","plainCitation":"14","noteIndex":0},"citationItems":[{"id":1273,"uris":["http://zotero.org/users/local/j4kVnGn0/items/7LCBDDM8"],"itemData":{"id":1273,"type":"article-journal","abstract":"Abstract:? Frequently, evidentiary items contain an insufficient quantity of DNA to obtain complete or even partial DNA profiles using standard forensic gentotyping techniques. Such low-copy-number (LCN) samples are usually subjected to increased amplification cylces to obtain genetic data. In this study, a 28-cycle polymerase chain reaction (PCR) was used to evaluate various methods of post-PCR purification for their effects on the sensitivity of fluorophore-based allelic detection subsequent to capillary electrophoretic separation. The amplified product was purified using filtration, silica gel membrane, and enzyme mediated hydrolysis purification techniques and evaluated for their effect on fluorescent allelic signal intensity. A purification method was selected and its effect on fluorescent allelic signal intensity was compared with that of the unpurified PCR product. A method of post-PCR purification is described which increases the sensitivity of standard 28-cycle PCR such that profiles from LCN DNA templates (&lt;100?pg DNA) can be obtained. Full DNA profiles were consistently obtained with as little as 20?pg template DNA without increased cycle number. In mock case type samples with dermal ridge fingerprints, genetic profiles were obtained by amplification with 28 cycles followed by post-PCR purification whereas no profiles were obtained without purification of the PCR product. Allele dropout, increased stutter, and sporadic contamination typical of LCN analysis were observed; however, no contamination was observed in negative amplification controls. Post-PCR purification of the PCR product can increase the sensitivity of capillary electrophoresis to such an extent that DNA profiles can be obtained from &lt;100?pg of DNA using 28-cycle amplification.","container-title":"Journal of Forensic Sciences","DOI":"10.1111/j.1556-4029.2007.00470.x","ISSN":"0022-1198","issue":"4","journalAbbreviation":"Journal of Forensic Sciences","note":"publisher: John Wiley &amp; Sons, Ltd","page":"820-829","title":"Simplified Low-Copy-Number DNA Analysis by Post-PCR Purification","volume":"52","author":[{"family":"Smith","given":"Pamela J."},{"family":"Ballantyne","given":"Jack"}],"issued":{"date-parts":[["2007",7,1]]}}}],"schema":"https://github.com/citation-style-language/schema/raw/master/csl-citation.json"} </w:instrText>
      </w:r>
      <w:r w:rsidR="00913AFA">
        <w:rPr>
          <w:rFonts w:ascii="Times New Roman" w:eastAsia="Times New Roman" w:hAnsi="Times New Roman" w:cs="Times New Roman"/>
          <w:color w:val="000000"/>
          <w:sz w:val="24"/>
          <w:szCs w:val="24"/>
        </w:rPr>
        <w:fldChar w:fldCharType="separate"/>
      </w:r>
      <w:r w:rsidR="00525D43" w:rsidRPr="00525D43">
        <w:rPr>
          <w:rFonts w:ascii="Times New Roman" w:hAnsi="Times New Roman" w:cs="Times New Roman"/>
          <w:sz w:val="24"/>
          <w:vertAlign w:val="superscript"/>
        </w:rPr>
        <w:t>14</w:t>
      </w:r>
      <w:r w:rsidR="00913AFA">
        <w:rPr>
          <w:rFonts w:ascii="Times New Roman" w:eastAsia="Times New Roman" w:hAnsi="Times New Roman" w:cs="Times New Roman"/>
          <w:color w:val="000000"/>
          <w:sz w:val="24"/>
          <w:szCs w:val="24"/>
        </w:rPr>
        <w:fldChar w:fldCharType="end"/>
      </w:r>
    </w:p>
    <w:p w14:paraId="5C9B3345" w14:textId="093584B0" w:rsidR="009A53A1" w:rsidRDefault="00D5104E">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1901CDC9" w14:textId="6A036F29" w:rsidR="00D709B9" w:rsidRDefault="004A7709">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most frequent variant identified among 27 SW CAH patients </w:t>
      </w:r>
      <w:r w:rsidR="009F0784">
        <w:rPr>
          <w:rFonts w:ascii="Times New Roman" w:eastAsia="Times New Roman" w:hAnsi="Times New Roman" w:cs="Times New Roman"/>
          <w:color w:val="000000"/>
          <w:sz w:val="24"/>
          <w:szCs w:val="24"/>
        </w:rPr>
        <w:t>was</w:t>
      </w:r>
      <w:r>
        <w:rPr>
          <w:rFonts w:ascii="Times New Roman" w:eastAsia="Times New Roman" w:hAnsi="Times New Roman" w:cs="Times New Roman"/>
          <w:color w:val="000000"/>
          <w:sz w:val="24"/>
          <w:szCs w:val="24"/>
        </w:rPr>
        <w:t xml:space="preserve"> the </w:t>
      </w:r>
      <w:r w:rsidRPr="004A7709">
        <w:rPr>
          <w:rFonts w:ascii="Times New Roman" w:eastAsia="Times New Roman" w:hAnsi="Times New Roman" w:cs="Times New Roman"/>
          <w:color w:val="000000"/>
          <w:sz w:val="24"/>
          <w:szCs w:val="24"/>
        </w:rPr>
        <w:t>IVS2-13A/C&gt;G</w:t>
      </w:r>
      <w:r>
        <w:rPr>
          <w:rFonts w:ascii="Times New Roman" w:eastAsia="Times New Roman" w:hAnsi="Times New Roman" w:cs="Times New Roman"/>
          <w:color w:val="000000"/>
          <w:sz w:val="24"/>
          <w:szCs w:val="24"/>
        </w:rPr>
        <w:t xml:space="preserve">, which was found in 26 (96.3%) patients. </w:t>
      </w:r>
      <w:r w:rsidR="00014E9A">
        <w:rPr>
          <w:rFonts w:ascii="Times New Roman" w:eastAsia="Times New Roman" w:hAnsi="Times New Roman" w:cs="Times New Roman"/>
          <w:color w:val="000000"/>
          <w:sz w:val="24"/>
          <w:szCs w:val="24"/>
        </w:rPr>
        <w:t xml:space="preserve">This variant </w:t>
      </w:r>
      <w:r w:rsidR="001C7AD2">
        <w:rPr>
          <w:rFonts w:ascii="Times New Roman" w:eastAsia="Times New Roman" w:hAnsi="Times New Roman" w:cs="Times New Roman"/>
          <w:color w:val="000000"/>
          <w:sz w:val="24"/>
          <w:szCs w:val="24"/>
        </w:rPr>
        <w:t>was classified into group A with merely 0-1% residual enzymatic activity and predicted phenotype of SW</w:t>
      </w:r>
      <w:r w:rsidR="00E01858">
        <w:rPr>
          <w:rFonts w:ascii="Times New Roman" w:eastAsia="Times New Roman" w:hAnsi="Times New Roman" w:cs="Times New Roman"/>
          <w:color w:val="000000"/>
          <w:sz w:val="24"/>
          <w:szCs w:val="24"/>
        </w:rPr>
        <w:t xml:space="preserve"> or SV</w:t>
      </w:r>
      <w:r w:rsidR="001C7AD2">
        <w:rPr>
          <w:rFonts w:ascii="Times New Roman" w:eastAsia="Times New Roman" w:hAnsi="Times New Roman" w:cs="Times New Roman"/>
          <w:color w:val="000000"/>
          <w:sz w:val="24"/>
          <w:szCs w:val="24"/>
        </w:rPr>
        <w:t>.</w:t>
      </w:r>
      <w:r w:rsidR="00E01858">
        <w:rPr>
          <w:rFonts w:ascii="Times New Roman" w:eastAsia="Times New Roman" w:hAnsi="Times New Roman" w:cs="Times New Roman"/>
          <w:color w:val="000000"/>
          <w:sz w:val="24"/>
          <w:szCs w:val="24"/>
        </w:rPr>
        <w:t xml:space="preserve"> Only 6.1% of 49 patients were identified with the </w:t>
      </w:r>
      <w:proofErr w:type="gramStart"/>
      <w:r w:rsidR="00E01858">
        <w:rPr>
          <w:rFonts w:ascii="Times New Roman" w:eastAsia="Times New Roman" w:hAnsi="Times New Roman" w:cs="Times New Roman"/>
          <w:color w:val="000000"/>
          <w:sz w:val="24"/>
          <w:szCs w:val="24"/>
        </w:rPr>
        <w:t>p.Gln</w:t>
      </w:r>
      <w:proofErr w:type="gramEnd"/>
      <w:r w:rsidR="00E01858">
        <w:rPr>
          <w:rFonts w:ascii="Times New Roman" w:eastAsia="Times New Roman" w:hAnsi="Times New Roman" w:cs="Times New Roman"/>
          <w:color w:val="000000"/>
          <w:sz w:val="24"/>
          <w:szCs w:val="24"/>
        </w:rPr>
        <w:t>318Ter (Null group).</w:t>
      </w:r>
      <w:r w:rsidR="00802A15">
        <w:rPr>
          <w:rFonts w:ascii="Times New Roman" w:eastAsia="Times New Roman" w:hAnsi="Times New Roman" w:cs="Times New Roman"/>
          <w:color w:val="000000"/>
          <w:sz w:val="24"/>
          <w:szCs w:val="24"/>
        </w:rPr>
        <w:t xml:space="preserve"> However, the preceding study conducted in the center</w:t>
      </w:r>
      <w:r w:rsidR="00C05CB6">
        <w:rPr>
          <w:rFonts w:ascii="Times New Roman" w:eastAsia="Times New Roman" w:hAnsi="Times New Roman" w:cs="Times New Roman"/>
          <w:color w:val="000000"/>
          <w:sz w:val="24"/>
          <w:szCs w:val="24"/>
        </w:rPr>
        <w:t xml:space="preserve"> displayed the p.Arg357Trp to be the most prevalent (41/62) variant found in the CAH patients</w:t>
      </w:r>
      <w:r w:rsidR="00913AFA">
        <w:rPr>
          <w:rFonts w:ascii="Times New Roman" w:eastAsia="Times New Roman" w:hAnsi="Times New Roman" w:cs="Times New Roman"/>
          <w:color w:val="000000"/>
          <w:sz w:val="24"/>
          <w:szCs w:val="24"/>
        </w:rPr>
        <w:t>.</w:t>
      </w:r>
      <w:r w:rsidR="00913AFA">
        <w:rPr>
          <w:rFonts w:ascii="Times New Roman" w:eastAsia="Times New Roman" w:hAnsi="Times New Roman" w:cs="Times New Roman"/>
          <w:color w:val="000000"/>
          <w:sz w:val="24"/>
          <w:szCs w:val="24"/>
        </w:rPr>
        <w:fldChar w:fldCharType="begin"/>
      </w:r>
      <w:r w:rsidR="00FD080B">
        <w:rPr>
          <w:rFonts w:ascii="Times New Roman" w:eastAsia="Times New Roman" w:hAnsi="Times New Roman" w:cs="Times New Roman"/>
          <w:color w:val="000000"/>
          <w:sz w:val="24"/>
          <w:szCs w:val="24"/>
        </w:rPr>
        <w:instrText xml:space="preserve"> ADDIN ZOTERO_ITEM CSL_CITATION {"citationID":"lzkDz8oa","properties":{"formattedCitation":"\\super 10\\nosupersub{}","plainCitation":"10","noteIndex":0},"citationItems":[{"id":1310,"uris":["http://zotero.org/users/local/j4kVnGn0/items/L3IFJSST"],"itemData":{"id":1310,"type":"article-journal","abstract":"Background: Our multidisciplinary team (MDT) is a large specialized team based in Semarang, Indonesia, that cares for a wide variety of pediatric and adult individuals with differences of sex development (DSD) from across Indonesia. Here, we describe our work over the last 17 years. Methods: We analyzed phenotypic, hormonal, and genetic findings from clinical records for all patients referred to our MDT during the period 2004–2020. Results: Among 1,184 DSD patients, 10% had sex chromosome DSD, 67% had 46,XY DSD, and 23% had 46,XX DSD. The most common sex chromosome anomaly was Turner syndrome (45,X) (55 cases). For patients with 46,XY DSD under-masculinization was the most common diagnosis (311 cases), and for 46,XX DSD, a defect of Müllerian development was most common (131 cases) followed by congenital adrenal hyperplasia (CAH) (116 cases). Sanger sequencing, MLPA, and targeted gene sequencing of 257 patients with 46,XY DSD found likely causative variants in 21% (55 cases), with 13 diagnostic genes implicated. The most affected gene codes for the androgen receptor. Molecular analysis identified a diagnosis for 69 of 116 patients with CAH, with 62 carrying variants in CYP21A2 including four novel variants, and 7 patients carrying variants in CYP11B1. In many cases, these genetic diagnoses influenced the clinical management of patients and their families. Conclusions: Our work has highlighted the occurrence of different DSDs in Indonesia. By applying sequencing technologies as part of our clinical care, we have delivered a number of genetic diagnoses and identified novel pathogenic variants in some genes, which may be clinically specific to Indonesia. Genetics can inform many aspects of DSD clinical management, and while many of our patients remain undiagnosed, we hope that future testing may provide answers for even more.","container-title":"Sexual Development","DOI":"10.1159/000534085","ISSN":"1661-5425","journalAbbreviation":"Sexual Development","page":"1-11","title":"Lessons Learned from 17 Years of Multidisciplinary Care for Differences of Sex Development Patients at a Single Indonesian Center","author":[{"family":"Faradz","given":"Sultana M.H."},{"family":"Listyasari","given":"Nurin"},{"family":"Utari","given":"Agustini"},{"family":"Ariani","given":"Mahayu Dewi"},{"family":"Juniarto","given":"Achmad Zulfa"},{"family":"Santosa","given":"Ardy"},{"family":"Ediati","given":"Annastasia"},{"family":"Rinne","given":"Tuula K"},{"family":"Westra","given":"Dineke"},{"family":"Claahsen-van der Grinten","given":"Hedi"},{"family":"Jong","given":"Frank H","non-dropping-particle":"de"},{"family":"Drop","given":"Stenvert L.S."},{"family":"Ayers","given":"Katie"},{"family":"Sinclair","given":"Andrew"}],"issued":{"date-parts":[["2023",9,12]]}}}],"schema":"https://github.com/citation-style-language/schema/raw/master/csl-citation.json"} </w:instrText>
      </w:r>
      <w:r w:rsidR="00913AFA">
        <w:rPr>
          <w:rFonts w:ascii="Times New Roman" w:eastAsia="Times New Roman" w:hAnsi="Times New Roman" w:cs="Times New Roman"/>
          <w:color w:val="000000"/>
          <w:sz w:val="24"/>
          <w:szCs w:val="24"/>
        </w:rPr>
        <w:fldChar w:fldCharType="separate"/>
      </w:r>
      <w:r w:rsidR="00525D43" w:rsidRPr="00525D43">
        <w:rPr>
          <w:rFonts w:ascii="Times New Roman" w:hAnsi="Times New Roman" w:cs="Times New Roman"/>
          <w:sz w:val="24"/>
          <w:vertAlign w:val="superscript"/>
        </w:rPr>
        <w:t>10</w:t>
      </w:r>
      <w:r w:rsidR="00913AFA">
        <w:rPr>
          <w:rFonts w:ascii="Times New Roman" w:eastAsia="Times New Roman" w:hAnsi="Times New Roman" w:cs="Times New Roman"/>
          <w:color w:val="000000"/>
          <w:sz w:val="24"/>
          <w:szCs w:val="24"/>
        </w:rPr>
        <w:fldChar w:fldCharType="end"/>
      </w:r>
      <w:r w:rsidR="000F0A4A">
        <w:rPr>
          <w:rFonts w:ascii="Times New Roman" w:eastAsia="Times New Roman" w:hAnsi="Times New Roman" w:cs="Times New Roman"/>
          <w:color w:val="000000"/>
          <w:sz w:val="24"/>
          <w:szCs w:val="24"/>
        </w:rPr>
        <w:t xml:space="preserve"> </w:t>
      </w:r>
      <w:r w:rsidR="00FD7E5F">
        <w:rPr>
          <w:rFonts w:ascii="Times New Roman" w:eastAsia="Times New Roman" w:hAnsi="Times New Roman" w:cs="Times New Roman"/>
          <w:color w:val="000000"/>
          <w:sz w:val="24"/>
          <w:szCs w:val="24"/>
        </w:rPr>
        <w:t xml:space="preserve">In comparison, the intron 2 splice </w:t>
      </w:r>
      <w:r w:rsidR="00FD7E5F">
        <w:rPr>
          <w:rFonts w:ascii="Times New Roman" w:eastAsia="Times New Roman" w:hAnsi="Times New Roman" w:cs="Times New Roman"/>
          <w:color w:val="000000"/>
          <w:sz w:val="24"/>
          <w:szCs w:val="24"/>
        </w:rPr>
        <w:lastRenderedPageBreak/>
        <w:t xml:space="preserve">was commonly found in the Chinese, Indian, and Cuban </w:t>
      </w:r>
      <w:r w:rsidR="009F0784">
        <w:rPr>
          <w:rFonts w:ascii="Times New Roman" w:eastAsia="Times New Roman" w:hAnsi="Times New Roman" w:cs="Times New Roman"/>
          <w:color w:val="000000"/>
          <w:sz w:val="24"/>
          <w:szCs w:val="24"/>
        </w:rPr>
        <w:t>populations</w:t>
      </w:r>
      <w:r w:rsidR="00FD7E5F">
        <w:rPr>
          <w:rFonts w:ascii="Times New Roman" w:eastAsia="Times New Roman" w:hAnsi="Times New Roman" w:cs="Times New Roman"/>
          <w:color w:val="000000"/>
          <w:sz w:val="24"/>
          <w:szCs w:val="24"/>
        </w:rPr>
        <w:t>,</w:t>
      </w:r>
      <w:r w:rsidR="00F339A0">
        <w:rPr>
          <w:rFonts w:ascii="Times New Roman" w:eastAsia="Times New Roman" w:hAnsi="Times New Roman" w:cs="Times New Roman"/>
          <w:color w:val="000000"/>
          <w:sz w:val="24"/>
          <w:szCs w:val="24"/>
        </w:rPr>
        <w:fldChar w:fldCharType="begin"/>
      </w:r>
      <w:r w:rsidR="00F339A0">
        <w:rPr>
          <w:rFonts w:ascii="Times New Roman" w:eastAsia="Times New Roman" w:hAnsi="Times New Roman" w:cs="Times New Roman"/>
          <w:color w:val="000000"/>
          <w:sz w:val="24"/>
          <w:szCs w:val="24"/>
        </w:rPr>
        <w:instrText xml:space="preserve"> ADDIN ZOTERO_ITEM CSL_CITATION {"citationID":"usJEaC6m","properties":{"formattedCitation":"\\super 15\\uc0\\u8211{}18\\nosupersub{}","plainCitation":"15–18","noteIndex":0},"citationItems":[{"id":1266,"uris":["http://zotero.org/users/local/j4kVnGn0/items/53WJUIM8"],"itemData":{"id":1266,"type":"article-journal","abstract":"BACKGROUND: There are several studies that show a good genotype-phenotype correlation in congenital adrenal hyperplasia (CAH) due to 21-hydroxylase  deficiency (21OHD). However, there is well-documented evidence of inconsistency  in some cases. OBJECTIVES: To determine if there is a correlation between the  identified mutations and the clinical manifestations of 21OHD in the Cuban  population. METHODS: A cross-sectional descriptive study of all patients referred  for a molecular diagnosis of 21OHD in Cuba from January 2000 to December 2018.  The clinical manifestations of each patient were identified and classified  according to the phenotype. The CYP21A2 gene was analyzed for the presence of 5  point mutations involved in the pathogenesis of 21OHD (intron 2, deletion of 8bp,  I172N, P30L, and Q318X); correlation was sought between the phenotypic  characteristics and the frequencies of point mutations in the patients using the  Spearman test. RESULTS: A total of 55 patients underwent direct analysis of the  CYP21A2 gene in order to determine the presence of the 5 point mutations. Point  mutations were identified in 31 patients, which corresponded to 56%. A  statistically significant genotype-phenotype correlation was found. CONCLUSIONS:  The correlation between the detected molecular defect and the clinical expression  of 21OHD was reasonable in the Cuban population, which could allow phenotypic  predictions to be made from the genotype.","container-title":"International journal of endocrinology","DOI":"10.1155/2021/9316284","ISSN":"1687-8337 1687-8345","journalAbbreviation":"Int J Endocrinol","language":"eng","license":"Copyright © 2021 Tania Mayvel Espinosa Reyes et al.","note":"publisher-place: Egypt\nPMID: 33505466 \nPMCID: PMC7806372","page":"9316284","title":"Genotype-Phenotype Correlation in Patients with Congenital Adrenal Hyperplasia due to 21-Hydroxylase Deficiency in Cuba.","volume":"2021","author":[{"family":"Espinosa Reyes","given":"Tania Mayvel"},{"family":"Collazo Mesa","given":"Teresa"},{"family":"Lantigua Cruz","given":"Paulina Arasely"},{"family":"Agramonte Machado","given":"Adriana"},{"family":"Domínguez Alonso","given":"Emma"},{"family":"Falhammar","given":"Henrik"}],"issued":{"date-parts":[["2021"]]}}},{"id":1275,"uris":["http://zotero.org/users/local/j4kVnGn0/items/K4IVFYRS"],"itemData":{"id":1275,"type":"article-journal","abstract":"BACKGROUND: 21-Hydroxylase deficiency (21-OHD) caused by the CYP21A2 gene mutations is the most common form of congenital adrenal hyperplasia. It is an  autosomal recessive disorder that results in defective synthesis of cortisol and  aldosterone. The incidences of various CYP21A2 gene mutations and the  genotype-phenotype correlations vary among different populations. MATERIALS AND  METHODS: The clinical and molecular data of 22 patients were analyzed in this  study. All patients were recruited from the neonatal intensive care unit.  Locus-specific polymerase chain reaction and Sanger sequencing were applied to  identify gene micro-conversions, and multiplex ligation-dependent probe  amplification was used to detect large fragment deletions/conversions. Then, the  genotypes were categorized in to Null, A, B, C, and D groups to analyze the  relationships between genotypes and phenotypes. RESULTS: All 22 patients were  classified into classic salt wasting form of 21-OHD. Molecular defects were  detected in 44 alleles (100%). Micro-conversion mutation IVS2-13A/C&gt;G (70.5%) is  most common in our cohort, followed by large gene deletions and conversions  (22.7%). The other mutations present were p.R357 W (4.5%) and E6 Cluster (2.3%).  Genotypes of 22 patients (100%) were consistent with the predictive phenotypes.  CONCLUSION: In this study, we identified the mutation spectrum of CYP21A2 gene in  Chinese patients, especially the younger age cohort in pediatrics.  Micro-conversions were the most popular mutations. Moreover, the genotypes and  phenotypes were well correlated in this cohort of salt wasting 21-OHD recruited  from neonatal intensive care unit.","container-title":"Molecular genetics &amp; genomic medicine","DOI":"10.1002/mgg3.1501","ISSN":"2324-9269","issue":"11","journalAbbreviation":"Mol Genet Genomic Med","language":"eng","license":"© 2020 The Authors. Molecular Genetics &amp; Genomic Medicine published by Wiley Periodicals LLC.","note":"publisher-place: United States\nPMID: 32959514 \nPMCID: PMC7667303","page":"e1501","title":"The spectrum of CYP21A2 gene mutations in patients with classic salt wasting form of 2l-hydroxylase deficiency in a Chinese cohort.","volume":"8","author":[{"family":"Liu","given":"Yang"},{"family":"Zheng","given":"Jie"},{"family":"Liu","given":"Nan"},{"family":"Xu","given":"Xiaowei"},{"family":"Zhang","given":"Xinjie"},{"family":"Zhang","given":"Ying"},{"family":"Li","given":"Guoxu"},{"family":"Liu","given":"Geli"},{"family":"Cai","given":"Chunquan"},{"family":"Shu","given":"Jianbo"}],"issued":{"date-parts":[["2020",11]]}}},{"id":1277,"uris":["http://zotero.org/users/local/j4kVnGn0/items/GLRERFHF"],"itemData":{"id":1277,"type":"article-journal","abstract":"Background: Congenital adrenal hyperplasia (CAH) is a group of autosomal recessive disorders encompassing enzyme deficiencies in the adrenal steroidogenesis pathway that leads to impaired cortisol biosynthesis. 21-hydroxylase deficiency (21-OHD) is the most common type of CAH. Severe cases of 21-OHD may result in death during the neonatal or infancy periods or sterility in later life. The early detection and timely treatment of 21-OHD are essential. This study aimed to summarize the clinical and genotype characteristics of 21-OHD patients detected by neonatal screening in Nanjing, Jiangsu province of China from 2000 to 2019.Methods: Through a retrospective analysis of medical records, the clinical presentations, laboratory data, and molecular characteristics of 21-OHD patients detected by neonatal screening were evaluated.Results: Of the 1,211,322 newborns who were screened, 62 cases were diagnosed with 21-OHD with an incidence of 1:19858. 58 patients were identified with the classical salt-wasting type (SW) 21-OHD and four patients were identified with simple virilizing type (SV) 21-OHD. Amongst these patients, 19 cases patients accepted genetic analysis, and another 40 cases were received from other cities in Eastern China. Eighteen different variants were found in the CYP21A2 gene. The most frequent variants was c.293-13A/C&gt;G (36.29%). The most severe clinical manifestations were caused by large deletions or conversions of CYP21A2.Conclusions: This study suggested that neonatal screening effectively leads to the early diagnosis of 21-OHD and reduces fatal adrenal crisis. Our data provide additional information on the occurrence and genotype-phenotype correlation of 21-OHD in the Chinese population which can be used to better inform treatment and improve prognosis.","container-title":"Frontiers in Genetics","ISSN":"1664-8021","journalAbbreviation":"Frontiers in Genetics","title":"Neonatal Screening and Genotype-Phenotype Correlation of 21-Hydroxylase Deficiency in the Chinese Population","URL":"https://www.frontiersin.org/journals/genetics/articles/10.3389/fgene.2020.623125","volume":"11","author":[{"family":"Wang","given":"Xin"},{"family":"Wang","given":"Yanyun"},{"family":"Ma","given":"Dingyuan"},{"family":"Zhang","given":"Zhilei"},{"family":"Li","given":"Yahong"},{"family":"Yang","given":"Peiying"},{"family":"Sun","given":"Yun"},{"family":"Jiang","given":"Tao"}],"issued":{"date-parts":[["2021"]]}}},{"id":1276,"uris":["http://zotero.org/users/local/j4kVnGn0/items/6HIWJJFA"],"itemData":{"id":1276,"type":"article-journal","abstract":"Congenital Adrenal Hyperplasia (CAH) is a common autosomal recessive disorder of the adrenal steroidogenic pathway. The most common form of CAH is due to mutations in CYP21A2 gene. The incidence of mutations in the CYP21A2 gene and the genotype-phenotype correlations vary among different populations. Therefore, the aim of the study was to establish the spectrum of mutations and to evaluate genotype-phenotype correlation in Indian CAH population. Molecular defects were investigated in 110 alleles (55 patients) in the present study. Notably, we identified disease causing mutations in 106 of 110 (96.4%) alleles whereas the frequency of undetectable mutations was 3.6%. The i2g mutation (20%) was found to be the most common in CAH patients. The second most common mutation was p.R356W (14.5%). p.I172N and 8-bp deletion in exon 3 accounted for 12.7% of the mutated alleles. In descending order, the other mutations present were p.Q318X (9%), E6 Cluster (5.4%), p.V281L (3.6%) and large gene deletion (3.6%). Additionally, p.P267L and frameshift mutation (L307fs/F306+T) were also detected in the Indian cohort with frequency of 1.8% and 5.4% respectively.rare mutation/rare mutations in the CYP21A2 gene were detected viz., p.D234D (NCBI accession number - KF812549), p.F306V (NCBI accession number - KF534754), p.P357P (NCBI accession number - KF692099) and p.H365N (NCBI accession number - KF447378). The genotypes of the patients were categorized into four groups null, A, B and C. Of note, correlation between genotype and phenotype is sufficiently strong, to be of clinical significance in the genetic counseling.","container-title":"Clinica Chimica Acta","DOI":"10.1016/j.cca.2016.11.037","ISSN":"0009-8981","journalAbbreviation":"Clinica Chimica Acta","page":"189-194","title":"The spectrum of CYP21A2 mutations in Congenital Adrenal Hyperplasia in an Indian cohort","volume":"464","author":[{"family":"Khajuria","given":"Ragini"},{"family":"Walia","given":"Rama"},{"family":"Bhansali","given":"Anil"},{"family":"Prasad","given":"Rajendra"}],"issued":{"date-parts":[["2017",1,1]]}}}],"schema":"https://github.com/citation-style-language/schema/raw/master/csl-citation.json"} </w:instrText>
      </w:r>
      <w:r w:rsidR="00F339A0">
        <w:rPr>
          <w:rFonts w:ascii="Times New Roman" w:eastAsia="Times New Roman" w:hAnsi="Times New Roman" w:cs="Times New Roman"/>
          <w:color w:val="000000"/>
          <w:sz w:val="24"/>
          <w:szCs w:val="24"/>
        </w:rPr>
        <w:fldChar w:fldCharType="separate"/>
      </w:r>
      <w:r w:rsidR="00525D43" w:rsidRPr="00525D43">
        <w:rPr>
          <w:rFonts w:ascii="Times New Roman" w:hAnsi="Times New Roman" w:cs="Times New Roman"/>
          <w:sz w:val="24"/>
          <w:vertAlign w:val="superscript"/>
        </w:rPr>
        <w:t>15–18</w:t>
      </w:r>
      <w:r w:rsidR="00F339A0">
        <w:rPr>
          <w:rFonts w:ascii="Times New Roman" w:eastAsia="Times New Roman" w:hAnsi="Times New Roman" w:cs="Times New Roman"/>
          <w:color w:val="000000"/>
          <w:sz w:val="24"/>
          <w:szCs w:val="24"/>
        </w:rPr>
        <w:fldChar w:fldCharType="end"/>
      </w:r>
      <w:r w:rsidR="00771883">
        <w:rPr>
          <w:rFonts w:ascii="Times New Roman" w:eastAsia="Times New Roman" w:hAnsi="Times New Roman" w:cs="Times New Roman"/>
          <w:color w:val="000000"/>
          <w:sz w:val="24"/>
          <w:szCs w:val="24"/>
        </w:rPr>
        <w:t>,</w:t>
      </w:r>
      <w:r w:rsidR="00FD7E5F">
        <w:rPr>
          <w:rFonts w:ascii="Times New Roman" w:eastAsia="Times New Roman" w:hAnsi="Times New Roman" w:cs="Times New Roman"/>
          <w:color w:val="000000"/>
          <w:sz w:val="24"/>
          <w:szCs w:val="24"/>
        </w:rPr>
        <w:t xml:space="preserve"> and the Del in</w:t>
      </w:r>
      <w:r w:rsidR="009A1B33">
        <w:rPr>
          <w:rFonts w:ascii="Times New Roman" w:eastAsia="Times New Roman" w:hAnsi="Times New Roman" w:cs="Times New Roman"/>
          <w:color w:val="000000"/>
          <w:sz w:val="24"/>
          <w:szCs w:val="24"/>
        </w:rPr>
        <w:t xml:space="preserve"> Germans and Austrians, Dutch, Polish, and Chilean populations.</w:t>
      </w:r>
      <w:r w:rsidR="004E4116">
        <w:rPr>
          <w:rFonts w:ascii="Times New Roman" w:eastAsia="Times New Roman" w:hAnsi="Times New Roman" w:cs="Times New Roman"/>
          <w:color w:val="000000"/>
          <w:sz w:val="24"/>
          <w:szCs w:val="24"/>
        </w:rPr>
        <w:fldChar w:fldCharType="begin"/>
      </w:r>
      <w:r w:rsidR="004E4116">
        <w:rPr>
          <w:rFonts w:ascii="Times New Roman" w:eastAsia="Times New Roman" w:hAnsi="Times New Roman" w:cs="Times New Roman"/>
          <w:color w:val="000000"/>
          <w:sz w:val="24"/>
          <w:szCs w:val="24"/>
        </w:rPr>
        <w:instrText xml:space="preserve"> ADDIN ZOTERO_ITEM CSL_CITATION {"citationID":"cCbqJw2L","properties":{"formattedCitation":"\\super 19\\uc0\\u8211{}22\\nosupersub{}","plainCitation":"19–22","noteIndex":0},"citationItems":[{"id":1279,"uris":["http://zotero.org/users/local/j4kVnGn0/items/SS7MBY8J"],"itemData":{"id":1279,"type":"article-journal","container-title":"Endocrine Connections","DOI":"10.1530/EC-18-0281","issue":"2","journalAbbreviation":"Endocrine Connections","language":"English","note":"publisher-place: Bristol, UK\npublisher: Bioscientifica Ltd","page":"86-94","title":"Genotype/phenotype correlations in 538 congenital adrenal hyperplasia patients from Germany and Austria: discordances in milder genotypes and in screened versus prescreening patients","volume":"8","author":[{"family":"Riedl","given":"Stefan"},{"family":"Röhl","given":"Friedrich-Wilhelm"},{"family":"Bonfig","given":"Walter"},{"family":"Brämswig","given":"Jürgen"},{"family":"Richter-Unruh","given":"Annette"},{"family":"Fricke-Otto","given":"Susanne"},{"family":"Bettendorf","given":"Markus"},{"family":"Riepe","given":"Felix"},{"family":"Kriegshäuser","given":"Gernot"},{"family":"Schönau","given":"Eckhard"},{"family":"Even","given":"Gertrud"},{"family":"Hauffa","given":"Berthold"},{"family":"Dörr","given":"Helmuth-Günther"},{"family":"Holl","given":"Reinhard W"},{"family":"Mohnike","given":"Klaus"}],"issued":{"date-parts":[["2019",2,1]]}}},{"id":1281,"uris":["http://zotero.org/users/local/j4kVnGn0/items/NU2V7JDM"],"itemData":{"id":1281,"type":"article-journal","abstract":"Congenital adrenal hyperplasia (CAH) due to 21-hydroxylase deficiency is one of the most common autosomal recessive disorders. The aim of this study was to assess the frequencies of CYP21 mutations and to study genotype-phenotype correlation in a large population of Dutch 21-hydroxylase deficient patients. From 198 patients with 21-hydroxylase deficiency, 370 unrelated alleles were studied. Gene deletion/conversion was present in 118 of the 370 alleles (31.9%). The most frequent point mutations were I2G (28.1%) and I172N (12.4%). Clustering of pseudogene-derived mutations in exons 7 and 8 (V281L-F306 + 1nt-Q318X-R356W) on a single allele was found in seven unrelated alleles (1.9%). This cluster had been reported before in two other Dutch patients and in two patients in a study from New York, but not in other series worldwide. Six novel mutations were found: 995–996insA, 1123delC, G291R, S301Y, Y376X, and R483Q. Genotype-phenotype correlation (in 87 well documented patients) showed that 28 of 29 (97%) patients with two null mutations and 23 of 24 (96%) patients with mutation I2G (homozygous or heterozygous with a null mutation) had classic salt wasting. Patients with mutation I172N (homozygous or heterozygous with a null or I2G mutation) had salt wasting (2 of 17, 12%), simple virilizing (10 of 17, 59%), or nonclassic CAH (5 of 17, 29%). All six patients with mutation P30L, V281L, or P453S (homozygous or compound heterozygous) had nonclassic CAH. The frequency of CYP21 mutations and the genotype-phenotype correlation in 21-hydroxylase deficient patients in The Netherlands show in general high concordance with previous reports from other Western European countries. However, a cluster of four pseudogene-derived point mutations on exons 7 and 8 on a single allele, observed in almost 2% of the unrelated alleles, seems to be particular for the Dutch population and six novel CYP21 gene mutations were found.","container-title":"The Journal of Clinical Endocrinology &amp; Metabolism","DOI":"10.1210/jc.2002-021681","ISSN":"0021-972X","issue":"8","journalAbbreviation":"The Journal of Clinical Endocrinology &amp; Metabolism","page":"3852-3859","title":"CYP21 Gene Mutation Analysis in 198 Patients with 21-Hydroxylase Deficiency in The Netherlands: Six Novel Mutations and a Specific Cluster of Four Mutations","volume":"88","author":[{"family":"Stikkelbroeck","given":"Nike M. M. L."},{"family":"Hoefsloot","given":"Lies H."},{"family":"Wijs","given":"Ilse J.","non-dropping-particle":"de"},{"family":"Otten","given":"Barto J."},{"family":"Hermus","given":"Ad R. M. M."},{"family":"Sistermans","given":"Erik A."}],"issued":{"date-parts":[["2003",8,1]]}}},{"id":1280,"uris":["http://zotero.org/users/local/j4kVnGn0/items/JJI4UNBZ"],"itemData":{"id":1280,"type":"article-journal","abstract":"The prevalence of CYP21A2 gene variants and genotype-phenotype correlations are variable among populations. The aim of this study was to characterize CYP21A2 gene variants in adult patients with classical congenital adrenal hyperplasia (CCAH) from southern Poland and to analyze genotype-phenotype correlations.","container-title":"Hormones","DOI":"10.1007/s42000-022-00348-z","ISSN":"2520-8721","issue":"2","journalAbbreviation":"Hormones","page":"241-249","title":"Molecular analysis and genotype-phenotype correlations in patients with classical congenital adrenal hyperplasia due to 21-hydroxylase deficiency from southern Poland — experience of a clinical center","volume":"21","author":[{"family":"Kurzyńska","given":"Anna"},{"family":"Skalniak","given":"Anna"},{"family":"Franson","given":"Kim"},{"family":"Bistika","given":"Viola"},{"family":"Hubalewska-Dydejczyk","given":"Alicja"},{"family":"Przybylik-Mazurek","given":"Elwira"}],"issued":{"date-parts":[["2022",6,1]]}}},{"id":1264,"uris":["http://zotero.org/users/local/j4kVnGn0/items/IVC8297U"],"itemData":{"id":1264,"type":"article-journal","abstract":"The steroid 21-hydroxylase deficiency (21OHD) is the most frequent cause of congenital adrenal hyperplasia. We have characterized the disease-causing mutations in the 21-hydroxylase genes of 63 patients with salt-wasting congenital adrenal hyperplasia from a Chilean population of Hispanic origin, a group that has been scarcely evaluated. Using allele-specific PCR, lesions were identified in 97 chromosomes out of 126 tested (77%). The most frequent findings were the gene deletion or large gene conversion (LGC) = 22.9%, I2 splice = 19%, R357W = 12.7%, and Q319X = 10.5%. We did not find alleles with the mutation F308insT and we found three alleles with the cluster E6. The frequency of the point mutation R357W was at least two times more frequent than the one found in Caucasians populations, but similar to that communicated in Asian populations; this finding may be explained by the Asian ancestry of our South-Amerindian population. The frequency of Q319X was also high, similar only to those patients studied in Italy and in a neighboring Argentinian population. In summary, this is a genetic characterization of 21OHD made in an almost pure Hispanic population in Latin America. The high frequency of deletion of CYP21B gene, I2 splice, R357W, and Q319X mutations probably reflects the European-Caucasian-Spanish influence of the conquerors, mixed with Amerindians of Asian ancestry and modulated by other European immigrations.","container-title":"The Journal of Clinical Endocrinology &amp; Metabolism","DOI":"10.1210/jcem.83.9.5071","ISSN":"0021-972X","issue":"9","journalAbbreviation":"The Journal of Clinical Endocrinology &amp; Metabolism","page":"3357-3360","title":"Salt-Wasting Congenital Adrenal Hyperplasia: Detection of Mutations in CYP21B Gene in a Chilean Population1","volume":"83","author":[{"family":"Fardella","given":"Carlos E."},{"family":"Poggi","given":"Helena"},{"family":"Pineda","given":"Pedro"},{"family":"Soto","given":"Julia"},{"family":"Torrealba","given":"Isabel"},{"family":"Cattani","given":"AndreÍna"},{"family":"Oestreicher","given":"Eveline"},{"family":"Foradori","given":"Arnaldo"}],"issued":{"date-parts":[["1998",9,1]]}}}],"schema":"https://github.com/citation-style-language/schema/raw/master/csl-citation.json"} </w:instrText>
      </w:r>
      <w:r w:rsidR="004E4116">
        <w:rPr>
          <w:rFonts w:ascii="Times New Roman" w:eastAsia="Times New Roman" w:hAnsi="Times New Roman" w:cs="Times New Roman"/>
          <w:color w:val="000000"/>
          <w:sz w:val="24"/>
          <w:szCs w:val="24"/>
        </w:rPr>
        <w:fldChar w:fldCharType="separate"/>
      </w:r>
      <w:r w:rsidR="00525D43" w:rsidRPr="00525D43">
        <w:rPr>
          <w:rFonts w:ascii="Times New Roman" w:hAnsi="Times New Roman" w:cs="Times New Roman"/>
          <w:sz w:val="24"/>
          <w:vertAlign w:val="superscript"/>
        </w:rPr>
        <w:t>19–22</w:t>
      </w:r>
      <w:r w:rsidR="004E4116">
        <w:rPr>
          <w:rFonts w:ascii="Times New Roman" w:eastAsia="Times New Roman" w:hAnsi="Times New Roman" w:cs="Times New Roman"/>
          <w:color w:val="000000"/>
          <w:sz w:val="24"/>
          <w:szCs w:val="24"/>
        </w:rPr>
        <w:fldChar w:fldCharType="end"/>
      </w:r>
      <w:r w:rsidR="009A1B33">
        <w:rPr>
          <w:rFonts w:ascii="Times New Roman" w:eastAsia="Times New Roman" w:hAnsi="Times New Roman" w:cs="Times New Roman"/>
          <w:color w:val="000000"/>
          <w:sz w:val="24"/>
          <w:szCs w:val="24"/>
        </w:rPr>
        <w:t xml:space="preserve"> </w:t>
      </w:r>
      <w:r w:rsidR="00E8113C">
        <w:rPr>
          <w:rFonts w:ascii="Times New Roman" w:eastAsia="Times New Roman" w:hAnsi="Times New Roman" w:cs="Times New Roman"/>
          <w:color w:val="000000"/>
          <w:sz w:val="24"/>
          <w:szCs w:val="24"/>
        </w:rPr>
        <w:t xml:space="preserve">These variants </w:t>
      </w:r>
      <w:r w:rsidR="009F0784">
        <w:rPr>
          <w:rFonts w:ascii="Times New Roman" w:eastAsia="Times New Roman" w:hAnsi="Times New Roman" w:cs="Times New Roman"/>
          <w:color w:val="000000"/>
          <w:sz w:val="24"/>
          <w:szCs w:val="24"/>
        </w:rPr>
        <w:t>resulted</w:t>
      </w:r>
      <w:r w:rsidR="00E8113C">
        <w:rPr>
          <w:rFonts w:ascii="Times New Roman" w:eastAsia="Times New Roman" w:hAnsi="Times New Roman" w:cs="Times New Roman"/>
          <w:color w:val="000000"/>
          <w:sz w:val="24"/>
          <w:szCs w:val="24"/>
        </w:rPr>
        <w:t xml:space="preserve"> in less than 2% enzymatic activity, thus producing extremely low levels of cortisol and aldosterone. </w:t>
      </w:r>
      <w:r w:rsidR="005374F9">
        <w:rPr>
          <w:rFonts w:ascii="Times New Roman" w:eastAsia="Times New Roman" w:hAnsi="Times New Roman" w:cs="Times New Roman"/>
          <w:color w:val="000000"/>
          <w:sz w:val="24"/>
          <w:szCs w:val="24"/>
        </w:rPr>
        <w:t>D</w:t>
      </w:r>
      <w:r w:rsidR="00E8113C">
        <w:rPr>
          <w:rFonts w:ascii="Times New Roman" w:eastAsia="Times New Roman" w:hAnsi="Times New Roman" w:cs="Times New Roman"/>
          <w:color w:val="000000"/>
          <w:sz w:val="24"/>
          <w:szCs w:val="24"/>
        </w:rPr>
        <w:t xml:space="preserve">etection of these variants could aid </w:t>
      </w:r>
      <w:r w:rsidR="005374F9">
        <w:rPr>
          <w:rFonts w:ascii="Times New Roman" w:eastAsia="Times New Roman" w:hAnsi="Times New Roman" w:cs="Times New Roman"/>
          <w:color w:val="000000"/>
          <w:sz w:val="24"/>
          <w:szCs w:val="24"/>
        </w:rPr>
        <w:t xml:space="preserve">in the genetic counseling process, encompassing the phenotype prediction, course of CAH, </w:t>
      </w:r>
      <w:r w:rsidR="00C2622D">
        <w:rPr>
          <w:rFonts w:ascii="Times New Roman" w:eastAsia="Times New Roman" w:hAnsi="Times New Roman" w:cs="Times New Roman"/>
          <w:color w:val="000000"/>
          <w:sz w:val="24"/>
          <w:szCs w:val="24"/>
        </w:rPr>
        <w:t xml:space="preserve">carrier detection, </w:t>
      </w:r>
      <w:r w:rsidR="005374F9">
        <w:rPr>
          <w:rFonts w:ascii="Times New Roman" w:eastAsia="Times New Roman" w:hAnsi="Times New Roman" w:cs="Times New Roman"/>
          <w:color w:val="000000"/>
          <w:sz w:val="24"/>
          <w:szCs w:val="24"/>
        </w:rPr>
        <w:t xml:space="preserve">family planning, and </w:t>
      </w:r>
      <w:r w:rsidR="00664538">
        <w:rPr>
          <w:rFonts w:ascii="Times New Roman" w:eastAsia="Times New Roman" w:hAnsi="Times New Roman" w:cs="Times New Roman"/>
          <w:color w:val="000000"/>
          <w:sz w:val="24"/>
          <w:szCs w:val="24"/>
        </w:rPr>
        <w:t>management of the condition.</w:t>
      </w:r>
      <w:r w:rsidR="00BB655C">
        <w:rPr>
          <w:rFonts w:ascii="Times New Roman" w:eastAsia="Times New Roman" w:hAnsi="Times New Roman" w:cs="Times New Roman"/>
          <w:color w:val="000000"/>
          <w:sz w:val="24"/>
          <w:szCs w:val="24"/>
        </w:rPr>
        <w:fldChar w:fldCharType="begin"/>
      </w:r>
      <w:r w:rsidR="00BB655C">
        <w:rPr>
          <w:rFonts w:ascii="Times New Roman" w:eastAsia="Times New Roman" w:hAnsi="Times New Roman" w:cs="Times New Roman"/>
          <w:color w:val="000000"/>
          <w:sz w:val="24"/>
          <w:szCs w:val="24"/>
        </w:rPr>
        <w:instrText xml:space="preserve"> ADDIN ZOTERO_ITEM CSL_CITATION {"citationID":"njNH2q3F","properties":{"formattedCitation":"\\super 23\\nosupersub{}","plainCitation":"23","noteIndex":0},"citationItems":[{"id":1044,"uris":["http://zotero.org/users/local/j4kVnGn0/items/BFBPVLVT"],"itemData":{"id":1044,"type":"book","abstract":"Adrenal insufficiency in paediatric patients is mostly due to congenital adrenal hyperplasia (CAH), a severe monogenic disease caused by steroid 21-hydroxylase deficiency (21-OHD, encoded by the CYP21A2 gene) in 95% of cases. CYP21A2 genotyping requires careful analyses that guaranty gene-specific PCR, accurate definition of pseudogene-gene chimeras, gene duplications and allele dropout avoidance. A small panel of well-established disease-causing alterations enables a high diagnostic yield in confirming/discarding the disorder not only in symptomatic patients but also in those asymptomatic with borderline/positive results of 17-hydroxyprogesterone. Unfortunately, the complexity of this locus makes it today reluctant to high throughput techniques of massive sequencing. The strong relationship existing between the molecular alterations and the degree of enzymatic deficiency has allowed genetic studies to demonstrate its usefulness in predicting/classifying the clinical form of the disease. Other aspects of interest regarding molecular studies include its independence of physiological variations and analytical interferences, its usefulness in the diagnosis of simple virilizing forms in males and its inherent contribution to the genetic counseling, an aspect of great importance taking into account the high carrier frequency of CAH in the general population. Genetic testing of CYP21A2 constitutes an irreplaceable tool to detect severe alleles not just in family members of classical forms but also in mild late-onset forms of the disease and couples. It is also helpful in areas such as assisted reproduction and preimplantation diagnosis. Molecular diagnosis of 21-OHD under expert knowledge definitely contributes to a better management of the disease in every step of the clinical course.","ISBN":"1664-2392","note":"container-title: Frontiers in Endocrinology","title":"Molecular Diagnosis of Steroid 21-Hydroxylase Deficiency: A Practical Approach","URL":"https://www.frontiersin.org/articles/10.3389/fendo.2022.834549","volume":"13","author":[{"family":"Arriba","given":"María"},{"family":"Ezquieta","given":"Begoña"}],"issued":{"date-parts":[["2022"]]}}}],"schema":"https://github.com/citation-style-language/schema/raw/master/csl-citation.json"} </w:instrText>
      </w:r>
      <w:r w:rsidR="00BB655C">
        <w:rPr>
          <w:rFonts w:ascii="Times New Roman" w:eastAsia="Times New Roman" w:hAnsi="Times New Roman" w:cs="Times New Roman"/>
          <w:color w:val="000000"/>
          <w:sz w:val="24"/>
          <w:szCs w:val="24"/>
        </w:rPr>
        <w:fldChar w:fldCharType="separate"/>
      </w:r>
      <w:r w:rsidR="00525D43" w:rsidRPr="00525D43">
        <w:rPr>
          <w:rFonts w:ascii="Times New Roman" w:hAnsi="Times New Roman" w:cs="Times New Roman"/>
          <w:sz w:val="24"/>
          <w:vertAlign w:val="superscript"/>
        </w:rPr>
        <w:t>23</w:t>
      </w:r>
      <w:r w:rsidR="00BB655C">
        <w:rPr>
          <w:rFonts w:ascii="Times New Roman" w:eastAsia="Times New Roman" w:hAnsi="Times New Roman" w:cs="Times New Roman"/>
          <w:color w:val="000000"/>
          <w:sz w:val="24"/>
          <w:szCs w:val="24"/>
        </w:rPr>
        <w:fldChar w:fldCharType="end"/>
      </w:r>
    </w:p>
    <w:p w14:paraId="249D2A9E" w14:textId="77777777" w:rsidR="00664538" w:rsidRDefault="0066453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7CFE86AC" w14:textId="638DF1FE" w:rsidR="00664538" w:rsidRDefault="00D46A18">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Due to its complexity, genotyping the </w:t>
      </w:r>
      <w:r>
        <w:rPr>
          <w:rFonts w:ascii="Times New Roman" w:eastAsia="Times New Roman" w:hAnsi="Times New Roman" w:cs="Times New Roman"/>
          <w:i/>
          <w:iCs/>
          <w:color w:val="000000"/>
          <w:sz w:val="24"/>
          <w:szCs w:val="24"/>
        </w:rPr>
        <w:t xml:space="preserve">CYP21A2 </w:t>
      </w:r>
      <w:r>
        <w:rPr>
          <w:rFonts w:ascii="Times New Roman" w:eastAsia="Times New Roman" w:hAnsi="Times New Roman" w:cs="Times New Roman"/>
          <w:color w:val="000000"/>
          <w:sz w:val="24"/>
          <w:szCs w:val="24"/>
        </w:rPr>
        <w:t xml:space="preserve">required </w:t>
      </w:r>
      <w:r w:rsidR="00181165">
        <w:rPr>
          <w:rFonts w:ascii="Times New Roman" w:eastAsia="Times New Roman" w:hAnsi="Times New Roman" w:cs="Times New Roman"/>
          <w:color w:val="000000"/>
          <w:sz w:val="24"/>
          <w:szCs w:val="24"/>
        </w:rPr>
        <w:t xml:space="preserve">a combination of molecular analysis </w:t>
      </w:r>
      <w:r w:rsidR="009F0784">
        <w:rPr>
          <w:rFonts w:ascii="Times New Roman" w:eastAsia="Times New Roman" w:hAnsi="Times New Roman" w:cs="Times New Roman"/>
          <w:color w:val="000000"/>
          <w:sz w:val="24"/>
          <w:szCs w:val="24"/>
        </w:rPr>
        <w:t>techniques</w:t>
      </w:r>
      <w:r w:rsidR="00181165">
        <w:rPr>
          <w:rFonts w:ascii="Times New Roman" w:eastAsia="Times New Roman" w:hAnsi="Times New Roman" w:cs="Times New Roman"/>
          <w:color w:val="000000"/>
          <w:sz w:val="24"/>
          <w:szCs w:val="24"/>
        </w:rPr>
        <w:t xml:space="preserve"> to be able to detect </w:t>
      </w:r>
      <w:r w:rsidR="008847F5">
        <w:rPr>
          <w:rFonts w:ascii="Times New Roman" w:eastAsia="Times New Roman" w:hAnsi="Times New Roman" w:cs="Times New Roman"/>
          <w:color w:val="000000"/>
          <w:sz w:val="24"/>
          <w:szCs w:val="24"/>
        </w:rPr>
        <w:t xml:space="preserve">complex structural rearrangements, copy number variations (CNVs), </w:t>
      </w:r>
      <w:r w:rsidR="009F0784">
        <w:rPr>
          <w:rFonts w:ascii="Times New Roman" w:eastAsia="Times New Roman" w:hAnsi="Times New Roman" w:cs="Times New Roman"/>
          <w:color w:val="000000"/>
          <w:sz w:val="24"/>
          <w:szCs w:val="24"/>
        </w:rPr>
        <w:t>insertions</w:t>
      </w:r>
      <w:r w:rsidR="008847F5">
        <w:rPr>
          <w:rFonts w:ascii="Times New Roman" w:eastAsia="Times New Roman" w:hAnsi="Times New Roman" w:cs="Times New Roman"/>
          <w:color w:val="000000"/>
          <w:sz w:val="24"/>
          <w:szCs w:val="24"/>
        </w:rPr>
        <w:t>/</w:t>
      </w:r>
      <w:r w:rsidR="009F0784">
        <w:rPr>
          <w:rFonts w:ascii="Times New Roman" w:eastAsia="Times New Roman" w:hAnsi="Times New Roman" w:cs="Times New Roman"/>
          <w:color w:val="000000"/>
          <w:sz w:val="24"/>
          <w:szCs w:val="24"/>
        </w:rPr>
        <w:t>deletions</w:t>
      </w:r>
      <w:r w:rsidR="008847F5">
        <w:rPr>
          <w:rFonts w:ascii="Times New Roman" w:eastAsia="Times New Roman" w:hAnsi="Times New Roman" w:cs="Times New Roman"/>
          <w:color w:val="000000"/>
          <w:sz w:val="24"/>
          <w:szCs w:val="24"/>
        </w:rPr>
        <w:t xml:space="preserve">, and </w:t>
      </w:r>
      <w:r w:rsidR="009F0784">
        <w:rPr>
          <w:rFonts w:ascii="Times New Roman" w:eastAsia="Times New Roman" w:hAnsi="Times New Roman" w:cs="Times New Roman"/>
          <w:color w:val="000000"/>
          <w:sz w:val="24"/>
          <w:szCs w:val="24"/>
        </w:rPr>
        <w:t>single-nucleotide</w:t>
      </w:r>
      <w:r w:rsidR="008847F5">
        <w:rPr>
          <w:rFonts w:ascii="Times New Roman" w:eastAsia="Times New Roman" w:hAnsi="Times New Roman" w:cs="Times New Roman"/>
          <w:color w:val="000000"/>
          <w:sz w:val="24"/>
          <w:szCs w:val="24"/>
        </w:rPr>
        <w:t xml:space="preserve"> variants (SNVs). RFLP </w:t>
      </w:r>
      <w:r w:rsidR="0098155A">
        <w:rPr>
          <w:rFonts w:ascii="Times New Roman" w:eastAsia="Times New Roman" w:hAnsi="Times New Roman" w:cs="Times New Roman"/>
          <w:color w:val="000000"/>
          <w:sz w:val="24"/>
          <w:szCs w:val="24"/>
        </w:rPr>
        <w:t xml:space="preserve">is </w:t>
      </w:r>
      <w:r w:rsidR="008847F5">
        <w:rPr>
          <w:rFonts w:ascii="Times New Roman" w:eastAsia="Times New Roman" w:hAnsi="Times New Roman" w:cs="Times New Roman"/>
          <w:color w:val="000000"/>
          <w:sz w:val="24"/>
          <w:szCs w:val="24"/>
        </w:rPr>
        <w:t>a simple and specific method to detect variations in the DNA sequence, including SNPs and in/del</w:t>
      </w:r>
      <w:r w:rsidR="00436E0E">
        <w:rPr>
          <w:rFonts w:ascii="Times New Roman" w:eastAsia="Times New Roman" w:hAnsi="Times New Roman" w:cs="Times New Roman"/>
          <w:color w:val="000000"/>
          <w:sz w:val="24"/>
          <w:szCs w:val="24"/>
        </w:rPr>
        <w:t>. A thorough understanding of the s</w:t>
      </w:r>
      <w:r w:rsidR="00881889">
        <w:rPr>
          <w:rFonts w:ascii="Times New Roman" w:eastAsia="Times New Roman" w:hAnsi="Times New Roman" w:cs="Times New Roman"/>
          <w:color w:val="000000"/>
          <w:sz w:val="24"/>
          <w:szCs w:val="24"/>
        </w:rPr>
        <w:t xml:space="preserve">equence </w:t>
      </w:r>
      <w:r w:rsidR="0098155A">
        <w:rPr>
          <w:rFonts w:ascii="Times New Roman" w:eastAsia="Times New Roman" w:hAnsi="Times New Roman" w:cs="Times New Roman"/>
          <w:color w:val="000000"/>
          <w:sz w:val="24"/>
          <w:szCs w:val="24"/>
        </w:rPr>
        <w:t xml:space="preserve">is </w:t>
      </w:r>
      <w:r w:rsidR="00881889">
        <w:rPr>
          <w:rFonts w:ascii="Times New Roman" w:eastAsia="Times New Roman" w:hAnsi="Times New Roman" w:cs="Times New Roman"/>
          <w:color w:val="000000"/>
          <w:sz w:val="24"/>
          <w:szCs w:val="24"/>
        </w:rPr>
        <w:t>a requirement</w:t>
      </w:r>
      <w:r w:rsidR="00771883">
        <w:rPr>
          <w:rFonts w:ascii="Times New Roman" w:eastAsia="Times New Roman" w:hAnsi="Times New Roman" w:cs="Times New Roman"/>
          <w:color w:val="000000"/>
          <w:sz w:val="24"/>
          <w:szCs w:val="24"/>
        </w:rPr>
        <w:t xml:space="preserve">; </w:t>
      </w:r>
      <w:r w:rsidR="00881889">
        <w:rPr>
          <w:rFonts w:ascii="Times New Roman" w:eastAsia="Times New Roman" w:hAnsi="Times New Roman" w:cs="Times New Roman"/>
          <w:color w:val="000000"/>
          <w:sz w:val="24"/>
          <w:szCs w:val="24"/>
        </w:rPr>
        <w:t>thus</w:t>
      </w:r>
      <w:r w:rsidR="009F0784">
        <w:rPr>
          <w:rFonts w:ascii="Times New Roman" w:eastAsia="Times New Roman" w:hAnsi="Times New Roman" w:cs="Times New Roman"/>
          <w:color w:val="000000"/>
          <w:sz w:val="24"/>
          <w:szCs w:val="24"/>
        </w:rPr>
        <w:t>,</w:t>
      </w:r>
      <w:r w:rsidR="00881889">
        <w:rPr>
          <w:rFonts w:ascii="Times New Roman" w:eastAsia="Times New Roman" w:hAnsi="Times New Roman" w:cs="Times New Roman"/>
          <w:color w:val="000000"/>
          <w:sz w:val="24"/>
          <w:szCs w:val="24"/>
        </w:rPr>
        <w:t xml:space="preserve"> a</w:t>
      </w:r>
      <w:r w:rsidR="00060CFD">
        <w:rPr>
          <w:rFonts w:ascii="Times New Roman" w:eastAsia="Times New Roman" w:hAnsi="Times New Roman" w:cs="Times New Roman"/>
          <w:color w:val="000000"/>
          <w:sz w:val="24"/>
          <w:szCs w:val="24"/>
        </w:rPr>
        <w:t xml:space="preserve">n appropriate </w:t>
      </w:r>
      <w:r w:rsidR="00100786">
        <w:rPr>
          <w:rFonts w:ascii="Times New Roman" w:eastAsia="Times New Roman" w:hAnsi="Times New Roman" w:cs="Times New Roman"/>
          <w:color w:val="000000"/>
          <w:sz w:val="24"/>
          <w:szCs w:val="24"/>
        </w:rPr>
        <w:t>restriction enzyme could cleave the sequence at a specific restriction site</w:t>
      </w:r>
      <w:r w:rsidR="00D22D53">
        <w:rPr>
          <w:rFonts w:ascii="Times New Roman" w:eastAsia="Times New Roman" w:hAnsi="Times New Roman" w:cs="Times New Roman"/>
          <w:color w:val="000000"/>
          <w:sz w:val="24"/>
          <w:szCs w:val="24"/>
        </w:rPr>
        <w:t xml:space="preserve"> accurately</w:t>
      </w:r>
      <w:r w:rsidR="00100786">
        <w:rPr>
          <w:rFonts w:ascii="Times New Roman" w:eastAsia="Times New Roman" w:hAnsi="Times New Roman" w:cs="Times New Roman"/>
          <w:color w:val="000000"/>
          <w:sz w:val="24"/>
          <w:szCs w:val="24"/>
        </w:rPr>
        <w:t>.</w:t>
      </w:r>
      <w:r w:rsidR="00D22D53">
        <w:rPr>
          <w:rFonts w:ascii="Times New Roman" w:eastAsia="Times New Roman" w:hAnsi="Times New Roman" w:cs="Times New Roman"/>
          <w:color w:val="000000"/>
          <w:sz w:val="24"/>
          <w:szCs w:val="24"/>
        </w:rPr>
        <w:t xml:space="preserve"> Because of its cost-effectiveness and requirement for basic instruments, RFLP was a favored method to be applied as an </w:t>
      </w:r>
      <w:r w:rsidR="00AD28C4">
        <w:rPr>
          <w:rFonts w:ascii="Times New Roman" w:eastAsia="Times New Roman" w:hAnsi="Times New Roman" w:cs="Times New Roman"/>
          <w:color w:val="000000"/>
          <w:sz w:val="24"/>
          <w:szCs w:val="24"/>
        </w:rPr>
        <w:t>early diagnosis in a resource-limited setting, such as Indonesia</w:t>
      </w:r>
      <w:r w:rsidR="00913AFA">
        <w:rPr>
          <w:rFonts w:ascii="Times New Roman" w:eastAsia="Times New Roman" w:hAnsi="Times New Roman" w:cs="Times New Roman"/>
          <w:color w:val="000000"/>
          <w:sz w:val="24"/>
          <w:szCs w:val="24"/>
        </w:rPr>
        <w:t>.</w:t>
      </w:r>
      <w:r w:rsidR="00913AFA">
        <w:rPr>
          <w:rFonts w:ascii="Times New Roman" w:eastAsia="Times New Roman" w:hAnsi="Times New Roman" w:cs="Times New Roman"/>
          <w:color w:val="000000"/>
          <w:sz w:val="24"/>
          <w:szCs w:val="24"/>
        </w:rPr>
        <w:fldChar w:fldCharType="begin"/>
      </w:r>
      <w:r w:rsidR="00BB655C">
        <w:rPr>
          <w:rFonts w:ascii="Times New Roman" w:eastAsia="Times New Roman" w:hAnsi="Times New Roman" w:cs="Times New Roman"/>
          <w:color w:val="000000"/>
          <w:sz w:val="24"/>
          <w:szCs w:val="24"/>
        </w:rPr>
        <w:instrText xml:space="preserve"> ADDIN ZOTERO_ITEM CSL_CITATION {"citationID":"PnpX1C18","properties":{"formattedCitation":"\\super 24\\nosupersub{}","plainCitation":"24","noteIndex":0},"citationItems":[{"id":1285,"uris":["http://zotero.org/users/local/j4kVnGn0/items/86DF7IWR"],"itemData":{"id":1285,"type":"article-journal","abstract":"Polymerase chain reaction–single-strand conformation polymorphism (PCR-SSCP) and PCR–restriction fragment length polymorphism (PCR-RFLP) are two independent methods used in the post-amplification genotyping of DNA variations. Both techniques are used in a wide range of screening applications to characterize single nucleotide polymorphisms (SNPs). The PCR-SSCP enables the identification of a potentially causative unknown SNP that could not be identified by PCR-RFLP. However, because complicated steps are not required to perform PCR-RFLP, it is used in many applications. On the other hand, PCR-RFLP is easier to process in terms of time and handover experience, the detection of a particular unknown SNP by PCR-SSCP has further chances. The simplicity of PCR-RFLP does not mean that it is better than PCR-SSCP. The reason is the limited ability of PCR-RFLP to detect nucleotide variations, which often go undetected because each restriction enzyme (RE) scans only a few recognition sequences, and other sequences are ignored. Furthermore, the efficacy of PCR-SSCP is sometimes hindered by many optimizations and also lack of experience. As PCR-SSCP allows other sequences within an amplicon to be separated and characterized, the choice between PCR-RFLP and PCR-SSCP is largely dependent on the reason for each genotyping experiment. This review provides a useful guide for comparing PCR-RFLP and PCR-SSCP in terms of their concepts, efficiency, ease of use, interpretation, and sensitivity as well as several other parameters. The comparison is extended to the practical applications of both techniques in terms of their utilization in molecular diagnostics and related applications.","container-title":"Journal of Applied Biotechnology Reports","DOI":"10.29252/JABR.06.04.02","ISSN":"2322-1186","issue":"4","journalAbbreviation":"Journal of Applied Biotechnology Reports","language":"en","page":"137-144","title":"Exploring the Potential and Limitations of PCR-RFLP and PCR-SSCP for SNP Detection: A Review","volume":"6","author":[{"family":"Hashim","given":"Hayder O."},{"family":"Al-Shuhaib","given":"Mohammed Baqur S."}],"issued":{"date-parts":[["2019"]]}}}],"schema":"https://github.com/citation-style-language/schema/raw/master/csl-citation.json"} </w:instrText>
      </w:r>
      <w:r w:rsidR="00913AFA">
        <w:rPr>
          <w:rFonts w:ascii="Times New Roman" w:eastAsia="Times New Roman" w:hAnsi="Times New Roman" w:cs="Times New Roman"/>
          <w:color w:val="000000"/>
          <w:sz w:val="24"/>
          <w:szCs w:val="24"/>
        </w:rPr>
        <w:fldChar w:fldCharType="separate"/>
      </w:r>
      <w:r w:rsidR="00525D43" w:rsidRPr="00525D43">
        <w:rPr>
          <w:rFonts w:ascii="Times New Roman" w:hAnsi="Times New Roman" w:cs="Times New Roman"/>
          <w:sz w:val="24"/>
          <w:vertAlign w:val="superscript"/>
        </w:rPr>
        <w:t>24</w:t>
      </w:r>
      <w:r w:rsidR="00913AFA">
        <w:rPr>
          <w:rFonts w:ascii="Times New Roman" w:eastAsia="Times New Roman" w:hAnsi="Times New Roman" w:cs="Times New Roman"/>
          <w:color w:val="000000"/>
          <w:sz w:val="24"/>
          <w:szCs w:val="24"/>
        </w:rPr>
        <w:fldChar w:fldCharType="end"/>
      </w:r>
      <w:r w:rsidR="0098155A">
        <w:rPr>
          <w:rFonts w:ascii="Times New Roman" w:eastAsia="Times New Roman" w:hAnsi="Times New Roman" w:cs="Times New Roman"/>
          <w:color w:val="000000"/>
          <w:sz w:val="24"/>
          <w:szCs w:val="24"/>
        </w:rPr>
        <w:t xml:space="preserve"> Two of the most</w:t>
      </w:r>
      <w:r w:rsidR="00297AB9">
        <w:rPr>
          <w:rFonts w:ascii="Times New Roman" w:eastAsia="Times New Roman" w:hAnsi="Times New Roman" w:cs="Times New Roman"/>
          <w:color w:val="000000"/>
          <w:sz w:val="24"/>
          <w:szCs w:val="24"/>
        </w:rPr>
        <w:t xml:space="preserve"> </w:t>
      </w:r>
      <w:r w:rsidR="0098155A">
        <w:rPr>
          <w:rFonts w:ascii="Times New Roman" w:eastAsia="Times New Roman" w:hAnsi="Times New Roman" w:cs="Times New Roman"/>
          <w:color w:val="000000"/>
          <w:sz w:val="24"/>
          <w:szCs w:val="24"/>
        </w:rPr>
        <w:t xml:space="preserve">common point variants, i.e., IVS2-13A/C&gt;G and p.Gln318Ter, causing the most severe SW were successfully detected using this quick, simple, and reliable </w:t>
      </w:r>
      <w:r w:rsidR="00EE0495">
        <w:rPr>
          <w:rFonts w:ascii="Times New Roman" w:eastAsia="Times New Roman" w:hAnsi="Times New Roman" w:cs="Times New Roman"/>
          <w:color w:val="000000"/>
          <w:sz w:val="24"/>
          <w:szCs w:val="24"/>
        </w:rPr>
        <w:t>approach</w:t>
      </w:r>
      <w:r w:rsidR="0098155A">
        <w:rPr>
          <w:rFonts w:ascii="Times New Roman" w:eastAsia="Times New Roman" w:hAnsi="Times New Roman" w:cs="Times New Roman"/>
          <w:color w:val="000000"/>
          <w:sz w:val="24"/>
          <w:szCs w:val="24"/>
        </w:rPr>
        <w:t>, enabling prompt diagnosis and management of the long-life treatment course</w:t>
      </w:r>
      <w:r w:rsidR="007F15B9">
        <w:rPr>
          <w:rFonts w:ascii="Times New Roman" w:eastAsia="Times New Roman" w:hAnsi="Times New Roman" w:cs="Times New Roman"/>
          <w:color w:val="000000"/>
          <w:sz w:val="24"/>
          <w:szCs w:val="24"/>
        </w:rPr>
        <w:t xml:space="preserve"> of CAH</w:t>
      </w:r>
      <w:r w:rsidR="0098155A">
        <w:rPr>
          <w:rFonts w:ascii="Times New Roman" w:eastAsia="Times New Roman" w:hAnsi="Times New Roman" w:cs="Times New Roman"/>
          <w:color w:val="000000"/>
          <w:sz w:val="24"/>
          <w:szCs w:val="24"/>
        </w:rPr>
        <w:t xml:space="preserve">. </w:t>
      </w:r>
      <w:r w:rsidR="00AD28C4">
        <w:rPr>
          <w:rFonts w:ascii="Times New Roman" w:eastAsia="Times New Roman" w:hAnsi="Times New Roman" w:cs="Times New Roman"/>
          <w:color w:val="000000"/>
          <w:sz w:val="24"/>
          <w:szCs w:val="24"/>
        </w:rPr>
        <w:t xml:space="preserve">Additionally, this method was highly reliable </w:t>
      </w:r>
      <w:r w:rsidR="00FF612E">
        <w:rPr>
          <w:rFonts w:ascii="Times New Roman" w:eastAsia="Times New Roman" w:hAnsi="Times New Roman" w:cs="Times New Roman"/>
          <w:color w:val="000000"/>
          <w:sz w:val="24"/>
          <w:szCs w:val="24"/>
        </w:rPr>
        <w:t>due to the consistent results demonstrated across time and locations. By combining it with PCR using specifically designed primers, this procedure could yield high reproducibility</w:t>
      </w:r>
      <w:r w:rsidR="00913AFA">
        <w:rPr>
          <w:rFonts w:ascii="Times New Roman" w:eastAsia="Times New Roman" w:hAnsi="Times New Roman" w:cs="Times New Roman"/>
          <w:color w:val="000000"/>
          <w:sz w:val="24"/>
          <w:szCs w:val="24"/>
        </w:rPr>
        <w:t>.</w:t>
      </w:r>
      <w:r w:rsidR="00913AFA">
        <w:rPr>
          <w:rFonts w:ascii="Times New Roman" w:eastAsia="Times New Roman" w:hAnsi="Times New Roman" w:cs="Times New Roman"/>
          <w:color w:val="000000"/>
          <w:sz w:val="24"/>
          <w:szCs w:val="24"/>
        </w:rPr>
        <w:fldChar w:fldCharType="begin"/>
      </w:r>
      <w:r w:rsidR="00BB655C">
        <w:rPr>
          <w:rFonts w:ascii="Times New Roman" w:eastAsia="Times New Roman" w:hAnsi="Times New Roman" w:cs="Times New Roman"/>
          <w:color w:val="000000"/>
          <w:sz w:val="24"/>
          <w:szCs w:val="24"/>
        </w:rPr>
        <w:instrText xml:space="preserve"> ADDIN ZOTERO_ITEM CSL_CITATION {"citationID":"AuMUt6Lx","properties":{"formattedCitation":"\\super 25\\nosupersub{}","plainCitation":"25","noteIndex":0},"citationItems":[{"id":1287,"uris":["http://zotero.org/users/local/j4kVnGn0/items/MTJBZP3R"],"itemData":{"id":1287,"type":"webpage","container-title":"Nature Education","language":"English","title":"DNA fingerprinting using amplified fragment length polymorphisms (AFLP): No genome sequence required","URL":"https://www.nature.com/scitable/topicpage/dna-fingerprinting-using-amplified-fragment-length-polymorphisms-39051/","author":[{"family":"Chial","given":"Heidi"}],"accessed":{"date-parts":[["2024",6,26]]},"issued":{"date-parts":[["2008"]]}}}],"schema":"https://github.com/citation-style-language/schema/raw/master/csl-citation.json"} </w:instrText>
      </w:r>
      <w:r w:rsidR="00913AFA">
        <w:rPr>
          <w:rFonts w:ascii="Times New Roman" w:eastAsia="Times New Roman" w:hAnsi="Times New Roman" w:cs="Times New Roman"/>
          <w:color w:val="000000"/>
          <w:sz w:val="24"/>
          <w:szCs w:val="24"/>
        </w:rPr>
        <w:fldChar w:fldCharType="separate"/>
      </w:r>
      <w:r w:rsidR="00525D43" w:rsidRPr="00525D43">
        <w:rPr>
          <w:rFonts w:ascii="Times New Roman" w:hAnsi="Times New Roman" w:cs="Times New Roman"/>
          <w:sz w:val="24"/>
          <w:vertAlign w:val="superscript"/>
        </w:rPr>
        <w:t>25</w:t>
      </w:r>
      <w:r w:rsidR="00913AFA">
        <w:rPr>
          <w:rFonts w:ascii="Times New Roman" w:eastAsia="Times New Roman" w:hAnsi="Times New Roman" w:cs="Times New Roman"/>
          <w:color w:val="000000"/>
          <w:sz w:val="24"/>
          <w:szCs w:val="24"/>
        </w:rPr>
        <w:fldChar w:fldCharType="end"/>
      </w:r>
    </w:p>
    <w:p w14:paraId="2D459705" w14:textId="77777777" w:rsidR="00FF612E" w:rsidRDefault="00FF612E">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092D3FBB" w14:textId="45615675" w:rsidR="00FF612E" w:rsidRDefault="00D81309">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Despite its usefulness, RFLP lacked in some aspects. This method was time-consuming and labor-intensive due to the multiple steps involved</w:t>
      </w:r>
      <w:r w:rsidR="004B033B">
        <w:rPr>
          <w:rFonts w:ascii="Times New Roman" w:eastAsia="Times New Roman" w:hAnsi="Times New Roman" w:cs="Times New Roman"/>
          <w:color w:val="000000"/>
          <w:sz w:val="24"/>
          <w:szCs w:val="24"/>
        </w:rPr>
        <w:t xml:space="preserve"> to yield the results. RFLP could not fully identify human whole genome variation since it was limited to analyzing</w:t>
      </w:r>
      <w:r w:rsidR="001C016B">
        <w:rPr>
          <w:rFonts w:ascii="Times New Roman" w:eastAsia="Times New Roman" w:hAnsi="Times New Roman" w:cs="Times New Roman"/>
          <w:color w:val="000000"/>
          <w:sz w:val="24"/>
          <w:szCs w:val="24"/>
        </w:rPr>
        <w:t xml:space="preserve"> a</w:t>
      </w:r>
      <w:r w:rsidR="004B033B">
        <w:rPr>
          <w:rFonts w:ascii="Times New Roman" w:eastAsia="Times New Roman" w:hAnsi="Times New Roman" w:cs="Times New Roman"/>
          <w:color w:val="000000"/>
          <w:sz w:val="24"/>
          <w:szCs w:val="24"/>
        </w:rPr>
        <w:t xml:space="preserve"> particular variant at </w:t>
      </w:r>
      <w:r w:rsidR="009F0784">
        <w:rPr>
          <w:rFonts w:ascii="Times New Roman" w:eastAsia="Times New Roman" w:hAnsi="Times New Roman" w:cs="Times New Roman"/>
          <w:color w:val="000000"/>
          <w:sz w:val="24"/>
          <w:szCs w:val="24"/>
        </w:rPr>
        <w:t xml:space="preserve">a </w:t>
      </w:r>
      <w:r w:rsidR="001C016B">
        <w:rPr>
          <w:rFonts w:ascii="Times New Roman" w:eastAsia="Times New Roman" w:hAnsi="Times New Roman" w:cs="Times New Roman"/>
          <w:color w:val="000000"/>
          <w:sz w:val="24"/>
          <w:szCs w:val="24"/>
        </w:rPr>
        <w:t>specific restriction site</w:t>
      </w:r>
      <w:r w:rsidR="00913AFA">
        <w:rPr>
          <w:rFonts w:ascii="Times New Roman" w:eastAsia="Times New Roman" w:hAnsi="Times New Roman" w:cs="Times New Roman"/>
          <w:color w:val="000000"/>
          <w:sz w:val="24"/>
          <w:szCs w:val="24"/>
        </w:rPr>
        <w:t>.</w:t>
      </w:r>
      <w:r w:rsidR="00975957">
        <w:rPr>
          <w:rFonts w:ascii="Times New Roman" w:eastAsia="Times New Roman" w:hAnsi="Times New Roman" w:cs="Times New Roman"/>
          <w:color w:val="000000"/>
          <w:sz w:val="24"/>
          <w:szCs w:val="24"/>
        </w:rPr>
        <w:fldChar w:fldCharType="begin"/>
      </w:r>
      <w:r w:rsidR="00BB655C">
        <w:rPr>
          <w:rFonts w:ascii="Times New Roman" w:eastAsia="Times New Roman" w:hAnsi="Times New Roman" w:cs="Times New Roman"/>
          <w:color w:val="000000"/>
          <w:sz w:val="24"/>
          <w:szCs w:val="24"/>
        </w:rPr>
        <w:instrText xml:space="preserve"> ADDIN ZOTERO_ITEM CSL_CITATION {"citationID":"gffUp6Fj","properties":{"formattedCitation":"\\super 26\\nosupersub{}","plainCitation":"26","noteIndex":0},"citationItems":[{"id":1288,"uris":["http://zotero.org/users/local/j4kVnGn0/items/A5QSELUF"],"itemData":{"id":1288,"type":"article-journal","abstract":"Advances in molecular biotechnology have introduced new generations of molecular markers for use in the genetic improvement of farm animals. Consequently, more accurate genetic information can be obtained to better understand existing animal genetic resources. This review gives a brief summary on the development of genetic markers including both the classical genetic markers and more advanced DNA-based molecular markers. This review will help us better understand the characteristics of different genetic markers and the genetic diversity of animal genetic resources.","container-title":"Journal of Animal Science and Biotechnology","DOI":"10.1186/2049-1891-4-2","ISSN":"2049-1891","issue":"1","journalAbbreviation":"Journal of Animal Science and Biotechnology","page":"2","title":"Review on the development of genotyping methods for assessing farm animal diversity","volume":"4","author":[{"family":"Yang","given":"Wanjie"},{"family":"Kang","given":"Xiaolong"},{"family":"Yang","given":"Qingfeng"},{"family":"Lin","given":"Yao"},{"family":"Fang","given":"Meiying"}],"issued":{"date-parts":[["2013",1,23]]}}}],"schema":"https://github.com/citation-style-language/schema/raw/master/csl-citation.json"} </w:instrText>
      </w:r>
      <w:r w:rsidR="00975957">
        <w:rPr>
          <w:rFonts w:ascii="Times New Roman" w:eastAsia="Times New Roman" w:hAnsi="Times New Roman" w:cs="Times New Roman"/>
          <w:color w:val="000000"/>
          <w:sz w:val="24"/>
          <w:szCs w:val="24"/>
        </w:rPr>
        <w:fldChar w:fldCharType="separate"/>
      </w:r>
      <w:r w:rsidR="00525D43" w:rsidRPr="00525D43">
        <w:rPr>
          <w:rFonts w:ascii="Times New Roman" w:hAnsi="Times New Roman" w:cs="Times New Roman"/>
          <w:sz w:val="24"/>
          <w:vertAlign w:val="superscript"/>
        </w:rPr>
        <w:t>26</w:t>
      </w:r>
      <w:r w:rsidR="00975957">
        <w:rPr>
          <w:rFonts w:ascii="Times New Roman" w:eastAsia="Times New Roman" w:hAnsi="Times New Roman" w:cs="Times New Roman"/>
          <w:color w:val="000000"/>
          <w:sz w:val="24"/>
          <w:szCs w:val="24"/>
        </w:rPr>
        <w:fldChar w:fldCharType="end"/>
      </w:r>
      <w:r w:rsidR="001C016B">
        <w:rPr>
          <w:rFonts w:ascii="Times New Roman" w:eastAsia="Times New Roman" w:hAnsi="Times New Roman" w:cs="Times New Roman"/>
          <w:color w:val="000000"/>
          <w:sz w:val="24"/>
          <w:szCs w:val="24"/>
        </w:rPr>
        <w:t xml:space="preserve"> Therefore, this method was unsuitable for detecting novel variants because it relied on prior knowledge of restriction enzyme sites within the DNA sequence.</w:t>
      </w:r>
      <w:r w:rsidR="000E2F00">
        <w:rPr>
          <w:rFonts w:ascii="Times New Roman" w:eastAsia="Times New Roman" w:hAnsi="Times New Roman" w:cs="Times New Roman"/>
          <w:color w:val="000000"/>
          <w:sz w:val="24"/>
          <w:szCs w:val="24"/>
        </w:rPr>
        <w:t xml:space="preserve"> This disadvantage was critical in clinical settings where the identification of novel variants could influence diagnosis and treatment. </w:t>
      </w:r>
      <w:r w:rsidR="00253D83">
        <w:rPr>
          <w:rFonts w:ascii="Times New Roman" w:eastAsia="Times New Roman" w:hAnsi="Times New Roman" w:cs="Times New Roman"/>
          <w:color w:val="000000"/>
          <w:sz w:val="24"/>
          <w:szCs w:val="24"/>
        </w:rPr>
        <w:t xml:space="preserve">Furthermore, RFLP required </w:t>
      </w:r>
      <w:r w:rsidR="009F0784">
        <w:rPr>
          <w:rFonts w:ascii="Times New Roman" w:eastAsia="Times New Roman" w:hAnsi="Times New Roman" w:cs="Times New Roman"/>
          <w:color w:val="000000"/>
          <w:sz w:val="24"/>
          <w:szCs w:val="24"/>
        </w:rPr>
        <w:t xml:space="preserve">a </w:t>
      </w:r>
      <w:r w:rsidR="00253D83">
        <w:rPr>
          <w:rFonts w:ascii="Times New Roman" w:eastAsia="Times New Roman" w:hAnsi="Times New Roman" w:cs="Times New Roman"/>
          <w:color w:val="000000"/>
          <w:sz w:val="24"/>
          <w:szCs w:val="24"/>
        </w:rPr>
        <w:t>large quantity and quality of DNA</w:t>
      </w:r>
      <w:r w:rsidR="009F0784">
        <w:rPr>
          <w:rFonts w:ascii="Times New Roman" w:eastAsia="Times New Roman" w:hAnsi="Times New Roman" w:cs="Times New Roman"/>
          <w:color w:val="000000"/>
          <w:sz w:val="24"/>
          <w:szCs w:val="24"/>
        </w:rPr>
        <w:t>,</w:t>
      </w:r>
      <w:r w:rsidR="00253D83">
        <w:rPr>
          <w:rFonts w:ascii="Times New Roman" w:eastAsia="Times New Roman" w:hAnsi="Times New Roman" w:cs="Times New Roman"/>
          <w:color w:val="000000"/>
          <w:sz w:val="24"/>
          <w:szCs w:val="24"/>
        </w:rPr>
        <w:t xml:space="preserve"> which could be challenging to collect from specific sample types or in situations when there was a shortage of samples</w:t>
      </w:r>
      <w:r w:rsidR="00975957">
        <w:rPr>
          <w:rFonts w:ascii="Times New Roman" w:eastAsia="Times New Roman" w:hAnsi="Times New Roman" w:cs="Times New Roman"/>
          <w:color w:val="000000"/>
          <w:sz w:val="24"/>
          <w:szCs w:val="24"/>
        </w:rPr>
        <w:t>.</w:t>
      </w:r>
      <w:r w:rsidR="00975957">
        <w:rPr>
          <w:rFonts w:ascii="Times New Roman" w:eastAsia="Times New Roman" w:hAnsi="Times New Roman" w:cs="Times New Roman"/>
          <w:color w:val="000000"/>
          <w:sz w:val="24"/>
          <w:szCs w:val="24"/>
        </w:rPr>
        <w:fldChar w:fldCharType="begin"/>
      </w:r>
      <w:r w:rsidR="00BB655C">
        <w:rPr>
          <w:rFonts w:ascii="Times New Roman" w:eastAsia="Times New Roman" w:hAnsi="Times New Roman" w:cs="Times New Roman"/>
          <w:color w:val="000000"/>
          <w:sz w:val="24"/>
          <w:szCs w:val="24"/>
        </w:rPr>
        <w:instrText xml:space="preserve"> ADDIN ZOTERO_ITEM CSL_CITATION {"citationID":"9zUwuXzM","properties":{"formattedCitation":"\\super 27\\nosupersub{}","plainCitation":"27","noteIndex":0},"citationItems":[{"id":1289,"uris":["http://zotero.org/users/local/j4kVnGn0/items/B3JJICYT"],"itemData":{"id":1289,"type":"article-journal","abstract":"The recent advances in DNA profiling have made DNA evidence to be more widely accepted in courts. This has revolutionized the aspect of forensic odontology.  DNA profiling/DNA fingerprinting has come a long way from the conventional  fingerprints. DNA that is responsible for all the cell's activities, yields  valuable information both in the healthy and diseased individuals. When other  means of traditional identification become impossible following mass calamities  or fire explosions, teeth provide a rich source of DNA as they have a high  chemical as well as physical resistance. The recent evolution in the isolation of  DNA and the ways of running a DNA fingerprint are highlighted in this literature  review.","container-title":"Journal of pharmacy &amp; bioallied sciences","DOI":"10.4103/0975-7406.155863","ISSN":"0976-4879 0975-7406","issue":"Suppl 1","journalAbbreviation":"J Pharm Bioallied Sci","language":"eng","note":"publisher-place: India\nPMID: 26015692 \nPMCID: PMC4439652","page":"S138-141","title":"Role of DNA profiling in forensic odontology.","volume":"7","author":[{"family":"Sakari","given":"S. Leena"},{"family":"Jimson","given":"Sudha"},{"family":"Masthan","given":"K. M. K."},{"family":"Jacobina","given":"Jenita"}],"issued":{"date-parts":[["2015",4]]}}}],"schema":"https://github.com/citation-style-language/schema/raw/master/csl-citation.json"} </w:instrText>
      </w:r>
      <w:r w:rsidR="00975957">
        <w:rPr>
          <w:rFonts w:ascii="Times New Roman" w:eastAsia="Times New Roman" w:hAnsi="Times New Roman" w:cs="Times New Roman"/>
          <w:color w:val="000000"/>
          <w:sz w:val="24"/>
          <w:szCs w:val="24"/>
        </w:rPr>
        <w:fldChar w:fldCharType="separate"/>
      </w:r>
      <w:r w:rsidR="00525D43" w:rsidRPr="00525D43">
        <w:rPr>
          <w:rFonts w:ascii="Times New Roman" w:hAnsi="Times New Roman" w:cs="Times New Roman"/>
          <w:sz w:val="24"/>
          <w:vertAlign w:val="superscript"/>
        </w:rPr>
        <w:t>27</w:t>
      </w:r>
      <w:r w:rsidR="00975957">
        <w:rPr>
          <w:rFonts w:ascii="Times New Roman" w:eastAsia="Times New Roman" w:hAnsi="Times New Roman" w:cs="Times New Roman"/>
          <w:color w:val="000000"/>
          <w:sz w:val="24"/>
          <w:szCs w:val="24"/>
        </w:rPr>
        <w:fldChar w:fldCharType="end"/>
      </w:r>
      <w:r w:rsidR="00975957">
        <w:rPr>
          <w:rFonts w:ascii="Times New Roman" w:eastAsia="Times New Roman" w:hAnsi="Times New Roman" w:cs="Times New Roman"/>
          <w:color w:val="000000"/>
          <w:sz w:val="24"/>
          <w:szCs w:val="24"/>
        </w:rPr>
        <w:t xml:space="preserve"> </w:t>
      </w:r>
      <w:r w:rsidR="00DE008B">
        <w:rPr>
          <w:rFonts w:ascii="Times New Roman" w:eastAsia="Times New Roman" w:hAnsi="Times New Roman" w:cs="Times New Roman"/>
          <w:color w:val="000000"/>
          <w:sz w:val="24"/>
          <w:szCs w:val="24"/>
        </w:rPr>
        <w:t xml:space="preserve">Considering </w:t>
      </w:r>
      <w:r w:rsidR="009F0784">
        <w:rPr>
          <w:rFonts w:ascii="Times New Roman" w:eastAsia="Times New Roman" w:hAnsi="Times New Roman" w:cs="Times New Roman"/>
          <w:color w:val="000000"/>
          <w:sz w:val="24"/>
          <w:szCs w:val="24"/>
        </w:rPr>
        <w:t xml:space="preserve">that </w:t>
      </w:r>
      <w:r w:rsidR="00DE008B">
        <w:rPr>
          <w:rFonts w:ascii="Times New Roman" w:eastAsia="Times New Roman" w:hAnsi="Times New Roman" w:cs="Times New Roman"/>
          <w:color w:val="000000"/>
          <w:sz w:val="24"/>
          <w:szCs w:val="24"/>
        </w:rPr>
        <w:t xml:space="preserve">up until now there had been more than 200 pathogenic variants known to cause CAH, there is a better and more advanced technique to do a molecular analysis in </w:t>
      </w:r>
      <w:r w:rsidR="00DE008B">
        <w:rPr>
          <w:rFonts w:ascii="Times New Roman" w:eastAsia="Times New Roman" w:hAnsi="Times New Roman" w:cs="Times New Roman"/>
          <w:i/>
          <w:iCs/>
          <w:color w:val="000000"/>
          <w:sz w:val="24"/>
          <w:szCs w:val="24"/>
        </w:rPr>
        <w:t>CYP21A2</w:t>
      </w:r>
      <w:r w:rsidR="00C70194">
        <w:rPr>
          <w:rFonts w:ascii="Times New Roman" w:eastAsia="Times New Roman" w:hAnsi="Times New Roman" w:cs="Times New Roman"/>
          <w:color w:val="000000"/>
          <w:sz w:val="24"/>
          <w:szCs w:val="24"/>
        </w:rPr>
        <w:t>.</w:t>
      </w:r>
      <w:r w:rsidR="00C70194">
        <w:rPr>
          <w:rFonts w:ascii="Times New Roman" w:eastAsia="Times New Roman" w:hAnsi="Times New Roman" w:cs="Times New Roman"/>
          <w:color w:val="000000"/>
          <w:sz w:val="24"/>
          <w:szCs w:val="24"/>
        </w:rPr>
        <w:fldChar w:fldCharType="begin"/>
      </w:r>
      <w:r w:rsidR="00BB655C">
        <w:rPr>
          <w:rFonts w:ascii="Times New Roman" w:eastAsia="Times New Roman" w:hAnsi="Times New Roman" w:cs="Times New Roman"/>
          <w:color w:val="000000"/>
          <w:sz w:val="24"/>
          <w:szCs w:val="24"/>
        </w:rPr>
        <w:instrText xml:space="preserve"> ADDIN ZOTERO_ITEM CSL_CITATION {"citationID":"oXCd6dgZ","properties":{"formattedCitation":"\\super 28\\nosupersub{}","plainCitation":"28","noteIndex":0},"citationItems":[{"id":819,"uris":["http://zotero.org/users/local/j4kVnGn0/items/HLBH65DT"],"itemData":{"id":819,"type":"book","abstract":"Background: Molecular defects of CYP21A2 consistently decrease 21-hydroxylase activity and result in a variable expression of disease severity in patients with congenital adrenal hyperplasia (CAH).Aim: The genotype and biochemical findings were examined in an attempt to reveal any association to the degree of virilization in classic CAH patients.Methods: The study included 18 CAH patients with complete characterization of CYP21A2 mutations and were sorted based on the severity of the inherited mutations and the expected percentage of 21-hydroxylase enzyme activity.Results: Eleven out of the 18 patients manifested the SW form with the remaining seven exhibiting the SV form. The most frequent genetic defect in the classic salt-wasting (SW) and simple virilising (SV) forms was the IVS2-13A/C&gt;G (36.1%) mutation, followed by delEX1-3 (19.4%) and p.Ile172Asn (19.4%). Four patients, who shared a combination of two mutations belonging to the most severe type, manifested only the SW form. Four out of five patients who shared homozygosity in the IVS2-13A/C&gt;G mutation, demonstrated the SW form and only one demonstrated the SV form. All four patients who shared the p.Ile172Asn mutation, either in the homozygous or compound heterozygous state, manifested the SV form. Interestingly, a female neonate with SW, bearing the IVS2-13A/C&gt;G/Large del, exhibited complete male virilisation (Prader 5). The remaining four affected female new-borns also exhibited the SW form, with two of them virilised as Prader 3 and the other two as Prader 4. Virilisation with clitoromegaly was also observed in one female, who presented premature adrenarche and carried the least severe p.Pro30Leu mutation.Conclusion: The frequency of the underlying mutations in our patients, with the classic form of CAH, varies but were quite similar to the ones reported in the Mediterranean region. Therefore, the identification of severe CYP21A2 defects in Cypriot patients and their comparison with the incidence and severity in different populations, will create a valuable diagnostic tool for genetic counseling in the classic form of CAH.","ISBN":"1664-2392","note":"container-title: Frontiers in Endocrinology","title":"Genotype Is Associated to the Degree of Virilization in Patients With Classic Congenital Adrenal Hyperplasia","URL":"https://www.frontiersin.org/articles/10.3389/fendo.2018.00733","volume":"9","author":[{"family":"Neocleous","given":"Vassos"},{"family":"Fanis","given":"Pavlos"},{"family":"Phylactou","given":"Leonidas A"},{"family":"Skordis","given":"Nicos"}],"issued":{"date-parts":[["2018"]]}}}],"schema":"https://github.com/citation-style-language/schema/raw/master/csl-citation.json"} </w:instrText>
      </w:r>
      <w:r w:rsidR="00C70194">
        <w:rPr>
          <w:rFonts w:ascii="Times New Roman" w:eastAsia="Times New Roman" w:hAnsi="Times New Roman" w:cs="Times New Roman"/>
          <w:color w:val="000000"/>
          <w:sz w:val="24"/>
          <w:szCs w:val="24"/>
        </w:rPr>
        <w:fldChar w:fldCharType="separate"/>
      </w:r>
      <w:r w:rsidR="00525D43" w:rsidRPr="00525D43">
        <w:rPr>
          <w:rFonts w:ascii="Times New Roman" w:hAnsi="Times New Roman" w:cs="Times New Roman"/>
          <w:sz w:val="24"/>
          <w:vertAlign w:val="superscript"/>
        </w:rPr>
        <w:t>28</w:t>
      </w:r>
      <w:r w:rsidR="00C70194">
        <w:rPr>
          <w:rFonts w:ascii="Times New Roman" w:eastAsia="Times New Roman" w:hAnsi="Times New Roman" w:cs="Times New Roman"/>
          <w:color w:val="000000"/>
          <w:sz w:val="24"/>
          <w:szCs w:val="24"/>
        </w:rPr>
        <w:fldChar w:fldCharType="end"/>
      </w:r>
    </w:p>
    <w:p w14:paraId="4F090F76" w14:textId="77777777" w:rsidR="008C172F" w:rsidRDefault="008C172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61C9BA84" w14:textId="0C71924A" w:rsidR="008C172F" w:rsidRPr="00A2245F" w:rsidRDefault="00321BAD">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Presently, the multiplex ligation-probe dependent amplification (MLPA)</w:t>
      </w:r>
      <w:r w:rsidR="00A2245F">
        <w:rPr>
          <w:rFonts w:ascii="Times New Roman" w:eastAsia="Times New Roman" w:hAnsi="Times New Roman" w:cs="Times New Roman"/>
          <w:color w:val="000000"/>
          <w:sz w:val="24"/>
          <w:szCs w:val="24"/>
        </w:rPr>
        <w:t xml:space="preserve"> and Sanger sequencing </w:t>
      </w:r>
      <w:r w:rsidR="009F0784">
        <w:rPr>
          <w:rFonts w:ascii="Times New Roman" w:eastAsia="Times New Roman" w:hAnsi="Times New Roman" w:cs="Times New Roman"/>
          <w:color w:val="000000"/>
          <w:sz w:val="24"/>
          <w:szCs w:val="24"/>
        </w:rPr>
        <w:t>are</w:t>
      </w:r>
      <w:r w:rsidR="00A2245F">
        <w:rPr>
          <w:rFonts w:ascii="Times New Roman" w:eastAsia="Times New Roman" w:hAnsi="Times New Roman" w:cs="Times New Roman"/>
          <w:color w:val="000000"/>
          <w:sz w:val="24"/>
          <w:szCs w:val="24"/>
        </w:rPr>
        <w:t xml:space="preserve"> the most frequent method</w:t>
      </w:r>
      <w:r w:rsidR="00C603B4">
        <w:rPr>
          <w:rFonts w:ascii="Times New Roman" w:eastAsia="Times New Roman" w:hAnsi="Times New Roman" w:cs="Times New Roman"/>
          <w:color w:val="000000"/>
          <w:sz w:val="24"/>
          <w:szCs w:val="24"/>
        </w:rPr>
        <w:t>s</w:t>
      </w:r>
      <w:r w:rsidR="00A2245F">
        <w:rPr>
          <w:rFonts w:ascii="Times New Roman" w:eastAsia="Times New Roman" w:hAnsi="Times New Roman" w:cs="Times New Roman"/>
          <w:color w:val="000000"/>
          <w:sz w:val="24"/>
          <w:szCs w:val="24"/>
        </w:rPr>
        <w:t xml:space="preserve"> use</w:t>
      </w:r>
      <w:r w:rsidR="00C603B4">
        <w:rPr>
          <w:rFonts w:ascii="Times New Roman" w:eastAsia="Times New Roman" w:hAnsi="Times New Roman" w:cs="Times New Roman"/>
          <w:color w:val="000000"/>
          <w:sz w:val="24"/>
          <w:szCs w:val="24"/>
        </w:rPr>
        <w:t>d</w:t>
      </w:r>
      <w:r w:rsidR="00A2245F">
        <w:rPr>
          <w:rFonts w:ascii="Times New Roman" w:eastAsia="Times New Roman" w:hAnsi="Times New Roman" w:cs="Times New Roman"/>
          <w:color w:val="000000"/>
          <w:sz w:val="24"/>
          <w:szCs w:val="24"/>
        </w:rPr>
        <w:t xml:space="preserve"> for the </w:t>
      </w:r>
      <w:r w:rsidR="00A2245F">
        <w:rPr>
          <w:rFonts w:ascii="Times New Roman" w:eastAsia="Times New Roman" w:hAnsi="Times New Roman" w:cs="Times New Roman"/>
          <w:i/>
          <w:iCs/>
          <w:color w:val="000000"/>
          <w:sz w:val="24"/>
          <w:szCs w:val="24"/>
        </w:rPr>
        <w:t xml:space="preserve">CYP21A2 </w:t>
      </w:r>
      <w:r w:rsidR="00A2245F">
        <w:rPr>
          <w:rFonts w:ascii="Times New Roman" w:eastAsia="Times New Roman" w:hAnsi="Times New Roman" w:cs="Times New Roman"/>
          <w:color w:val="000000"/>
          <w:sz w:val="24"/>
          <w:szCs w:val="24"/>
        </w:rPr>
        <w:t xml:space="preserve">genotyping. The MLPA was a </w:t>
      </w:r>
      <w:r w:rsidR="009F0784">
        <w:rPr>
          <w:rFonts w:ascii="Times New Roman" w:eastAsia="Times New Roman" w:hAnsi="Times New Roman" w:cs="Times New Roman"/>
          <w:color w:val="000000"/>
          <w:sz w:val="24"/>
          <w:szCs w:val="24"/>
        </w:rPr>
        <w:t>high-throughput</w:t>
      </w:r>
      <w:r w:rsidR="00393678">
        <w:rPr>
          <w:rFonts w:ascii="Times New Roman" w:eastAsia="Times New Roman" w:hAnsi="Times New Roman" w:cs="Times New Roman"/>
          <w:color w:val="000000"/>
          <w:sz w:val="24"/>
          <w:szCs w:val="24"/>
        </w:rPr>
        <w:t xml:space="preserve"> </w:t>
      </w:r>
      <w:r w:rsidR="0024687C">
        <w:rPr>
          <w:rFonts w:ascii="Times New Roman" w:eastAsia="Times New Roman" w:hAnsi="Times New Roman" w:cs="Times New Roman"/>
          <w:color w:val="000000"/>
          <w:sz w:val="24"/>
          <w:szCs w:val="24"/>
        </w:rPr>
        <w:t xml:space="preserve">and less expensive </w:t>
      </w:r>
      <w:r w:rsidR="00C603B4">
        <w:rPr>
          <w:rFonts w:ascii="Times New Roman" w:eastAsia="Times New Roman" w:hAnsi="Times New Roman" w:cs="Times New Roman"/>
          <w:color w:val="000000"/>
          <w:sz w:val="24"/>
          <w:szCs w:val="24"/>
        </w:rPr>
        <w:t xml:space="preserve">procedure </w:t>
      </w:r>
      <w:r w:rsidR="009F0784">
        <w:rPr>
          <w:rFonts w:ascii="Times New Roman" w:eastAsia="Times New Roman" w:hAnsi="Times New Roman" w:cs="Times New Roman"/>
          <w:color w:val="000000"/>
          <w:sz w:val="24"/>
          <w:szCs w:val="24"/>
        </w:rPr>
        <w:t>that</w:t>
      </w:r>
      <w:r w:rsidR="009E6B48">
        <w:rPr>
          <w:rFonts w:ascii="Times New Roman" w:eastAsia="Times New Roman" w:hAnsi="Times New Roman" w:cs="Times New Roman"/>
          <w:color w:val="000000"/>
          <w:sz w:val="24"/>
          <w:szCs w:val="24"/>
        </w:rPr>
        <w:t xml:space="preserve"> could simultaneously detect CNVs in 40 target locations</w:t>
      </w:r>
      <w:r w:rsidR="009F0784">
        <w:rPr>
          <w:rFonts w:ascii="Times New Roman" w:eastAsia="Times New Roman" w:hAnsi="Times New Roman" w:cs="Times New Roman"/>
          <w:color w:val="000000"/>
          <w:sz w:val="24"/>
          <w:szCs w:val="24"/>
        </w:rPr>
        <w:t>,</w:t>
      </w:r>
      <w:r w:rsidR="009E6B48">
        <w:rPr>
          <w:rFonts w:ascii="Times New Roman" w:eastAsia="Times New Roman" w:hAnsi="Times New Roman" w:cs="Times New Roman"/>
          <w:color w:val="000000"/>
          <w:sz w:val="24"/>
          <w:szCs w:val="24"/>
        </w:rPr>
        <w:t xml:space="preserve"> </w:t>
      </w:r>
      <w:r w:rsidR="003F2867">
        <w:rPr>
          <w:rFonts w:ascii="Times New Roman" w:eastAsia="Times New Roman" w:hAnsi="Times New Roman" w:cs="Times New Roman"/>
          <w:color w:val="000000"/>
          <w:sz w:val="24"/>
          <w:szCs w:val="24"/>
        </w:rPr>
        <w:t xml:space="preserve">utilizing the </w:t>
      </w:r>
      <w:r w:rsidR="009F0784">
        <w:rPr>
          <w:rFonts w:ascii="Times New Roman" w:eastAsia="Times New Roman" w:hAnsi="Times New Roman" w:cs="Times New Roman"/>
          <w:color w:val="000000"/>
          <w:sz w:val="24"/>
          <w:szCs w:val="24"/>
        </w:rPr>
        <w:t>probe</w:t>
      </w:r>
      <w:r w:rsidR="00E70292">
        <w:rPr>
          <w:rFonts w:ascii="Times New Roman" w:eastAsia="Times New Roman" w:hAnsi="Times New Roman" w:cs="Times New Roman"/>
          <w:color w:val="000000"/>
          <w:sz w:val="24"/>
          <w:szCs w:val="24"/>
        </w:rPr>
        <w:t xml:space="preserve"> </w:t>
      </w:r>
      <w:r w:rsidR="00AB4822">
        <w:rPr>
          <w:rFonts w:ascii="Times New Roman" w:eastAsia="Times New Roman" w:hAnsi="Times New Roman" w:cs="Times New Roman"/>
          <w:color w:val="000000"/>
          <w:sz w:val="24"/>
          <w:szCs w:val="24"/>
        </w:rPr>
        <w:t>amplification</w:t>
      </w:r>
      <w:r w:rsidR="009B4EE3">
        <w:rPr>
          <w:rFonts w:ascii="Times New Roman" w:eastAsia="Times New Roman" w:hAnsi="Times New Roman" w:cs="Times New Roman"/>
          <w:color w:val="000000"/>
          <w:sz w:val="24"/>
          <w:szCs w:val="24"/>
        </w:rPr>
        <w:t xml:space="preserve"> and producing the results in less than 24 hours. </w:t>
      </w:r>
      <w:r w:rsidR="0024687C">
        <w:rPr>
          <w:rFonts w:ascii="Times New Roman" w:eastAsia="Times New Roman" w:hAnsi="Times New Roman" w:cs="Times New Roman"/>
          <w:color w:val="000000"/>
          <w:sz w:val="24"/>
          <w:szCs w:val="24"/>
        </w:rPr>
        <w:t xml:space="preserve">Moreover, MLPA required a small amount of DNA (20-50 ng) and </w:t>
      </w:r>
      <w:r w:rsidR="009F0784">
        <w:rPr>
          <w:rFonts w:ascii="Times New Roman" w:eastAsia="Times New Roman" w:hAnsi="Times New Roman" w:cs="Times New Roman"/>
          <w:color w:val="000000"/>
          <w:sz w:val="24"/>
          <w:szCs w:val="24"/>
        </w:rPr>
        <w:t xml:space="preserve">the </w:t>
      </w:r>
      <w:r w:rsidR="005E575C">
        <w:rPr>
          <w:rFonts w:ascii="Times New Roman" w:eastAsia="Times New Roman" w:hAnsi="Times New Roman" w:cs="Times New Roman"/>
          <w:color w:val="000000"/>
          <w:sz w:val="24"/>
          <w:szCs w:val="24"/>
        </w:rPr>
        <w:t xml:space="preserve">utilization of </w:t>
      </w:r>
      <w:r w:rsidR="0024687C">
        <w:rPr>
          <w:rFonts w:ascii="Times New Roman" w:eastAsia="Times New Roman" w:hAnsi="Times New Roman" w:cs="Times New Roman"/>
          <w:color w:val="000000"/>
          <w:sz w:val="24"/>
          <w:szCs w:val="24"/>
        </w:rPr>
        <w:t>standardized software</w:t>
      </w:r>
      <w:r w:rsidR="005E575C">
        <w:rPr>
          <w:rFonts w:ascii="Times New Roman" w:eastAsia="Times New Roman" w:hAnsi="Times New Roman" w:cs="Times New Roman"/>
          <w:color w:val="000000"/>
          <w:sz w:val="24"/>
          <w:szCs w:val="24"/>
        </w:rPr>
        <w:t xml:space="preserve"> to improve diagnostic accuracy and reduce human error</w:t>
      </w:r>
      <w:r w:rsidR="00C70194">
        <w:rPr>
          <w:rFonts w:ascii="Times New Roman" w:eastAsia="Times New Roman" w:hAnsi="Times New Roman" w:cs="Times New Roman"/>
          <w:color w:val="000000"/>
          <w:sz w:val="24"/>
          <w:szCs w:val="24"/>
        </w:rPr>
        <w:t>.</w:t>
      </w:r>
      <w:r w:rsidR="00C70194">
        <w:rPr>
          <w:rFonts w:ascii="Times New Roman" w:eastAsia="Times New Roman" w:hAnsi="Times New Roman" w:cs="Times New Roman"/>
          <w:color w:val="000000"/>
          <w:sz w:val="24"/>
          <w:szCs w:val="24"/>
        </w:rPr>
        <w:fldChar w:fldCharType="begin"/>
      </w:r>
      <w:r w:rsidR="00BB655C">
        <w:rPr>
          <w:rFonts w:ascii="Times New Roman" w:eastAsia="Times New Roman" w:hAnsi="Times New Roman" w:cs="Times New Roman"/>
          <w:color w:val="000000"/>
          <w:sz w:val="24"/>
          <w:szCs w:val="24"/>
        </w:rPr>
        <w:instrText xml:space="preserve"> ADDIN ZOTERO_ITEM CSL_CITATION {"citationID":"JzeRT3cZ","properties":{"formattedCitation":"\\super 29\\nosupersub{}","plainCitation":"29","noteIndex":0},"citationItems":[{"id":1292,"uris":["http://zotero.org/users/local/j4kVnGn0/items/7PIZGP2B"],"itemData":{"id":1292,"type":"article-journal","abstract":"Multiplex ligation-dependent probe amplification (MLPA) is a multiplex copy number analysis tool which is routinely used to detect large mutations in genetic diseases. With continuous modifications, MLPA has been extended for the detection of DNA methylation variation, single nucleotide polymorphisms, chromosome abnormalities and other forms of genomic variation. The combination with other techniques has even enlarged the application of MLPA in molecular diagnostics of various human diseases. In this review, the principle of MLPA-based techniques as well as their main and latest applications in clinical detection are described. It is believed that with improved automation, increased multiplexing, lower cost and the combination with other technologies, MLPA will play an increasingly important role in molecular diagnosis of human disease.","container-title":"BioTechniques","DOI":"10.2144/btn-2022-0017","ISSN":"0736-6205","issue":"4","journalAbbreviation":"BioTechniques","note":"publisher: Taylor &amp; Francis","page":"205-213","title":"Advances of Multiplex Ligation-dependent Probe Amplification Technology in Molecular Diagnostics","volume":"73","author":[{"family":"Fu","given":"Xiaoni"},{"family":"Shi","given":"Yinmin"},{"family":"Ma","given":"Jiying"},{"family":"Zhang","given":"Kaiqian"},{"family":"Wang","given":"Guowei"},{"family":"Li","given":"Gang"},{"family":"Xiao","given":"Lei"},{"family":"Wang","given":"Huijuan"}],"issued":{"date-parts":[["2022",10,1]]}}}],"schema":"https://github.com/citation-style-language/schema/raw/master/csl-citation.json"} </w:instrText>
      </w:r>
      <w:r w:rsidR="00C70194">
        <w:rPr>
          <w:rFonts w:ascii="Times New Roman" w:eastAsia="Times New Roman" w:hAnsi="Times New Roman" w:cs="Times New Roman"/>
          <w:color w:val="000000"/>
          <w:sz w:val="24"/>
          <w:szCs w:val="24"/>
        </w:rPr>
        <w:fldChar w:fldCharType="separate"/>
      </w:r>
      <w:r w:rsidR="00525D43" w:rsidRPr="00525D43">
        <w:rPr>
          <w:rFonts w:ascii="Times New Roman" w:hAnsi="Times New Roman" w:cs="Times New Roman"/>
          <w:sz w:val="24"/>
          <w:vertAlign w:val="superscript"/>
        </w:rPr>
        <w:t>29</w:t>
      </w:r>
      <w:r w:rsidR="00C70194">
        <w:rPr>
          <w:rFonts w:ascii="Times New Roman" w:eastAsia="Times New Roman" w:hAnsi="Times New Roman" w:cs="Times New Roman"/>
          <w:color w:val="000000"/>
          <w:sz w:val="24"/>
          <w:szCs w:val="24"/>
        </w:rPr>
        <w:fldChar w:fldCharType="end"/>
      </w:r>
      <w:r w:rsidR="002C341A" w:rsidRPr="00C70194">
        <w:rPr>
          <w:rFonts w:ascii="Times New Roman" w:eastAsia="Times New Roman" w:hAnsi="Times New Roman" w:cs="Times New Roman"/>
          <w:color w:val="000000"/>
          <w:sz w:val="24"/>
          <w:szCs w:val="24"/>
          <w:lang w:val="en-ID"/>
        </w:rPr>
        <w:t xml:space="preserve"> </w:t>
      </w:r>
      <w:r w:rsidR="00D649F1">
        <w:rPr>
          <w:rFonts w:ascii="Times New Roman" w:eastAsia="Times New Roman" w:hAnsi="Times New Roman" w:cs="Times New Roman"/>
          <w:color w:val="000000"/>
          <w:sz w:val="24"/>
          <w:szCs w:val="24"/>
        </w:rPr>
        <w:t xml:space="preserve">To identify point mutations, Sanger sequencing provided comprehensive details on individual gene sequences. </w:t>
      </w:r>
      <w:r w:rsidR="00566070">
        <w:rPr>
          <w:rFonts w:ascii="Times New Roman" w:eastAsia="Times New Roman" w:hAnsi="Times New Roman" w:cs="Times New Roman"/>
          <w:color w:val="000000"/>
          <w:sz w:val="24"/>
          <w:szCs w:val="24"/>
        </w:rPr>
        <w:t xml:space="preserve">Integration of these methods would allow a more thorough understanding of </w:t>
      </w:r>
      <w:r w:rsidR="00B10999">
        <w:rPr>
          <w:rFonts w:ascii="Times New Roman" w:eastAsia="Times New Roman" w:hAnsi="Times New Roman" w:cs="Times New Roman"/>
          <w:color w:val="000000"/>
          <w:sz w:val="24"/>
          <w:szCs w:val="24"/>
        </w:rPr>
        <w:t xml:space="preserve">the genetic basis of the disease, such as 21OHD, in which </w:t>
      </w:r>
      <w:r w:rsidR="00304DC3">
        <w:rPr>
          <w:rFonts w:ascii="Times New Roman" w:eastAsia="Times New Roman" w:hAnsi="Times New Roman" w:cs="Times New Roman"/>
          <w:color w:val="000000"/>
          <w:sz w:val="24"/>
          <w:szCs w:val="24"/>
        </w:rPr>
        <w:t xml:space="preserve">a single method alone might not identify all mutations. Currently, MLPA and Sanger sequencing </w:t>
      </w:r>
      <w:r w:rsidR="009F0784">
        <w:rPr>
          <w:rFonts w:ascii="Times New Roman" w:eastAsia="Times New Roman" w:hAnsi="Times New Roman" w:cs="Times New Roman"/>
          <w:color w:val="000000"/>
          <w:sz w:val="24"/>
          <w:szCs w:val="24"/>
        </w:rPr>
        <w:t>have</w:t>
      </w:r>
      <w:r w:rsidR="00304DC3">
        <w:rPr>
          <w:rFonts w:ascii="Times New Roman" w:eastAsia="Times New Roman" w:hAnsi="Times New Roman" w:cs="Times New Roman"/>
          <w:color w:val="000000"/>
          <w:sz w:val="24"/>
          <w:szCs w:val="24"/>
        </w:rPr>
        <w:t xml:space="preserve"> been applied in many laboratories as a gold-standard method for CAH molecular analysis</w:t>
      </w:r>
      <w:r w:rsidR="00C70194">
        <w:rPr>
          <w:rFonts w:ascii="Times New Roman" w:eastAsia="Times New Roman" w:hAnsi="Times New Roman" w:cs="Times New Roman"/>
          <w:color w:val="000000"/>
          <w:sz w:val="24"/>
          <w:szCs w:val="24"/>
        </w:rPr>
        <w:t>.</w:t>
      </w:r>
      <w:r w:rsidR="00C70194">
        <w:rPr>
          <w:rFonts w:ascii="Times New Roman" w:eastAsia="Times New Roman" w:hAnsi="Times New Roman" w:cs="Times New Roman"/>
          <w:color w:val="000000"/>
          <w:sz w:val="24"/>
          <w:szCs w:val="24"/>
        </w:rPr>
        <w:fldChar w:fldCharType="begin"/>
      </w:r>
      <w:r w:rsidR="00BB655C">
        <w:rPr>
          <w:rFonts w:ascii="Times New Roman" w:eastAsia="Times New Roman" w:hAnsi="Times New Roman" w:cs="Times New Roman"/>
          <w:color w:val="000000"/>
          <w:sz w:val="24"/>
          <w:szCs w:val="24"/>
        </w:rPr>
        <w:instrText xml:space="preserve"> ADDIN ZOTERO_ITEM CSL_CITATION {"citationID":"sUl7ZBb0","properties":{"formattedCitation":"\\super 30\\nosupersub{}","plainCitation":"30","noteIndex":0},"citationItems":[{"id":1296,"uris":["http://zotero.org/users/local/j4kVnGn0/items/S3EYMPYD"],"itemData":{"id":1296,"type":"article-journal","abstract":"Genetic analysis of congenital adrenal hyperplasia (CAH) has been challenging due to high homology between CYP21A2 and its pseudogene CYP21A1P. This study aimed to evaluate the clinical utility of long-read sequencing (LRS) in diagnosis of CAH due to 21-hydroxylase deficiency by comparing with multiplex ligation-dependent probe amplification (MLPA) plus Sanger sequencing. In this retrospective study, 69 samples including 49 probands from 47 families with high-risk of CAH were enrolled and blindly subjected to detection of CAH by LRS. The genotype results were compared with control methods, and discordant samples were validated by additional Sanger sequencing. LRS successfully identified biallelic variants of CYP21A2 in the 39 probands diagnosed as CAH. The remaining 10 probands were not CAH patients. Additionally, LRS directly identified two pathogenic SNVs (c.293-13C/A&gt;G and c.955C&gt;T) in the presence of interference caused by nearby indels. The cis-trans configuration of two or more single-nucleotide variants and indels (SNVs/indels) identified in 18 samples was directly determined by LRS without family analysis. Eight CYP21A1P/A2 or TNXA/B deletion chimeras comprised of five subtypes were identified and the junction sites were precisely determined. Moreover, LRS determined the exact genotype in two probands that had three heterozygous SNVs/indels and duplication, which could not be clarified by control methods. These findings highlight that LRS could assist in more accurate genotype imputation and more precise CAH diagnosis.","container-title":"The Journal of Molecular Diagnostics","DOI":"10.1016/j.jmoldx.2024.05.009","ISSN":"1525-1578","journalAbbreviation":"The Journal of Molecular Diagnostics","title":"Improved genetic characterization of congenital adrenal hyperplasia by long-read sequencing compared with multiplex ligation-dependent probe amplification plus Sanger sequencing","URL":"https://www.sciencedirect.com/science/article/pii/S1525157824001296","author":[{"family":"Yuan","given":"Dejian"},{"family":"Cai","given":"Ren"},{"family":"Mao","given":"Aiping"},{"family":"Tan","given":"Jianqiang"},{"family":"Zhong","given":"Qingyan"},{"family":"Zeng","given":"Dingyuan"},{"family":"Tang","given":"Ning"},{"family":"Wei","given":"Xiaobao"},{"family":"Huang","given":"Jun"},{"family":"Zhang","given":"Yu"},{"family":"Chen","given":"Dayu"},{"family":"Yang","given":"Jinling"},{"family":"Li","given":"Yuanxiu"},{"family":"Zheng","given":"Xiudan"},{"family":"Li","given":"Jiaqi"},{"family":"Li","given":"Danhua"},{"family":"Yan","given":"Tizhen"}],"issued":{"date-parts":[["2024",6,24]]}}}],"schema":"https://github.com/citation-style-language/schema/raw/master/csl-citation.json"} </w:instrText>
      </w:r>
      <w:r w:rsidR="00C70194">
        <w:rPr>
          <w:rFonts w:ascii="Times New Roman" w:eastAsia="Times New Roman" w:hAnsi="Times New Roman" w:cs="Times New Roman"/>
          <w:color w:val="000000"/>
          <w:sz w:val="24"/>
          <w:szCs w:val="24"/>
        </w:rPr>
        <w:fldChar w:fldCharType="separate"/>
      </w:r>
      <w:r w:rsidR="00525D43" w:rsidRPr="00525D43">
        <w:rPr>
          <w:rFonts w:ascii="Times New Roman" w:hAnsi="Times New Roman" w:cs="Times New Roman"/>
          <w:sz w:val="24"/>
          <w:vertAlign w:val="superscript"/>
        </w:rPr>
        <w:t>30</w:t>
      </w:r>
      <w:r w:rsidR="00C70194">
        <w:rPr>
          <w:rFonts w:ascii="Times New Roman" w:eastAsia="Times New Roman" w:hAnsi="Times New Roman" w:cs="Times New Roman"/>
          <w:color w:val="000000"/>
          <w:sz w:val="24"/>
          <w:szCs w:val="24"/>
        </w:rPr>
        <w:fldChar w:fldCharType="end"/>
      </w:r>
    </w:p>
    <w:p w14:paraId="3298A8E6" w14:textId="77777777" w:rsidR="008E6C80" w:rsidRDefault="008E6C80">
      <w:pPr>
        <w:spacing w:after="0" w:line="240" w:lineRule="auto"/>
        <w:ind w:left="0" w:hanging="2"/>
        <w:jc w:val="both"/>
        <w:rPr>
          <w:rFonts w:ascii="Times New Roman" w:eastAsia="Times New Roman" w:hAnsi="Times New Roman" w:cs="Times New Roman"/>
          <w:sz w:val="24"/>
          <w:szCs w:val="24"/>
        </w:rPr>
      </w:pPr>
    </w:p>
    <w:p w14:paraId="58F47C6A" w14:textId="578986B2" w:rsidR="00E52126" w:rsidRPr="009F3982" w:rsidRDefault="00BA14DD">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establishment of </w:t>
      </w:r>
      <w:r w:rsidR="00F21680">
        <w:rPr>
          <w:rFonts w:ascii="Times New Roman" w:eastAsia="Times New Roman" w:hAnsi="Times New Roman" w:cs="Times New Roman"/>
          <w:sz w:val="24"/>
          <w:szCs w:val="24"/>
        </w:rPr>
        <w:t xml:space="preserve">a PCR-RFLP technique as a rapid molecular screening for the most common variants of SW CAH shed light on the accessibility of genetic analysis of </w:t>
      </w:r>
      <w:r w:rsidR="009F3982">
        <w:rPr>
          <w:rFonts w:ascii="Times New Roman" w:eastAsia="Times New Roman" w:hAnsi="Times New Roman" w:cs="Times New Roman"/>
          <w:sz w:val="24"/>
          <w:szCs w:val="24"/>
        </w:rPr>
        <w:t xml:space="preserve">the </w:t>
      </w:r>
      <w:r w:rsidR="009F3982">
        <w:rPr>
          <w:rFonts w:ascii="Times New Roman" w:eastAsia="Times New Roman" w:hAnsi="Times New Roman" w:cs="Times New Roman"/>
          <w:i/>
          <w:iCs/>
          <w:sz w:val="24"/>
          <w:szCs w:val="24"/>
        </w:rPr>
        <w:t>CYP21A2</w:t>
      </w:r>
      <w:r w:rsidR="009F3982">
        <w:rPr>
          <w:rFonts w:ascii="Times New Roman" w:eastAsia="Times New Roman" w:hAnsi="Times New Roman" w:cs="Times New Roman"/>
          <w:sz w:val="24"/>
          <w:szCs w:val="24"/>
        </w:rPr>
        <w:t xml:space="preserve">. Early genetic counseling could be provided to the patient and the </w:t>
      </w:r>
      <w:proofErr w:type="gramStart"/>
      <w:r w:rsidR="009F3982">
        <w:rPr>
          <w:rFonts w:ascii="Times New Roman" w:eastAsia="Times New Roman" w:hAnsi="Times New Roman" w:cs="Times New Roman"/>
          <w:sz w:val="24"/>
          <w:szCs w:val="24"/>
        </w:rPr>
        <w:t>family</w:t>
      </w:r>
      <w:r w:rsidR="00887E15">
        <w:rPr>
          <w:rFonts w:ascii="Times New Roman" w:eastAsia="Times New Roman" w:hAnsi="Times New Roman" w:cs="Times New Roman"/>
          <w:sz w:val="24"/>
          <w:szCs w:val="24"/>
        </w:rPr>
        <w:t>,</w:t>
      </w:r>
      <w:proofErr w:type="gramEnd"/>
      <w:r w:rsidR="00887E15">
        <w:rPr>
          <w:rFonts w:ascii="Times New Roman" w:eastAsia="Times New Roman" w:hAnsi="Times New Roman" w:cs="Times New Roman"/>
          <w:sz w:val="24"/>
          <w:szCs w:val="24"/>
        </w:rPr>
        <w:t xml:space="preserve"> thus they would be more prepared to deal with and adjust to the course of CAH.</w:t>
      </w:r>
      <w:r w:rsidR="003D4130">
        <w:rPr>
          <w:rFonts w:ascii="Times New Roman" w:eastAsia="Times New Roman" w:hAnsi="Times New Roman" w:cs="Times New Roman"/>
          <w:sz w:val="24"/>
          <w:szCs w:val="24"/>
        </w:rPr>
        <w:t xml:space="preserve"> In the era of precision medicine, a genetic analysis of the </w:t>
      </w:r>
      <w:r w:rsidR="003D4130">
        <w:rPr>
          <w:rFonts w:ascii="Times New Roman" w:eastAsia="Times New Roman" w:hAnsi="Times New Roman" w:cs="Times New Roman"/>
          <w:i/>
          <w:iCs/>
          <w:sz w:val="24"/>
          <w:szCs w:val="24"/>
        </w:rPr>
        <w:t xml:space="preserve">CYP21A2 </w:t>
      </w:r>
      <w:r w:rsidR="003D4130">
        <w:rPr>
          <w:rFonts w:ascii="Times New Roman" w:eastAsia="Times New Roman" w:hAnsi="Times New Roman" w:cs="Times New Roman"/>
          <w:sz w:val="24"/>
          <w:szCs w:val="24"/>
        </w:rPr>
        <w:t>gene could provide personalized management to the patients.</w:t>
      </w:r>
      <w:r w:rsidR="00887E15">
        <w:rPr>
          <w:rFonts w:ascii="Times New Roman" w:eastAsia="Times New Roman" w:hAnsi="Times New Roman" w:cs="Times New Roman"/>
          <w:sz w:val="24"/>
          <w:szCs w:val="24"/>
        </w:rPr>
        <w:t xml:space="preserve"> </w:t>
      </w:r>
      <w:r w:rsidR="00527BC1">
        <w:rPr>
          <w:rFonts w:ascii="Times New Roman" w:eastAsia="Times New Roman" w:hAnsi="Times New Roman" w:cs="Times New Roman"/>
          <w:sz w:val="24"/>
          <w:szCs w:val="24"/>
        </w:rPr>
        <w:t xml:space="preserve">A genetic counselor played an important role in </w:t>
      </w:r>
      <w:r w:rsidR="009E49E7">
        <w:rPr>
          <w:rFonts w:ascii="Times New Roman" w:eastAsia="Times New Roman" w:hAnsi="Times New Roman" w:cs="Times New Roman"/>
          <w:sz w:val="24"/>
          <w:szCs w:val="24"/>
        </w:rPr>
        <w:t xml:space="preserve">assisting the patient in the journey of acceptance, adaptation, </w:t>
      </w:r>
      <w:r w:rsidR="001C5998">
        <w:rPr>
          <w:rFonts w:ascii="Times New Roman" w:eastAsia="Times New Roman" w:hAnsi="Times New Roman" w:cs="Times New Roman"/>
          <w:sz w:val="24"/>
          <w:szCs w:val="24"/>
        </w:rPr>
        <w:t xml:space="preserve">and </w:t>
      </w:r>
      <w:r w:rsidR="001119B4">
        <w:rPr>
          <w:rFonts w:ascii="Times New Roman" w:eastAsia="Times New Roman" w:hAnsi="Times New Roman" w:cs="Times New Roman"/>
          <w:sz w:val="24"/>
          <w:szCs w:val="24"/>
        </w:rPr>
        <w:t xml:space="preserve">connecting </w:t>
      </w:r>
      <w:r w:rsidR="00C74E3E">
        <w:rPr>
          <w:rFonts w:ascii="Times New Roman" w:eastAsia="Times New Roman" w:hAnsi="Times New Roman" w:cs="Times New Roman"/>
          <w:sz w:val="24"/>
          <w:szCs w:val="24"/>
        </w:rPr>
        <w:t>them to healthcare professionals</w:t>
      </w:r>
      <w:r w:rsidR="007E1D07">
        <w:rPr>
          <w:rFonts w:ascii="Times New Roman" w:eastAsia="Times New Roman" w:hAnsi="Times New Roman" w:cs="Times New Roman"/>
          <w:sz w:val="24"/>
          <w:szCs w:val="24"/>
        </w:rPr>
        <w:t xml:space="preserve"> and support groups</w:t>
      </w:r>
      <w:r w:rsidR="00C70194">
        <w:rPr>
          <w:rFonts w:ascii="Times New Roman" w:eastAsia="Times New Roman" w:hAnsi="Times New Roman" w:cs="Times New Roman"/>
          <w:sz w:val="24"/>
          <w:szCs w:val="24"/>
        </w:rPr>
        <w:t>.</w:t>
      </w:r>
      <w:r w:rsidR="002C259F">
        <w:rPr>
          <w:rFonts w:ascii="Times New Roman" w:eastAsia="Times New Roman" w:hAnsi="Times New Roman" w:cs="Times New Roman"/>
          <w:sz w:val="24"/>
          <w:szCs w:val="24"/>
        </w:rPr>
        <w:fldChar w:fldCharType="begin"/>
      </w:r>
      <w:r w:rsidR="00BB655C">
        <w:rPr>
          <w:rFonts w:ascii="Times New Roman" w:eastAsia="Times New Roman" w:hAnsi="Times New Roman" w:cs="Times New Roman"/>
          <w:sz w:val="24"/>
          <w:szCs w:val="24"/>
        </w:rPr>
        <w:instrText xml:space="preserve"> ADDIN ZOTERO_ITEM CSL_CITATION {"citationID":"lffBd2kr","properties":{"formattedCitation":"\\super 31,32\\nosupersub{}","plainCitation":"31,32","noteIndex":0},"citationItems":[{"id":7472,"uris":["http://zotero.org/users/local/j4kVnGn0/items/JQ4HE3EK"],"itemData":{"id":7472,"type":"article-journal","abstract":"Complex health needs are demanding and often require additional medical, psychological and social support. All those involved (e.g., patients, carers, professionals) face a unique set of challenges and needs, especially in families where the patient is a child or a young person with a lifelong condition. The aim of the study was to explore carers’ and young people’s needs when living with long term conditions, as well as the views of the healthcare professionals supporting them. Semi-structured interviews with 30 participants (11 professionals, 10 parents, and 9 young people) were conducted. Interviews focused on 3 main areas—(1) medical needs, (2) psychological needs, and (3) communication needs—and were analyzed using thematic analysis. Four main themes emerged: (1) Acceptance takes time refers to the often long and challenging process of adapting to the diagnosis and living with the condition; (2) Close guidance captures the importance of specialised and long term guidance in accessing and managing the complexities of the medical system; (3) Open communication shows the families’ need to be collaboratively connected to healthcare providers and other families facing similar difficulties; and (4) Long-term support underlines the importance of long term formal and informal support strategies. The participants’ experiences and views have provided us with insight and guidance for developing and implementing personalized and integrated services. This inside perspective is key for future research aimed at better understanding the impact of complex conditions and meaningful ways to support families throughout their journeys.","container-title":"Journal of Community Genetics","DOI":"10.1007/s12687-022-00586-z","ISSN":"1868-6001","issue":"3","journalAbbreviation":"Journal of Community Genetics","page":"293-302","title":"Families with complex needs: an inside perspective from young people, their carers, and healthcare providers","volume":"13","author":[{"family":"Radu","given":"Mădălina"},{"family":"Moldovan","given":"Ramona"},{"family":"Băban","given":"Adriana"}],"issued":{"date-parts":[["2022",6,1]]}}},{"id":7473,"uris":["http://zotero.org/users/local/j4kVnGn0/items/3MF8FEVS"],"itemData":{"id":7473,"type":"article-journal","abstract":"Abstract Genetic counselors strive to provide high-quality genetic services. To do so, it is essential to define quality in genetic counseling and identify opportunities for improvement. This Professional Issues article provides an overview of the evaluation of healthcare quality in genetic counseling. The National Society of Genetic Counselors' Research, Quality, and Outcomes Committee partnered with Discern Health, a value-based healthcare policy consulting firm, to develop a care continuum model of genetic counseling. Using the proposed model, currently available quality measures relevant to genetic counseling in the US healthcare system were assessed, allowing for the identification of gaps and priority areas for further development. A total of 560 quality measures were identified that can be applied to various aspects of the care continuum model across a range of clinical specialty areas in genetic counseling, although few measures were specific to genetic counseling or genetic conditions. Areas where quality measures were lacking included: attitudes toward genetic testing, family communication, stigma, and issues of justice, equity, diversity, and inclusion. We discuss these findings and other strategies for an evidence-based approach to quality in genetic counseling. Strategic directions for the genetic counseling profession should include a consolidated approach to research on quality and value of genetic counseling, development of quality metrics and patient-experience measures, and engagement with other improvement activities. These strategies will allow for benchmarking, performance improvement, and future implementation in accountability programs which will strengthen genetic counseling as a profession that provides evidence-based high-quality care to all patients.","container-title":"Journal of Genetic Counseling","DOI":"10.1002/jgc4.1657","ISSN":"1059-7700","issue":"2","journalAbbreviation":"Journal of Genetic Counseling","note":"publisher: John Wiley &amp; Sons, Ltd","page":"315-324","title":"Measuring quality and value in genetic counseling: The current landscape and future directions","volume":"32","author":[{"family":"Higgs","given":"Emily"},{"family":"Wain","given":"Karen E."},{"family":"Wynn","given":"Julia"},{"family":"Cho","given":"Megan T."},{"family":"Higgins","given":"Sonja"},{"family":"Blaisdell","given":"David"},{"family":"Dugan","given":"Donna"},{"family":"Valek","given":"Sara"},{"family":"Cohen","given":"Stephanie"}],"issued":{"date-parts":[["2023",4,1]]}}}],"schema":"https://github.com/citation-style-language/schema/raw/master/csl-citation.json"} </w:instrText>
      </w:r>
      <w:r w:rsidR="002C259F">
        <w:rPr>
          <w:rFonts w:ascii="Times New Roman" w:eastAsia="Times New Roman" w:hAnsi="Times New Roman" w:cs="Times New Roman"/>
          <w:sz w:val="24"/>
          <w:szCs w:val="24"/>
        </w:rPr>
        <w:fldChar w:fldCharType="separate"/>
      </w:r>
      <w:r w:rsidR="006F5FE4" w:rsidRPr="006F5FE4">
        <w:rPr>
          <w:rFonts w:ascii="Times New Roman" w:hAnsi="Times New Roman" w:cs="Times New Roman"/>
          <w:sz w:val="24"/>
          <w:vertAlign w:val="superscript"/>
        </w:rPr>
        <w:t>31,32</w:t>
      </w:r>
      <w:r w:rsidR="002C259F">
        <w:rPr>
          <w:rFonts w:ascii="Times New Roman" w:eastAsia="Times New Roman" w:hAnsi="Times New Roman" w:cs="Times New Roman"/>
          <w:sz w:val="24"/>
          <w:szCs w:val="24"/>
        </w:rPr>
        <w:fldChar w:fldCharType="end"/>
      </w:r>
      <w:r w:rsidR="002C259F">
        <w:rPr>
          <w:rFonts w:ascii="Times New Roman" w:eastAsia="Times New Roman" w:hAnsi="Times New Roman" w:cs="Times New Roman"/>
          <w:sz w:val="24"/>
          <w:szCs w:val="24"/>
        </w:rPr>
        <w:t xml:space="preserve"> </w:t>
      </w:r>
      <w:r w:rsidR="00172C9B">
        <w:rPr>
          <w:rFonts w:ascii="Times New Roman" w:eastAsia="Times New Roman" w:hAnsi="Times New Roman" w:cs="Times New Roman"/>
          <w:sz w:val="24"/>
          <w:szCs w:val="24"/>
        </w:rPr>
        <w:t xml:space="preserve">Hence, </w:t>
      </w:r>
      <w:r w:rsidR="00417DFF">
        <w:rPr>
          <w:rFonts w:ascii="Times New Roman" w:eastAsia="Times New Roman" w:hAnsi="Times New Roman" w:cs="Times New Roman"/>
          <w:sz w:val="24"/>
          <w:szCs w:val="24"/>
        </w:rPr>
        <w:t>patients</w:t>
      </w:r>
      <w:r w:rsidR="00172C9B">
        <w:rPr>
          <w:rFonts w:ascii="Times New Roman" w:eastAsia="Times New Roman" w:hAnsi="Times New Roman" w:cs="Times New Roman"/>
          <w:sz w:val="24"/>
          <w:szCs w:val="24"/>
        </w:rPr>
        <w:t xml:space="preserve"> and their </w:t>
      </w:r>
      <w:r w:rsidR="00771883">
        <w:rPr>
          <w:rFonts w:ascii="Times New Roman" w:eastAsia="Times New Roman" w:hAnsi="Times New Roman" w:cs="Times New Roman"/>
          <w:sz w:val="24"/>
          <w:szCs w:val="24"/>
        </w:rPr>
        <w:t xml:space="preserve">families </w:t>
      </w:r>
      <w:r w:rsidR="00172C9B">
        <w:rPr>
          <w:rFonts w:ascii="Times New Roman" w:eastAsia="Times New Roman" w:hAnsi="Times New Roman" w:cs="Times New Roman"/>
          <w:sz w:val="24"/>
          <w:szCs w:val="24"/>
        </w:rPr>
        <w:t>could benefit from enhanced risk perception, positive risk behaviors, better knowledge, and a sense of personal control</w:t>
      </w:r>
      <w:r w:rsidR="002C259F">
        <w:rPr>
          <w:rFonts w:ascii="Times New Roman" w:eastAsia="Times New Roman" w:hAnsi="Times New Roman" w:cs="Times New Roman"/>
          <w:sz w:val="24"/>
          <w:szCs w:val="24"/>
        </w:rPr>
        <w:t>.</w:t>
      </w:r>
      <w:r w:rsidR="002C259F">
        <w:rPr>
          <w:rFonts w:ascii="Times New Roman" w:eastAsia="Times New Roman" w:hAnsi="Times New Roman" w:cs="Times New Roman"/>
          <w:sz w:val="24"/>
          <w:szCs w:val="24"/>
        </w:rPr>
        <w:fldChar w:fldCharType="begin"/>
      </w:r>
      <w:r w:rsidR="00BB655C">
        <w:rPr>
          <w:rFonts w:ascii="Times New Roman" w:eastAsia="Times New Roman" w:hAnsi="Times New Roman" w:cs="Times New Roman"/>
          <w:sz w:val="24"/>
          <w:szCs w:val="24"/>
        </w:rPr>
        <w:instrText xml:space="preserve"> ADDIN ZOTERO_ITEM CSL_CITATION {"citationID":"mUQMWoQg","properties":{"formattedCitation":"\\super 33\\nosupersub{}","plainCitation":"33","noteIndex":0},"citationItems":[{"id":1314,"uris":["http://zotero.org/users/local/j4kVnGn0/items/Z8E7JBGV"],"itemData":{"id":1314,"type":"article-journal","abstract":"Abstract As healthcare reimbursement is increasingly tied to value-of-service, it is critical for the genetic counselor (GC) profession to demonstrate the value added by GCs through outcomes research. We conducted a rapid systematic literature review to identify outcomes of genetic counseling. Web of Science (including PubMed) and CINAHL databases were systematically searched to identify articles meeting the following criteria: 1) measures were assessed before and after genetic counseling (pre-post design) or comparisons were made between a GC group vs. a non-GC group (comparative cohort design); 2) genetic counseling outcomes could be assessed independently of genetic testing outcomes, and 3) genetic counseling was conducted by masters-level genetic counselors, or non-physician providers. Twenty-three papers met the inclusion criteria. The majority of studies were in the cancer genetic setting and the most commonly measured outcomes included knowledge, anxiety or distress, satisfaction, perceived risk, genetic testing (intentions or receipt), health behaviors, and decisional conflict. Results suggest that genetic counseling can lead to increased knowledge, perceived personal control, positive health behaviors, and improved risk perception accuracy as well as decreases in anxiety, cancer-related worry, and decisional conflict. However, further studies are needed to evaluate a wider array of outcomes in more diverse genetic counseling settings.","container-title":"Journal of Genetic Counseling","DOI":"10.1007/s10897-017-0067-x","ISSN":"1059-7700","issue":"3","journalAbbreviation":"Journal of Genetic Counseling","note":"publisher: John Wiley &amp; Sons, Ltd","page":"361-378","title":"A Rapid Systematic Review of Outcomes Studies in Genetic Counseling","volume":"26","author":[{"family":"Madlensky","given":"Lisa"},{"family":"Trepanier","given":"Angela M."},{"family":"Cragun","given":"Deborah"},{"family":"Lerner","given":"Barbara"},{"family":"Shannon","given":"Kristen M."},{"family":"Zierhut","given":"Heather"}],"issued":{"date-parts":[["2017",6,1]]}}}],"schema":"https://github.com/citation-style-language/schema/raw/master/csl-citation.json"} </w:instrText>
      </w:r>
      <w:r w:rsidR="002C259F">
        <w:rPr>
          <w:rFonts w:ascii="Times New Roman" w:eastAsia="Times New Roman" w:hAnsi="Times New Roman" w:cs="Times New Roman"/>
          <w:sz w:val="24"/>
          <w:szCs w:val="24"/>
        </w:rPr>
        <w:fldChar w:fldCharType="separate"/>
      </w:r>
      <w:r w:rsidR="006F5FE4" w:rsidRPr="006F5FE4">
        <w:rPr>
          <w:rFonts w:ascii="Times New Roman" w:hAnsi="Times New Roman" w:cs="Times New Roman"/>
          <w:sz w:val="24"/>
          <w:vertAlign w:val="superscript"/>
        </w:rPr>
        <w:t>33</w:t>
      </w:r>
      <w:r w:rsidR="002C259F">
        <w:rPr>
          <w:rFonts w:ascii="Times New Roman" w:eastAsia="Times New Roman" w:hAnsi="Times New Roman" w:cs="Times New Roman"/>
          <w:sz w:val="24"/>
          <w:szCs w:val="24"/>
        </w:rPr>
        <w:fldChar w:fldCharType="end"/>
      </w:r>
    </w:p>
    <w:p w14:paraId="17A86554" w14:textId="77777777" w:rsidR="00E52126" w:rsidRDefault="00E52126">
      <w:pPr>
        <w:spacing w:after="0" w:line="240" w:lineRule="auto"/>
        <w:ind w:left="0" w:hanging="2"/>
        <w:jc w:val="both"/>
        <w:rPr>
          <w:rFonts w:ascii="Times New Roman" w:eastAsia="Times New Roman" w:hAnsi="Times New Roman" w:cs="Times New Roman"/>
          <w:sz w:val="24"/>
          <w:szCs w:val="24"/>
        </w:rPr>
      </w:pPr>
    </w:p>
    <w:p w14:paraId="21D62AB8" w14:textId="77777777" w:rsidR="005A1BE7" w:rsidRDefault="00984C64">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PCR-RFLP method was </w:t>
      </w:r>
      <w:r w:rsidR="007C264D">
        <w:rPr>
          <w:rFonts w:ascii="Times New Roman" w:eastAsia="Times New Roman" w:hAnsi="Times New Roman" w:cs="Times New Roman"/>
          <w:sz w:val="24"/>
          <w:szCs w:val="24"/>
        </w:rPr>
        <w:t xml:space="preserve">simple and cost-effective, with </w:t>
      </w:r>
      <w:r w:rsidR="00DD6C18">
        <w:rPr>
          <w:rFonts w:ascii="Times New Roman" w:eastAsia="Times New Roman" w:hAnsi="Times New Roman" w:cs="Times New Roman"/>
          <w:sz w:val="24"/>
          <w:szCs w:val="24"/>
        </w:rPr>
        <w:t>the</w:t>
      </w:r>
      <w:r w:rsidR="007C264D">
        <w:rPr>
          <w:rFonts w:ascii="Times New Roman" w:eastAsia="Times New Roman" w:hAnsi="Times New Roman" w:cs="Times New Roman"/>
          <w:sz w:val="24"/>
          <w:szCs w:val="24"/>
        </w:rPr>
        <w:t xml:space="preserve"> prerequisite </w:t>
      </w:r>
      <w:r w:rsidR="00D204A7">
        <w:rPr>
          <w:rFonts w:ascii="Times New Roman" w:eastAsia="Times New Roman" w:hAnsi="Times New Roman" w:cs="Times New Roman"/>
          <w:sz w:val="24"/>
          <w:szCs w:val="24"/>
        </w:rPr>
        <w:t xml:space="preserve">of </w:t>
      </w:r>
      <w:r w:rsidR="00447F51">
        <w:rPr>
          <w:rFonts w:ascii="Times New Roman" w:eastAsia="Times New Roman" w:hAnsi="Times New Roman" w:cs="Times New Roman"/>
          <w:sz w:val="24"/>
          <w:szCs w:val="24"/>
        </w:rPr>
        <w:t>a th</w:t>
      </w:r>
      <w:r w:rsidR="00DD6C18">
        <w:rPr>
          <w:rFonts w:ascii="Times New Roman" w:eastAsia="Times New Roman" w:hAnsi="Times New Roman" w:cs="Times New Roman"/>
          <w:sz w:val="24"/>
          <w:szCs w:val="24"/>
        </w:rPr>
        <w:t>ermocycler</w:t>
      </w:r>
      <w:r w:rsidR="00713368">
        <w:rPr>
          <w:rFonts w:ascii="Times New Roman" w:eastAsia="Times New Roman" w:hAnsi="Times New Roman" w:cs="Times New Roman"/>
          <w:sz w:val="24"/>
          <w:szCs w:val="24"/>
        </w:rPr>
        <w:t>, an</w:t>
      </w:r>
      <w:r w:rsidR="00DD6C18">
        <w:rPr>
          <w:rFonts w:ascii="Times New Roman" w:eastAsia="Times New Roman" w:hAnsi="Times New Roman" w:cs="Times New Roman"/>
          <w:sz w:val="24"/>
          <w:szCs w:val="24"/>
        </w:rPr>
        <w:t xml:space="preserve"> electrophoresis system</w:t>
      </w:r>
      <w:r w:rsidR="00713368">
        <w:rPr>
          <w:rFonts w:ascii="Times New Roman" w:eastAsia="Times New Roman" w:hAnsi="Times New Roman" w:cs="Times New Roman"/>
          <w:sz w:val="24"/>
          <w:szCs w:val="24"/>
        </w:rPr>
        <w:t>, and specific restriction enzymes</w:t>
      </w:r>
      <w:r w:rsidR="00DD6C18">
        <w:rPr>
          <w:rFonts w:ascii="Times New Roman" w:eastAsia="Times New Roman" w:hAnsi="Times New Roman" w:cs="Times New Roman"/>
          <w:sz w:val="24"/>
          <w:szCs w:val="24"/>
        </w:rPr>
        <w:t xml:space="preserve"> that </w:t>
      </w:r>
      <w:r w:rsidR="00713368">
        <w:rPr>
          <w:rFonts w:ascii="Times New Roman" w:eastAsia="Times New Roman" w:hAnsi="Times New Roman" w:cs="Times New Roman"/>
          <w:sz w:val="24"/>
          <w:szCs w:val="24"/>
        </w:rPr>
        <w:t>are</w:t>
      </w:r>
      <w:r w:rsidR="00DD6C18">
        <w:rPr>
          <w:rFonts w:ascii="Times New Roman" w:eastAsia="Times New Roman" w:hAnsi="Times New Roman" w:cs="Times New Roman"/>
          <w:sz w:val="24"/>
          <w:szCs w:val="24"/>
        </w:rPr>
        <w:t xml:space="preserve"> easily accessible in </w:t>
      </w:r>
      <w:r w:rsidR="00417DFF">
        <w:rPr>
          <w:rFonts w:ascii="Times New Roman" w:eastAsia="Times New Roman" w:hAnsi="Times New Roman" w:cs="Times New Roman"/>
          <w:sz w:val="24"/>
          <w:szCs w:val="24"/>
        </w:rPr>
        <w:t>genetic laboratories in a developing country</w:t>
      </w:r>
      <w:r w:rsidR="00DD6C18">
        <w:rPr>
          <w:rFonts w:ascii="Times New Roman" w:eastAsia="Times New Roman" w:hAnsi="Times New Roman" w:cs="Times New Roman"/>
          <w:sz w:val="24"/>
          <w:szCs w:val="24"/>
        </w:rPr>
        <w:t>.</w:t>
      </w:r>
      <w:r w:rsidR="00417DFF">
        <w:rPr>
          <w:rFonts w:ascii="Times New Roman" w:eastAsia="Times New Roman" w:hAnsi="Times New Roman" w:cs="Times New Roman"/>
          <w:sz w:val="24"/>
          <w:szCs w:val="24"/>
        </w:rPr>
        <w:t xml:space="preserve"> </w:t>
      </w:r>
      <w:r w:rsidR="00E962DD">
        <w:rPr>
          <w:rFonts w:ascii="Times New Roman" w:eastAsia="Times New Roman" w:hAnsi="Times New Roman" w:cs="Times New Roman"/>
          <w:sz w:val="24"/>
          <w:szCs w:val="24"/>
        </w:rPr>
        <w:t xml:space="preserve">Nevertheless, </w:t>
      </w:r>
      <w:r w:rsidR="00D43F32" w:rsidRPr="00D43F32">
        <w:rPr>
          <w:rFonts w:ascii="Times New Roman" w:eastAsia="Times New Roman" w:hAnsi="Times New Roman" w:cs="Times New Roman"/>
          <w:sz w:val="24"/>
          <w:szCs w:val="24"/>
        </w:rPr>
        <w:t xml:space="preserve">a prior knowledge of the </w:t>
      </w:r>
      <w:r w:rsidR="00D43F32" w:rsidRPr="00D43F32">
        <w:rPr>
          <w:rFonts w:ascii="Times New Roman" w:eastAsia="Times New Roman" w:hAnsi="Times New Roman" w:cs="Times New Roman"/>
          <w:i/>
          <w:iCs/>
          <w:sz w:val="24"/>
          <w:szCs w:val="24"/>
        </w:rPr>
        <w:t>CYP21A2</w:t>
      </w:r>
      <w:r w:rsidR="00D43F32" w:rsidRPr="00D43F32">
        <w:rPr>
          <w:rFonts w:ascii="Times New Roman" w:eastAsia="Times New Roman" w:hAnsi="Times New Roman" w:cs="Times New Roman"/>
          <w:sz w:val="24"/>
          <w:szCs w:val="24"/>
        </w:rPr>
        <w:t xml:space="preserve"> gene</w:t>
      </w:r>
      <w:r w:rsidR="00E962DD">
        <w:rPr>
          <w:rFonts w:ascii="Times New Roman" w:eastAsia="Times New Roman" w:hAnsi="Times New Roman" w:cs="Times New Roman"/>
          <w:sz w:val="24"/>
          <w:szCs w:val="24"/>
        </w:rPr>
        <w:t xml:space="preserve"> </w:t>
      </w:r>
      <w:r w:rsidR="005049BE">
        <w:rPr>
          <w:rFonts w:ascii="Times New Roman" w:eastAsia="Times New Roman" w:hAnsi="Times New Roman" w:cs="Times New Roman"/>
          <w:sz w:val="24"/>
          <w:szCs w:val="24"/>
        </w:rPr>
        <w:t>remains mandatory</w:t>
      </w:r>
      <w:r w:rsidR="00D43F32" w:rsidRPr="00D43F32">
        <w:rPr>
          <w:rFonts w:ascii="Times New Roman" w:eastAsia="Times New Roman" w:hAnsi="Times New Roman" w:cs="Times New Roman"/>
          <w:sz w:val="24"/>
          <w:szCs w:val="24"/>
        </w:rPr>
        <w:t>.</w:t>
      </w:r>
    </w:p>
    <w:p w14:paraId="79F6848C" w14:textId="77777777" w:rsidR="005A1BE7" w:rsidRDefault="005A1BE7">
      <w:pPr>
        <w:spacing w:after="0" w:line="240" w:lineRule="auto"/>
        <w:ind w:left="0" w:hanging="2"/>
        <w:jc w:val="both"/>
        <w:rPr>
          <w:rFonts w:ascii="Times New Roman" w:eastAsia="Times New Roman" w:hAnsi="Times New Roman" w:cs="Times New Roman"/>
          <w:sz w:val="24"/>
          <w:szCs w:val="24"/>
        </w:rPr>
      </w:pPr>
    </w:p>
    <w:p w14:paraId="4CA75E82" w14:textId="62A6EF2F" w:rsidR="00FD7B5A" w:rsidRPr="00A52959" w:rsidRDefault="00B2593C">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the </w:t>
      </w:r>
      <w:r w:rsidR="00E744F3">
        <w:rPr>
          <w:rFonts w:ascii="Times New Roman" w:eastAsia="Times New Roman" w:hAnsi="Times New Roman" w:cs="Times New Roman"/>
          <w:sz w:val="24"/>
          <w:szCs w:val="24"/>
        </w:rPr>
        <w:t>utilization of the primer set of a previous study</w:t>
      </w:r>
      <w:r>
        <w:rPr>
          <w:rFonts w:ascii="Times New Roman" w:eastAsia="Times New Roman" w:hAnsi="Times New Roman" w:cs="Times New Roman"/>
          <w:sz w:val="24"/>
          <w:szCs w:val="24"/>
        </w:rPr>
        <w:t xml:space="preserve">, </w:t>
      </w:r>
      <w:r w:rsidR="00CC51E0" w:rsidRPr="00CC51E0">
        <w:rPr>
          <w:rFonts w:ascii="Times New Roman" w:eastAsia="Times New Roman" w:hAnsi="Times New Roman" w:cs="Times New Roman"/>
          <w:sz w:val="24"/>
          <w:szCs w:val="24"/>
        </w:rPr>
        <w:t>the discrepancy between the most common variant found within the same population</w:t>
      </w:r>
      <w:r w:rsidR="00CC51E0">
        <w:rPr>
          <w:rFonts w:ascii="Times New Roman" w:eastAsia="Times New Roman" w:hAnsi="Times New Roman" w:cs="Times New Roman"/>
          <w:sz w:val="24"/>
          <w:szCs w:val="24"/>
        </w:rPr>
        <w:t>, i.e., the p.Arg357Trp,</w:t>
      </w:r>
      <w:r w:rsidR="00CC51E0" w:rsidRPr="00CC51E0">
        <w:rPr>
          <w:rFonts w:ascii="Times New Roman" w:eastAsia="Times New Roman" w:hAnsi="Times New Roman" w:cs="Times New Roman"/>
          <w:sz w:val="24"/>
          <w:szCs w:val="24"/>
        </w:rPr>
        <w:t xml:space="preserve"> and the disproportionate number of patients </w:t>
      </w:r>
      <w:r w:rsidR="00EB5C1F">
        <w:rPr>
          <w:rFonts w:ascii="Times New Roman" w:eastAsia="Times New Roman" w:hAnsi="Times New Roman" w:cs="Times New Roman"/>
          <w:sz w:val="24"/>
          <w:szCs w:val="24"/>
        </w:rPr>
        <w:t xml:space="preserve">found to carry the intron 2 splice, </w:t>
      </w:r>
      <w:r w:rsidR="00CC51E0" w:rsidRPr="00CC51E0">
        <w:rPr>
          <w:rFonts w:ascii="Times New Roman" w:eastAsia="Times New Roman" w:hAnsi="Times New Roman" w:cs="Times New Roman"/>
          <w:sz w:val="24"/>
          <w:szCs w:val="24"/>
        </w:rPr>
        <w:t>warrants further examination of this variant to confirm the result.</w:t>
      </w:r>
      <w:r w:rsidR="00E744F3">
        <w:rPr>
          <w:rFonts w:ascii="Times New Roman" w:eastAsia="Times New Roman" w:hAnsi="Times New Roman" w:cs="Times New Roman"/>
          <w:sz w:val="24"/>
          <w:szCs w:val="24"/>
        </w:rPr>
        <w:fldChar w:fldCharType="begin"/>
      </w:r>
      <w:r w:rsidR="00FD080B">
        <w:rPr>
          <w:rFonts w:ascii="Times New Roman" w:eastAsia="Times New Roman" w:hAnsi="Times New Roman" w:cs="Times New Roman"/>
          <w:sz w:val="24"/>
          <w:szCs w:val="24"/>
        </w:rPr>
        <w:instrText xml:space="preserve"> ADDIN ZOTERO_ITEM CSL_CITATION {"citationID":"26cF7bLw","properties":{"formattedCitation":"\\super 8\\nosupersub{}","plainCitation":"8","noteIndex":0},"citationItems":[{"id":881,"uris":["http://www.mendeley.com/documents/?uuid=569521f1-89dd-4575-a4d1-79f7bdcb5aeb","http://zotero.org/users/local/j4kVnGn0/items/CYKUDCUF"],"itemData":{"id":881,"type":"article-journal","abstract":"ObjectiveThe spectrum of molecular defects in Chinese patients with 21-hydroxylase deficiency (21-OHD), and genotype?phenotype relationships are unknown.MethodsWe screened eight patients with non-classical (NC) 21-OHD and 35 with classical 21-OHD, and detected nine known mutations.ResultsThe most frequent mutation among the 43 21-OHD cases was p.Ile172Asn (allele frequency, 36.0%), followed by c.290-13A/C?&gt;?G (20.9%), Del (8.6%), p.Pro30Leu (7.0%), p.Gln318Ter (7.0%), p.Val281Leu (4.7%), p.Arg356Trp (2.3%), p.[Ile236Asn; Val237Glu; Met239Lys] (2.3%), and E3?8?bp (1.2%). The frequency spectrum of CYP21A2 mutations in the Chinese population was similar to that in the Japanese population, except that p.Val281Leu was identified in Chinese NC21-OHD patients at a frequency of 25.0%, whereas it was absent in Japanese patients. We found that genotype could predict phenotype in 88.3% of patients.ConclusionSome characteristics appear to be unique to the Chinese population, but genotype was strongly predictive of phenotype.","container-title":"Journal of International Medical Research","DOI":"10.1177/0300060516685204","ISSN":"0300-0605","issue":"2","note":"publisher: SAGE Publications Ltd","page":"481-492","title":"Molecular diagnosis of Chinese patients with 21-hydroxylase deficiency and analysis of genotype–phenotype correlations","volume":"45","author":[{"family":"Zhang","given":"Bo"},{"family":"Lu","given":"Lin"},{"family":"Lu","given":"Zhaolin"}],"issued":{"date-parts":[["2017",2,2]]}}}],"schema":"https://github.com/citation-style-language/schema/raw/master/csl-citation.json"} </w:instrText>
      </w:r>
      <w:r w:rsidR="00E744F3">
        <w:rPr>
          <w:rFonts w:ascii="Times New Roman" w:eastAsia="Times New Roman" w:hAnsi="Times New Roman" w:cs="Times New Roman"/>
          <w:sz w:val="24"/>
          <w:szCs w:val="24"/>
        </w:rPr>
        <w:fldChar w:fldCharType="separate"/>
      </w:r>
      <w:r w:rsidR="006F5FE4" w:rsidRPr="006F5FE4">
        <w:rPr>
          <w:rFonts w:ascii="Times New Roman" w:hAnsi="Times New Roman" w:cs="Times New Roman"/>
          <w:sz w:val="24"/>
          <w:vertAlign w:val="superscript"/>
        </w:rPr>
        <w:t>8</w:t>
      </w:r>
      <w:r w:rsidR="00E744F3">
        <w:rPr>
          <w:rFonts w:ascii="Times New Roman" w:eastAsia="Times New Roman" w:hAnsi="Times New Roman" w:cs="Times New Roman"/>
          <w:sz w:val="24"/>
          <w:szCs w:val="24"/>
        </w:rPr>
        <w:fldChar w:fldCharType="end"/>
      </w:r>
      <w:r w:rsidR="00D43F32">
        <w:rPr>
          <w:rFonts w:ascii="Times New Roman" w:eastAsia="Times New Roman" w:hAnsi="Times New Roman" w:cs="Times New Roman"/>
          <w:sz w:val="24"/>
          <w:szCs w:val="24"/>
        </w:rPr>
        <w:t xml:space="preserve"> </w:t>
      </w:r>
      <w:r w:rsidR="004C1AEB" w:rsidRPr="004C1AEB">
        <w:rPr>
          <w:rFonts w:ascii="Times New Roman" w:eastAsia="Times New Roman" w:hAnsi="Times New Roman" w:cs="Times New Roman"/>
          <w:sz w:val="24"/>
          <w:szCs w:val="24"/>
        </w:rPr>
        <w:t>Thus, it was not possible to make a final decision for this variant.</w:t>
      </w:r>
      <w:r w:rsidR="00E744F3">
        <w:rPr>
          <w:rFonts w:ascii="Times New Roman" w:eastAsia="Times New Roman" w:hAnsi="Times New Roman" w:cs="Times New Roman"/>
          <w:sz w:val="24"/>
          <w:szCs w:val="24"/>
        </w:rPr>
        <w:t xml:space="preserve"> </w:t>
      </w:r>
      <w:r w:rsidR="00A52959">
        <w:rPr>
          <w:rFonts w:ascii="Times New Roman" w:eastAsia="Times New Roman" w:hAnsi="Times New Roman" w:cs="Times New Roman"/>
          <w:sz w:val="24"/>
          <w:szCs w:val="24"/>
        </w:rPr>
        <w:t xml:space="preserve">The </w:t>
      </w:r>
      <w:r w:rsidR="00A52959">
        <w:rPr>
          <w:rFonts w:ascii="Times New Roman" w:eastAsia="Times New Roman" w:hAnsi="Times New Roman" w:cs="Times New Roman"/>
          <w:i/>
          <w:iCs/>
          <w:sz w:val="24"/>
          <w:szCs w:val="24"/>
        </w:rPr>
        <w:t xml:space="preserve">CYP21A2 </w:t>
      </w:r>
      <w:r w:rsidR="00A52959">
        <w:rPr>
          <w:rFonts w:ascii="Times New Roman" w:eastAsia="Times New Roman" w:hAnsi="Times New Roman" w:cs="Times New Roman"/>
          <w:sz w:val="24"/>
          <w:szCs w:val="24"/>
        </w:rPr>
        <w:t>variants involved complex gene rearrangements and various SNVs</w:t>
      </w:r>
      <w:r w:rsidR="00000872">
        <w:rPr>
          <w:rFonts w:ascii="Times New Roman" w:eastAsia="Times New Roman" w:hAnsi="Times New Roman" w:cs="Times New Roman"/>
          <w:sz w:val="24"/>
          <w:szCs w:val="24"/>
        </w:rPr>
        <w:t>,</w:t>
      </w:r>
      <w:r w:rsidR="00A52959">
        <w:rPr>
          <w:rFonts w:ascii="Times New Roman" w:eastAsia="Times New Roman" w:hAnsi="Times New Roman" w:cs="Times New Roman"/>
          <w:sz w:val="24"/>
          <w:szCs w:val="24"/>
        </w:rPr>
        <w:t xml:space="preserve"> </w:t>
      </w:r>
      <w:r w:rsidR="00000872">
        <w:rPr>
          <w:rFonts w:ascii="Times New Roman" w:eastAsia="Times New Roman" w:hAnsi="Times New Roman" w:cs="Times New Roman"/>
          <w:sz w:val="24"/>
          <w:szCs w:val="24"/>
        </w:rPr>
        <w:t xml:space="preserve">and it is possible that novel variants would be found in the future. </w:t>
      </w:r>
      <w:r w:rsidR="00FD7207">
        <w:rPr>
          <w:rFonts w:ascii="Times New Roman" w:eastAsia="Times New Roman" w:hAnsi="Times New Roman" w:cs="Times New Roman"/>
          <w:sz w:val="24"/>
          <w:szCs w:val="24"/>
        </w:rPr>
        <w:t xml:space="preserve">Therefore, </w:t>
      </w:r>
      <w:r w:rsidR="000D5FA7">
        <w:rPr>
          <w:rFonts w:ascii="Times New Roman" w:eastAsia="Times New Roman" w:hAnsi="Times New Roman" w:cs="Times New Roman"/>
          <w:sz w:val="24"/>
          <w:szCs w:val="24"/>
        </w:rPr>
        <w:t xml:space="preserve">incorporating direct sequencing is the only </w:t>
      </w:r>
      <w:r w:rsidR="00CE29B8">
        <w:rPr>
          <w:rFonts w:ascii="Times New Roman" w:eastAsia="Times New Roman" w:hAnsi="Times New Roman" w:cs="Times New Roman"/>
          <w:sz w:val="24"/>
          <w:szCs w:val="24"/>
        </w:rPr>
        <w:t xml:space="preserve">approach to detect </w:t>
      </w:r>
      <w:r w:rsidR="00213299">
        <w:rPr>
          <w:rFonts w:ascii="Times New Roman" w:eastAsia="Times New Roman" w:hAnsi="Times New Roman" w:cs="Times New Roman"/>
          <w:sz w:val="24"/>
          <w:szCs w:val="24"/>
        </w:rPr>
        <w:t xml:space="preserve">new or </w:t>
      </w:r>
      <w:r w:rsidR="00933A3A">
        <w:rPr>
          <w:rFonts w:ascii="Times New Roman" w:eastAsia="Times New Roman" w:hAnsi="Times New Roman" w:cs="Times New Roman"/>
          <w:sz w:val="24"/>
          <w:szCs w:val="24"/>
        </w:rPr>
        <w:t>rare variants completely.</w:t>
      </w:r>
      <w:r w:rsidR="00483A6F">
        <w:rPr>
          <w:rFonts w:ascii="Times New Roman" w:eastAsia="Times New Roman" w:hAnsi="Times New Roman" w:cs="Times New Roman"/>
          <w:sz w:val="24"/>
          <w:szCs w:val="24"/>
        </w:rPr>
        <w:fldChar w:fldCharType="begin"/>
      </w:r>
      <w:r w:rsidR="00BB655C">
        <w:rPr>
          <w:rFonts w:ascii="Times New Roman" w:eastAsia="Times New Roman" w:hAnsi="Times New Roman" w:cs="Times New Roman"/>
          <w:sz w:val="24"/>
          <w:szCs w:val="24"/>
        </w:rPr>
        <w:instrText xml:space="preserve"> ADDIN ZOTERO_ITEM CSL_CITATION {"citationID":"JPKAPpvp","properties":{"formattedCitation":"\\super 34\\nosupersub{}","plainCitation":"34","noteIndex":0},"citationItems":[{"id":97,"uris":["http://zotero.org/users/local/j4kVnGn0/items/BDFBSAWI"],"itemData":{"id":97,"type":"article-journal","abstract":"Congenital adrenal hyperplasia (CAH) is one of the most common inherited metabolic disorders. It comprises a group of autosomal recessive disorders caused by the deficiency of one of four steroidogenic enzymes involved in cortisol biosynthesis or in the electron donor enzyme P450 oxidoreductase (POR) that serves as electron donor to steroidogenic cytochrome P450 (CYP) type II enzymes. The biochemical and clinical phenotype depends on the specific enzymatic defect and the impairment of specific enzyme activity. Defects of steroid 21-hydroxylase (CYP21A2) and 11β-hydroxylase (CYP11B1) only affect adrenal steroidogenesis, whereas 17α-hydroxylase (CYP17A1) and 3β-hydroxysteroid dehydrogenase type 2 (HSD3B2) deficiency also impact on gonadal steroid biosynthesis. Inactivating POR gene mutations are the cause of CAH manifesting with apparent combined CYP17A1-CYP21A2 deficiency. P450 oxidoreductase deficiency (ORD) has a complex phenotype including two unique features not observed in any other CAH variant: skeletal malformations and severe genital ambiguity in both sexes. © 2008 Elsevier Ltd. All rights reserved.","container-title":"Best Practice and Research: Clinical Endocrinology and Metabolism","DOI":"10.1016/j.beem.2008.10.014","ISSN":"1521690X","issue":"2","language":"eng","note":"PMID: 19500762","page":"181-192","title":"Genetics of congenital adrenal hyperplasia","volume":"23","author":[{"family":"Krone","given":"Nils"},{"family":"Arlt","given":"Wiebke"}],"issued":{"date-parts":[["2009",4]]}}}],"schema":"https://github.com/citation-style-language/schema/raw/master/csl-citation.json"} </w:instrText>
      </w:r>
      <w:r w:rsidR="00483A6F">
        <w:rPr>
          <w:rFonts w:ascii="Times New Roman" w:eastAsia="Times New Roman" w:hAnsi="Times New Roman" w:cs="Times New Roman"/>
          <w:sz w:val="24"/>
          <w:szCs w:val="24"/>
        </w:rPr>
        <w:fldChar w:fldCharType="separate"/>
      </w:r>
      <w:r w:rsidR="006F5FE4" w:rsidRPr="006F5FE4">
        <w:rPr>
          <w:rFonts w:ascii="Times New Roman" w:hAnsi="Times New Roman" w:cs="Times New Roman"/>
          <w:sz w:val="24"/>
          <w:vertAlign w:val="superscript"/>
        </w:rPr>
        <w:t>34</w:t>
      </w:r>
      <w:r w:rsidR="00483A6F">
        <w:rPr>
          <w:rFonts w:ascii="Times New Roman" w:eastAsia="Times New Roman" w:hAnsi="Times New Roman" w:cs="Times New Roman"/>
          <w:sz w:val="24"/>
          <w:szCs w:val="24"/>
        </w:rPr>
        <w:fldChar w:fldCharType="end"/>
      </w:r>
    </w:p>
    <w:p w14:paraId="3298A8E7" w14:textId="77777777" w:rsidR="008E6C80" w:rsidRDefault="008E6C80">
      <w:pPr>
        <w:spacing w:after="0" w:line="240" w:lineRule="auto"/>
        <w:ind w:left="0" w:hanging="2"/>
        <w:jc w:val="both"/>
        <w:rPr>
          <w:rFonts w:ascii="Times New Roman" w:eastAsia="Times New Roman" w:hAnsi="Times New Roman" w:cs="Times New Roman"/>
          <w:sz w:val="24"/>
          <w:szCs w:val="24"/>
        </w:rPr>
      </w:pPr>
    </w:p>
    <w:p w14:paraId="3298A8E8" w14:textId="68DC8F00" w:rsidR="008E6C80" w:rsidRDefault="005D3AC0" w:rsidP="000E69AF">
      <w:pPr>
        <w:pStyle w:val="Heading1"/>
      </w:pPr>
      <w:r>
        <w:t>CONCLUSION</w:t>
      </w:r>
    </w:p>
    <w:p w14:paraId="242D0D44" w14:textId="0F5385BF" w:rsidR="00D147E9" w:rsidRDefault="00A57544">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Pr="00A57544">
        <w:rPr>
          <w:rFonts w:ascii="Times New Roman" w:eastAsia="Times New Roman" w:hAnsi="Times New Roman" w:cs="Times New Roman"/>
          <w:sz w:val="24"/>
          <w:szCs w:val="24"/>
        </w:rPr>
        <w:t xml:space="preserve">PCR-RFLP </w:t>
      </w:r>
      <w:r>
        <w:rPr>
          <w:rFonts w:ascii="Times New Roman" w:eastAsia="Times New Roman" w:hAnsi="Times New Roman" w:cs="Times New Roman"/>
          <w:sz w:val="24"/>
          <w:szCs w:val="24"/>
        </w:rPr>
        <w:t>wa</w:t>
      </w:r>
      <w:r w:rsidRPr="00A57544">
        <w:rPr>
          <w:rFonts w:ascii="Times New Roman" w:eastAsia="Times New Roman" w:hAnsi="Times New Roman" w:cs="Times New Roman"/>
          <w:sz w:val="24"/>
          <w:szCs w:val="24"/>
        </w:rPr>
        <w:t xml:space="preserve">s an applicable method for detecting the most common variants of the </w:t>
      </w:r>
      <w:r w:rsidRPr="00A57544">
        <w:rPr>
          <w:rFonts w:ascii="Times New Roman" w:eastAsia="Times New Roman" w:hAnsi="Times New Roman" w:cs="Times New Roman"/>
          <w:i/>
          <w:iCs/>
          <w:sz w:val="24"/>
          <w:szCs w:val="24"/>
        </w:rPr>
        <w:t>CYP21A2</w:t>
      </w:r>
      <w:r w:rsidRPr="00A57544">
        <w:rPr>
          <w:rFonts w:ascii="Times New Roman" w:eastAsia="Times New Roman" w:hAnsi="Times New Roman" w:cs="Times New Roman"/>
          <w:sz w:val="24"/>
          <w:szCs w:val="24"/>
        </w:rPr>
        <w:t xml:space="preserve"> gene causing </w:t>
      </w:r>
      <w:r>
        <w:rPr>
          <w:rFonts w:ascii="Times New Roman" w:eastAsia="Times New Roman" w:hAnsi="Times New Roman" w:cs="Times New Roman"/>
          <w:sz w:val="24"/>
          <w:szCs w:val="24"/>
        </w:rPr>
        <w:t xml:space="preserve">SW </w:t>
      </w:r>
      <w:r w:rsidRPr="00A57544">
        <w:rPr>
          <w:rFonts w:ascii="Times New Roman" w:eastAsia="Times New Roman" w:hAnsi="Times New Roman" w:cs="Times New Roman"/>
          <w:sz w:val="24"/>
          <w:szCs w:val="24"/>
        </w:rPr>
        <w:t>CAH in a resource-limited setting</w:t>
      </w:r>
      <w:r w:rsidR="006B0B22">
        <w:rPr>
          <w:rFonts w:ascii="Times New Roman" w:eastAsia="Times New Roman" w:hAnsi="Times New Roman" w:cs="Times New Roman"/>
          <w:sz w:val="24"/>
          <w:szCs w:val="24"/>
        </w:rPr>
        <w:t xml:space="preserve"> </w:t>
      </w:r>
      <w:r w:rsidR="0049122F">
        <w:rPr>
          <w:rFonts w:ascii="Times New Roman" w:eastAsia="Times New Roman" w:hAnsi="Times New Roman" w:cs="Times New Roman"/>
          <w:sz w:val="24"/>
          <w:szCs w:val="24"/>
        </w:rPr>
        <w:t>because of the accessibility of the equipment and materials used</w:t>
      </w:r>
      <w:r>
        <w:rPr>
          <w:rFonts w:ascii="Times New Roman" w:eastAsia="Times New Roman" w:hAnsi="Times New Roman" w:cs="Times New Roman"/>
          <w:sz w:val="24"/>
          <w:szCs w:val="24"/>
        </w:rPr>
        <w:t>.</w:t>
      </w:r>
      <w:r w:rsidR="0049122F">
        <w:rPr>
          <w:rFonts w:ascii="Times New Roman" w:eastAsia="Times New Roman" w:hAnsi="Times New Roman" w:cs="Times New Roman"/>
          <w:sz w:val="24"/>
          <w:szCs w:val="24"/>
        </w:rPr>
        <w:t xml:space="preserve"> </w:t>
      </w:r>
      <w:r w:rsidR="00366875">
        <w:rPr>
          <w:rFonts w:ascii="Times New Roman" w:eastAsia="Times New Roman" w:hAnsi="Times New Roman" w:cs="Times New Roman"/>
          <w:sz w:val="24"/>
          <w:szCs w:val="24"/>
        </w:rPr>
        <w:t xml:space="preserve">The two most common variants causing SW CAH were successfully detected, i.e., </w:t>
      </w:r>
      <w:r w:rsidR="000923B6" w:rsidRPr="000923B6">
        <w:rPr>
          <w:rFonts w:ascii="Times New Roman" w:eastAsia="Times New Roman" w:hAnsi="Times New Roman" w:cs="Times New Roman"/>
          <w:sz w:val="24"/>
          <w:szCs w:val="24"/>
        </w:rPr>
        <w:t>IVS2-13A/C&gt;G</w:t>
      </w:r>
      <w:r w:rsidR="000923B6">
        <w:rPr>
          <w:rFonts w:ascii="Times New Roman" w:eastAsia="Times New Roman" w:hAnsi="Times New Roman" w:cs="Times New Roman"/>
          <w:sz w:val="24"/>
          <w:szCs w:val="24"/>
        </w:rPr>
        <w:t xml:space="preserve"> and </w:t>
      </w:r>
      <w:proofErr w:type="gramStart"/>
      <w:r w:rsidR="000923B6">
        <w:rPr>
          <w:rFonts w:ascii="Times New Roman" w:eastAsia="Times New Roman" w:hAnsi="Times New Roman" w:cs="Times New Roman"/>
          <w:sz w:val="24"/>
          <w:szCs w:val="24"/>
        </w:rPr>
        <w:t>p.Gln</w:t>
      </w:r>
      <w:proofErr w:type="gramEnd"/>
      <w:r w:rsidR="000923B6">
        <w:rPr>
          <w:rFonts w:ascii="Times New Roman" w:eastAsia="Times New Roman" w:hAnsi="Times New Roman" w:cs="Times New Roman"/>
          <w:sz w:val="24"/>
          <w:szCs w:val="24"/>
        </w:rPr>
        <w:t xml:space="preserve">318Ter. </w:t>
      </w:r>
      <w:r w:rsidR="00C2195E">
        <w:rPr>
          <w:rFonts w:ascii="Times New Roman" w:eastAsia="Times New Roman" w:hAnsi="Times New Roman" w:cs="Times New Roman"/>
          <w:sz w:val="24"/>
          <w:szCs w:val="24"/>
        </w:rPr>
        <w:t xml:space="preserve">Nevertheless, </w:t>
      </w:r>
      <w:r w:rsidR="00634202" w:rsidRPr="00634202">
        <w:rPr>
          <w:rFonts w:ascii="Times New Roman" w:eastAsia="Times New Roman" w:hAnsi="Times New Roman" w:cs="Times New Roman"/>
          <w:sz w:val="24"/>
          <w:szCs w:val="24"/>
        </w:rPr>
        <w:t>a more advanced molecular technique, such as MLPA combined with Sanger sequencing</w:t>
      </w:r>
      <w:r w:rsidR="00634202">
        <w:rPr>
          <w:rFonts w:ascii="Times New Roman" w:eastAsia="Times New Roman" w:hAnsi="Times New Roman" w:cs="Times New Roman"/>
          <w:sz w:val="24"/>
          <w:szCs w:val="24"/>
        </w:rPr>
        <w:t xml:space="preserve">, </w:t>
      </w:r>
      <w:r w:rsidR="00BA7B09">
        <w:rPr>
          <w:rFonts w:ascii="Times New Roman" w:eastAsia="Times New Roman" w:hAnsi="Times New Roman" w:cs="Times New Roman"/>
          <w:sz w:val="24"/>
          <w:szCs w:val="24"/>
        </w:rPr>
        <w:t xml:space="preserve">is recommended </w:t>
      </w:r>
      <w:r w:rsidR="000E69AF">
        <w:rPr>
          <w:rFonts w:ascii="Times New Roman" w:eastAsia="Times New Roman" w:hAnsi="Times New Roman" w:cs="Times New Roman"/>
          <w:sz w:val="24"/>
          <w:szCs w:val="24"/>
        </w:rPr>
        <w:t xml:space="preserve">due to its ability to discover novel variants in CAH patients, thereby enabling correct diagnosis, early </w:t>
      </w:r>
      <w:r w:rsidR="003D4130">
        <w:rPr>
          <w:rFonts w:ascii="Times New Roman" w:eastAsia="Times New Roman" w:hAnsi="Times New Roman" w:cs="Times New Roman"/>
          <w:sz w:val="24"/>
          <w:szCs w:val="24"/>
        </w:rPr>
        <w:t xml:space="preserve">and personalized </w:t>
      </w:r>
      <w:r w:rsidR="000E69AF">
        <w:rPr>
          <w:rFonts w:ascii="Times New Roman" w:eastAsia="Times New Roman" w:hAnsi="Times New Roman" w:cs="Times New Roman"/>
          <w:sz w:val="24"/>
          <w:szCs w:val="24"/>
        </w:rPr>
        <w:t>treatment, and genetic counseling</w:t>
      </w:r>
      <w:r w:rsidR="00634202" w:rsidRPr="00634202">
        <w:rPr>
          <w:rFonts w:ascii="Times New Roman" w:eastAsia="Times New Roman" w:hAnsi="Times New Roman" w:cs="Times New Roman"/>
          <w:sz w:val="24"/>
          <w:szCs w:val="24"/>
        </w:rPr>
        <w:t>.</w:t>
      </w:r>
    </w:p>
    <w:p w14:paraId="3298A8EA" w14:textId="77777777" w:rsidR="008E6C80" w:rsidRDefault="008E6C80">
      <w:pPr>
        <w:spacing w:after="0" w:line="240" w:lineRule="auto"/>
        <w:ind w:left="0" w:hanging="2"/>
        <w:jc w:val="both"/>
        <w:rPr>
          <w:rFonts w:ascii="Times New Roman" w:eastAsia="Times New Roman" w:hAnsi="Times New Roman" w:cs="Times New Roman"/>
          <w:sz w:val="24"/>
          <w:szCs w:val="24"/>
        </w:rPr>
      </w:pPr>
    </w:p>
    <w:p w14:paraId="3298A8EC" w14:textId="1A7D9083" w:rsidR="008E6C80" w:rsidRDefault="005D3AC0" w:rsidP="000E69AF">
      <w:pPr>
        <w:pStyle w:val="Heading1"/>
      </w:pPr>
      <w:r>
        <w:t>ACKNOWLEDGMENTS</w:t>
      </w:r>
    </w:p>
    <w:p w14:paraId="25767FCE" w14:textId="2A1690A6" w:rsidR="00FF2752" w:rsidRDefault="00FF2752" w:rsidP="00B56C9A">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authors would like to express gratitude to the CAH patients </w:t>
      </w:r>
      <w:r w:rsidR="00871E73">
        <w:rPr>
          <w:rFonts w:ascii="Times New Roman" w:eastAsia="Times New Roman" w:hAnsi="Times New Roman" w:cs="Times New Roman"/>
          <w:sz w:val="24"/>
          <w:szCs w:val="24"/>
        </w:rPr>
        <w:t xml:space="preserve">for </w:t>
      </w:r>
      <w:r>
        <w:rPr>
          <w:rFonts w:ascii="Times New Roman" w:eastAsia="Times New Roman" w:hAnsi="Times New Roman" w:cs="Times New Roman"/>
          <w:sz w:val="24"/>
          <w:szCs w:val="24"/>
        </w:rPr>
        <w:t xml:space="preserve">participating in the study, the lab technicians at the Center for Biomedical Research (CEBIOR), Faculty of Medicine </w:t>
      </w:r>
      <w:proofErr w:type="spellStart"/>
      <w:r>
        <w:rPr>
          <w:rFonts w:ascii="Times New Roman" w:eastAsia="Times New Roman" w:hAnsi="Times New Roman" w:cs="Times New Roman"/>
          <w:sz w:val="24"/>
          <w:szCs w:val="24"/>
        </w:rPr>
        <w:t>Universitas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Diponegoro</w:t>
      </w:r>
      <w:proofErr w:type="spellEnd"/>
      <w:r w:rsidR="00871E73">
        <w:rPr>
          <w:rFonts w:ascii="Times New Roman" w:eastAsia="Times New Roman" w:hAnsi="Times New Roman" w:cs="Times New Roman"/>
          <w:sz w:val="24"/>
          <w:szCs w:val="24"/>
        </w:rPr>
        <w:t xml:space="preserve">, for assisting in the research process, and </w:t>
      </w:r>
      <w:r w:rsidR="007719E3">
        <w:rPr>
          <w:rFonts w:ascii="Times New Roman" w:eastAsia="Times New Roman" w:hAnsi="Times New Roman" w:cs="Times New Roman"/>
          <w:i/>
          <w:iCs/>
          <w:sz w:val="24"/>
          <w:szCs w:val="24"/>
        </w:rPr>
        <w:t xml:space="preserve">Pendidikan Magister </w:t>
      </w:r>
      <w:proofErr w:type="spellStart"/>
      <w:r w:rsidR="007719E3">
        <w:rPr>
          <w:rFonts w:ascii="Times New Roman" w:eastAsia="Times New Roman" w:hAnsi="Times New Roman" w:cs="Times New Roman"/>
          <w:i/>
          <w:iCs/>
          <w:sz w:val="24"/>
          <w:szCs w:val="24"/>
        </w:rPr>
        <w:t>menuju</w:t>
      </w:r>
      <w:proofErr w:type="spellEnd"/>
      <w:r w:rsidR="007719E3">
        <w:rPr>
          <w:rFonts w:ascii="Times New Roman" w:eastAsia="Times New Roman" w:hAnsi="Times New Roman" w:cs="Times New Roman"/>
          <w:i/>
          <w:iCs/>
          <w:sz w:val="24"/>
          <w:szCs w:val="24"/>
        </w:rPr>
        <w:t xml:space="preserve"> </w:t>
      </w:r>
      <w:proofErr w:type="spellStart"/>
      <w:r w:rsidR="007719E3">
        <w:rPr>
          <w:rFonts w:ascii="Times New Roman" w:eastAsia="Times New Roman" w:hAnsi="Times New Roman" w:cs="Times New Roman"/>
          <w:i/>
          <w:iCs/>
          <w:sz w:val="24"/>
          <w:szCs w:val="24"/>
        </w:rPr>
        <w:t>Doktor</w:t>
      </w:r>
      <w:proofErr w:type="spellEnd"/>
      <w:r w:rsidR="007719E3">
        <w:rPr>
          <w:rFonts w:ascii="Times New Roman" w:eastAsia="Times New Roman" w:hAnsi="Times New Roman" w:cs="Times New Roman"/>
          <w:i/>
          <w:iCs/>
          <w:sz w:val="24"/>
          <w:szCs w:val="24"/>
        </w:rPr>
        <w:t xml:space="preserve"> </w:t>
      </w:r>
      <w:proofErr w:type="spellStart"/>
      <w:r w:rsidR="007719E3">
        <w:rPr>
          <w:rFonts w:ascii="Times New Roman" w:eastAsia="Times New Roman" w:hAnsi="Times New Roman" w:cs="Times New Roman"/>
          <w:i/>
          <w:iCs/>
          <w:sz w:val="24"/>
          <w:szCs w:val="24"/>
        </w:rPr>
        <w:t>untuk</w:t>
      </w:r>
      <w:proofErr w:type="spellEnd"/>
      <w:r w:rsidR="007719E3">
        <w:rPr>
          <w:rFonts w:ascii="Times New Roman" w:eastAsia="Times New Roman" w:hAnsi="Times New Roman" w:cs="Times New Roman"/>
          <w:i/>
          <w:iCs/>
          <w:sz w:val="24"/>
          <w:szCs w:val="24"/>
        </w:rPr>
        <w:t xml:space="preserve"> </w:t>
      </w:r>
      <w:proofErr w:type="spellStart"/>
      <w:r w:rsidR="007719E3">
        <w:rPr>
          <w:rFonts w:ascii="Times New Roman" w:eastAsia="Times New Roman" w:hAnsi="Times New Roman" w:cs="Times New Roman"/>
          <w:i/>
          <w:iCs/>
          <w:sz w:val="24"/>
          <w:szCs w:val="24"/>
        </w:rPr>
        <w:t>Sarjana</w:t>
      </w:r>
      <w:proofErr w:type="spellEnd"/>
      <w:r w:rsidR="007719E3">
        <w:rPr>
          <w:rFonts w:ascii="Times New Roman" w:eastAsia="Times New Roman" w:hAnsi="Times New Roman" w:cs="Times New Roman"/>
          <w:i/>
          <w:iCs/>
          <w:sz w:val="24"/>
          <w:szCs w:val="24"/>
        </w:rPr>
        <w:t xml:space="preserve"> </w:t>
      </w:r>
      <w:proofErr w:type="spellStart"/>
      <w:r w:rsidR="007719E3">
        <w:rPr>
          <w:rFonts w:ascii="Times New Roman" w:eastAsia="Times New Roman" w:hAnsi="Times New Roman" w:cs="Times New Roman"/>
          <w:i/>
          <w:iCs/>
          <w:sz w:val="24"/>
          <w:szCs w:val="24"/>
        </w:rPr>
        <w:t>Unggul</w:t>
      </w:r>
      <w:proofErr w:type="spellEnd"/>
      <w:r w:rsidR="007719E3">
        <w:rPr>
          <w:rFonts w:ascii="Times New Roman" w:eastAsia="Times New Roman" w:hAnsi="Times New Roman" w:cs="Times New Roman"/>
          <w:i/>
          <w:iCs/>
          <w:sz w:val="24"/>
          <w:szCs w:val="24"/>
        </w:rPr>
        <w:t xml:space="preserve"> </w:t>
      </w:r>
      <w:r w:rsidR="007719E3">
        <w:rPr>
          <w:rFonts w:ascii="Times New Roman" w:eastAsia="Times New Roman" w:hAnsi="Times New Roman" w:cs="Times New Roman"/>
          <w:sz w:val="24"/>
          <w:szCs w:val="24"/>
        </w:rPr>
        <w:t xml:space="preserve">(PMDSU) scholarship by the </w:t>
      </w:r>
      <w:r w:rsidR="00B56C9A" w:rsidRPr="00B56C9A">
        <w:rPr>
          <w:rFonts w:ascii="Times New Roman" w:eastAsia="Times New Roman" w:hAnsi="Times New Roman" w:cs="Times New Roman"/>
          <w:sz w:val="24"/>
          <w:szCs w:val="24"/>
        </w:rPr>
        <w:t>Ministry of Higher Education,</w:t>
      </w:r>
      <w:r w:rsidR="00B56C9A">
        <w:rPr>
          <w:rFonts w:ascii="Times New Roman" w:eastAsia="Times New Roman" w:hAnsi="Times New Roman" w:cs="Times New Roman"/>
          <w:sz w:val="24"/>
          <w:szCs w:val="24"/>
        </w:rPr>
        <w:t xml:space="preserve"> </w:t>
      </w:r>
      <w:r w:rsidR="00B56C9A" w:rsidRPr="00B56C9A">
        <w:rPr>
          <w:rFonts w:ascii="Times New Roman" w:eastAsia="Times New Roman" w:hAnsi="Times New Roman" w:cs="Times New Roman"/>
          <w:sz w:val="24"/>
          <w:szCs w:val="24"/>
        </w:rPr>
        <w:t>Science, and Technology</w:t>
      </w:r>
      <w:r w:rsidR="00B56C9A">
        <w:rPr>
          <w:rFonts w:ascii="Times New Roman" w:eastAsia="Times New Roman" w:hAnsi="Times New Roman" w:cs="Times New Roman"/>
          <w:sz w:val="24"/>
          <w:szCs w:val="24"/>
        </w:rPr>
        <w:t xml:space="preserve"> of the Republic of Indonesia for providing the </w:t>
      </w:r>
      <w:r w:rsidR="00C047B3">
        <w:rPr>
          <w:rFonts w:ascii="Times New Roman" w:eastAsia="Times New Roman" w:hAnsi="Times New Roman" w:cs="Times New Roman"/>
          <w:sz w:val="24"/>
          <w:szCs w:val="24"/>
        </w:rPr>
        <w:t>financial support for</w:t>
      </w:r>
      <w:r w:rsidR="00B56C9A">
        <w:rPr>
          <w:rFonts w:ascii="Times New Roman" w:eastAsia="Times New Roman" w:hAnsi="Times New Roman" w:cs="Times New Roman"/>
          <w:sz w:val="24"/>
          <w:szCs w:val="24"/>
        </w:rPr>
        <w:t xml:space="preserve"> the study</w:t>
      </w:r>
      <w:r w:rsidR="00871E73">
        <w:rPr>
          <w:rFonts w:ascii="Times New Roman" w:eastAsia="Times New Roman" w:hAnsi="Times New Roman" w:cs="Times New Roman"/>
          <w:sz w:val="24"/>
          <w:szCs w:val="24"/>
        </w:rPr>
        <w:t xml:space="preserve">. </w:t>
      </w:r>
    </w:p>
    <w:p w14:paraId="3298A8EF" w14:textId="77777777" w:rsidR="008E6C80" w:rsidRDefault="008E6C80">
      <w:pPr>
        <w:spacing w:after="0" w:line="240" w:lineRule="auto"/>
        <w:ind w:left="0" w:hanging="2"/>
        <w:jc w:val="both"/>
        <w:rPr>
          <w:rFonts w:ascii="Times New Roman" w:eastAsia="Times New Roman" w:hAnsi="Times New Roman" w:cs="Times New Roman"/>
          <w:color w:val="D9D9D9"/>
          <w:sz w:val="24"/>
          <w:szCs w:val="24"/>
        </w:rPr>
      </w:pPr>
    </w:p>
    <w:p w14:paraId="3298A8F0" w14:textId="0E339A27" w:rsidR="008E6C80" w:rsidRPr="00DA5A84" w:rsidRDefault="005D3AC0" w:rsidP="000E69AF">
      <w:pPr>
        <w:pStyle w:val="Heading1"/>
        <w:rPr>
          <w:color w:val="FF3300"/>
          <w:lang w:val="nl-NL"/>
        </w:rPr>
      </w:pPr>
      <w:r w:rsidRPr="00DA5A84">
        <w:rPr>
          <w:lang w:val="nl-NL"/>
        </w:rPr>
        <w:t>REFERENCES</w:t>
      </w:r>
    </w:p>
    <w:p w14:paraId="7794E052" w14:textId="77777777" w:rsidR="006F5FE4" w:rsidRPr="006F5FE4" w:rsidRDefault="00D75C30" w:rsidP="0071648C">
      <w:pPr>
        <w:pStyle w:val="Bibliography"/>
        <w:ind w:left="0" w:hanging="2"/>
        <w:jc w:val="both"/>
        <w:rPr>
          <w:rFonts w:ascii="Times New Roman" w:hAnsi="Times New Roman" w:cs="Times New Roman"/>
          <w:sz w:val="24"/>
        </w:rPr>
      </w:pPr>
      <w:r>
        <w:rPr>
          <w:rFonts w:eastAsia="Times New Roman"/>
          <w:sz w:val="24"/>
          <w:szCs w:val="24"/>
        </w:rPr>
        <w:lastRenderedPageBreak/>
        <w:fldChar w:fldCharType="begin"/>
      </w:r>
      <w:r w:rsidR="006F5FE4">
        <w:rPr>
          <w:rFonts w:eastAsia="Times New Roman"/>
          <w:sz w:val="24"/>
          <w:szCs w:val="24"/>
          <w:lang w:val="nl-NL"/>
        </w:rPr>
        <w:instrText xml:space="preserve"> ADDIN ZOTERO_BIBL {"uncited":[],"omitted":[],"custom":[]} CSL_BIBLIOGRAPHY </w:instrText>
      </w:r>
      <w:r>
        <w:rPr>
          <w:rFonts w:eastAsia="Times New Roman"/>
          <w:sz w:val="24"/>
          <w:szCs w:val="24"/>
        </w:rPr>
        <w:fldChar w:fldCharType="separate"/>
      </w:r>
      <w:r w:rsidR="006F5FE4" w:rsidRPr="0071648C">
        <w:rPr>
          <w:rFonts w:ascii="Times New Roman" w:hAnsi="Times New Roman" w:cs="Times New Roman"/>
          <w:sz w:val="24"/>
          <w:lang w:val="nl-NL"/>
        </w:rPr>
        <w:t>1.</w:t>
      </w:r>
      <w:r w:rsidR="006F5FE4" w:rsidRPr="0071648C">
        <w:rPr>
          <w:rFonts w:ascii="Times New Roman" w:hAnsi="Times New Roman" w:cs="Times New Roman"/>
          <w:sz w:val="24"/>
          <w:lang w:val="nl-NL"/>
        </w:rPr>
        <w:tab/>
        <w:t xml:space="preserve">Claahsen - van der Grinten HL, Speiser PW, Ahmed SF, et al. </w:t>
      </w:r>
      <w:r w:rsidR="006F5FE4" w:rsidRPr="006F5FE4">
        <w:rPr>
          <w:rFonts w:ascii="Times New Roman" w:hAnsi="Times New Roman" w:cs="Times New Roman"/>
          <w:sz w:val="24"/>
        </w:rPr>
        <w:t xml:space="preserve">Congenital Adrenal Hyperplasia—Current Insights in Pathophysiology, Diagnostics, and Management. </w:t>
      </w:r>
      <w:r w:rsidR="006F5FE4" w:rsidRPr="006F5FE4">
        <w:rPr>
          <w:rFonts w:ascii="Times New Roman" w:hAnsi="Times New Roman" w:cs="Times New Roman"/>
          <w:i/>
          <w:iCs/>
          <w:sz w:val="24"/>
        </w:rPr>
        <w:t>Endocr Rev</w:t>
      </w:r>
      <w:r w:rsidR="006F5FE4" w:rsidRPr="006F5FE4">
        <w:rPr>
          <w:rFonts w:ascii="Times New Roman" w:hAnsi="Times New Roman" w:cs="Times New Roman"/>
          <w:sz w:val="24"/>
        </w:rPr>
        <w:t>. 2022;43(1):91-159. doi:10.1210/endrev/bnab016</w:t>
      </w:r>
    </w:p>
    <w:p w14:paraId="256E8FFE" w14:textId="77777777" w:rsidR="006F5FE4" w:rsidRPr="006F5FE4" w:rsidRDefault="006F5FE4" w:rsidP="0071648C">
      <w:pPr>
        <w:pStyle w:val="Bibliography"/>
        <w:ind w:left="0" w:hanging="2"/>
        <w:jc w:val="both"/>
        <w:rPr>
          <w:rFonts w:ascii="Times New Roman" w:hAnsi="Times New Roman" w:cs="Times New Roman"/>
          <w:sz w:val="24"/>
        </w:rPr>
      </w:pPr>
      <w:r w:rsidRPr="006F5FE4">
        <w:rPr>
          <w:rFonts w:ascii="Times New Roman" w:hAnsi="Times New Roman" w:cs="Times New Roman"/>
          <w:sz w:val="24"/>
        </w:rPr>
        <w:t>2.</w:t>
      </w:r>
      <w:r w:rsidRPr="006F5FE4">
        <w:rPr>
          <w:rFonts w:ascii="Times New Roman" w:hAnsi="Times New Roman" w:cs="Times New Roman"/>
          <w:sz w:val="24"/>
        </w:rPr>
        <w:tab/>
        <w:t xml:space="preserve">Speiser PW, Arlt W, Auchus RJ, et al. Congenital Adrenal Hyperplasia Due to Steroid 21-Hydroxylase Deficiency: An Endocrine Society* Clinical Practice Guideline. </w:t>
      </w:r>
      <w:r w:rsidRPr="006F5FE4">
        <w:rPr>
          <w:rFonts w:ascii="Times New Roman" w:hAnsi="Times New Roman" w:cs="Times New Roman"/>
          <w:i/>
          <w:iCs/>
          <w:sz w:val="24"/>
        </w:rPr>
        <w:t>J Clin Endocrinol Metab</w:t>
      </w:r>
      <w:r w:rsidRPr="006F5FE4">
        <w:rPr>
          <w:rFonts w:ascii="Times New Roman" w:hAnsi="Times New Roman" w:cs="Times New Roman"/>
          <w:sz w:val="24"/>
        </w:rPr>
        <w:t>. 2018;103(11):4043-4088. doi:10.1210/jc.2018-01865</w:t>
      </w:r>
    </w:p>
    <w:p w14:paraId="1D96D3D3" w14:textId="77777777" w:rsidR="006F5FE4" w:rsidRPr="006F5FE4" w:rsidRDefault="006F5FE4" w:rsidP="0071648C">
      <w:pPr>
        <w:pStyle w:val="Bibliography"/>
        <w:ind w:left="0" w:hanging="2"/>
        <w:jc w:val="both"/>
        <w:rPr>
          <w:rFonts w:ascii="Times New Roman" w:hAnsi="Times New Roman" w:cs="Times New Roman"/>
          <w:sz w:val="24"/>
        </w:rPr>
      </w:pPr>
      <w:r w:rsidRPr="006F5FE4">
        <w:rPr>
          <w:rFonts w:ascii="Times New Roman" w:hAnsi="Times New Roman" w:cs="Times New Roman"/>
          <w:sz w:val="24"/>
        </w:rPr>
        <w:t>3.</w:t>
      </w:r>
      <w:r w:rsidRPr="006F5FE4">
        <w:rPr>
          <w:rFonts w:ascii="Times New Roman" w:hAnsi="Times New Roman" w:cs="Times New Roman"/>
          <w:sz w:val="24"/>
        </w:rPr>
        <w:tab/>
        <w:t xml:space="preserve">Armstrong K, Benedict Yap A, Chan-Cua S, et al. We All Have a Role to Play: Redressing Inequities for Children Living with CAH and Other Chronic Health Conditions of Childhood in Resource-Poor Settings. </w:t>
      </w:r>
      <w:r w:rsidRPr="006F5FE4">
        <w:rPr>
          <w:rFonts w:ascii="Times New Roman" w:hAnsi="Times New Roman" w:cs="Times New Roman"/>
          <w:i/>
          <w:iCs/>
          <w:sz w:val="24"/>
        </w:rPr>
        <w:t>Int J Neonatal Screen</w:t>
      </w:r>
      <w:r w:rsidRPr="006F5FE4">
        <w:rPr>
          <w:rFonts w:ascii="Times New Roman" w:hAnsi="Times New Roman" w:cs="Times New Roman"/>
          <w:sz w:val="24"/>
        </w:rPr>
        <w:t>. 2020;6(4):76. doi:10.3390/ijns6040076</w:t>
      </w:r>
    </w:p>
    <w:p w14:paraId="3E49033E" w14:textId="77777777" w:rsidR="006F5FE4" w:rsidRPr="006F5FE4" w:rsidRDefault="006F5FE4" w:rsidP="0071648C">
      <w:pPr>
        <w:pStyle w:val="Bibliography"/>
        <w:ind w:left="0" w:hanging="2"/>
        <w:jc w:val="both"/>
        <w:rPr>
          <w:rFonts w:ascii="Times New Roman" w:hAnsi="Times New Roman" w:cs="Times New Roman"/>
          <w:sz w:val="24"/>
        </w:rPr>
      </w:pPr>
      <w:r w:rsidRPr="006F5FE4">
        <w:rPr>
          <w:rFonts w:ascii="Times New Roman" w:hAnsi="Times New Roman" w:cs="Times New Roman"/>
          <w:sz w:val="24"/>
        </w:rPr>
        <w:t>4.</w:t>
      </w:r>
      <w:r w:rsidRPr="006F5FE4">
        <w:rPr>
          <w:rFonts w:ascii="Times New Roman" w:hAnsi="Times New Roman" w:cs="Times New Roman"/>
          <w:sz w:val="24"/>
        </w:rPr>
        <w:tab/>
        <w:t xml:space="preserve">Adriaansen BPH, Utari A, Westra D, et al. 46,XX males with congenital adrenal hyperplasia: a clinical and biochemical description. </w:t>
      </w:r>
      <w:r w:rsidRPr="006F5FE4">
        <w:rPr>
          <w:rFonts w:ascii="Times New Roman" w:hAnsi="Times New Roman" w:cs="Times New Roman"/>
          <w:i/>
          <w:iCs/>
          <w:sz w:val="24"/>
        </w:rPr>
        <w:t>Front Endocrinol</w:t>
      </w:r>
      <w:r w:rsidRPr="006F5FE4">
        <w:rPr>
          <w:rFonts w:ascii="Times New Roman" w:hAnsi="Times New Roman" w:cs="Times New Roman"/>
          <w:sz w:val="24"/>
        </w:rPr>
        <w:t>. 2024;15. https://www.frontiersin.org/journals/endocrinology/articles/10.3389/fendo.2024.1410122</w:t>
      </w:r>
    </w:p>
    <w:p w14:paraId="120E4734" w14:textId="77777777" w:rsidR="006F5FE4" w:rsidRPr="006F5FE4" w:rsidRDefault="006F5FE4" w:rsidP="0071648C">
      <w:pPr>
        <w:pStyle w:val="Bibliography"/>
        <w:ind w:left="0" w:hanging="2"/>
        <w:jc w:val="both"/>
        <w:rPr>
          <w:rFonts w:ascii="Times New Roman" w:hAnsi="Times New Roman" w:cs="Times New Roman"/>
          <w:sz w:val="24"/>
        </w:rPr>
      </w:pPr>
      <w:r w:rsidRPr="006F5FE4">
        <w:rPr>
          <w:rFonts w:ascii="Times New Roman" w:hAnsi="Times New Roman" w:cs="Times New Roman"/>
          <w:sz w:val="24"/>
        </w:rPr>
        <w:t>5.</w:t>
      </w:r>
      <w:r w:rsidRPr="006F5FE4">
        <w:rPr>
          <w:rFonts w:ascii="Times New Roman" w:hAnsi="Times New Roman" w:cs="Times New Roman"/>
          <w:sz w:val="24"/>
        </w:rPr>
        <w:tab/>
        <w:t xml:space="preserve">Utari A, Faradz SMH, Ediati A, et al. Challenges in the treatment of late-identified untreated congenital adrenal hyperplasia due to CYP11B1 deficiency: Lessons from a developing country. </w:t>
      </w:r>
      <w:r w:rsidRPr="006F5FE4">
        <w:rPr>
          <w:rFonts w:ascii="Times New Roman" w:hAnsi="Times New Roman" w:cs="Times New Roman"/>
          <w:i/>
          <w:iCs/>
          <w:sz w:val="24"/>
        </w:rPr>
        <w:t>Front Endocrinol</w:t>
      </w:r>
      <w:r w:rsidRPr="006F5FE4">
        <w:rPr>
          <w:rFonts w:ascii="Times New Roman" w:hAnsi="Times New Roman" w:cs="Times New Roman"/>
          <w:sz w:val="24"/>
        </w:rPr>
        <w:t>. 2022;13:1015973. doi:10.3389/fendo.2022.1015973</w:t>
      </w:r>
    </w:p>
    <w:p w14:paraId="48CE5C06" w14:textId="77777777" w:rsidR="006F5FE4" w:rsidRPr="006F5FE4" w:rsidRDefault="006F5FE4" w:rsidP="0071648C">
      <w:pPr>
        <w:pStyle w:val="Bibliography"/>
        <w:ind w:left="0" w:hanging="2"/>
        <w:jc w:val="both"/>
        <w:rPr>
          <w:rFonts w:ascii="Times New Roman" w:hAnsi="Times New Roman" w:cs="Times New Roman"/>
          <w:sz w:val="24"/>
        </w:rPr>
      </w:pPr>
      <w:r w:rsidRPr="006F5FE4">
        <w:rPr>
          <w:rFonts w:ascii="Times New Roman" w:hAnsi="Times New Roman" w:cs="Times New Roman"/>
          <w:sz w:val="24"/>
        </w:rPr>
        <w:t>6.</w:t>
      </w:r>
      <w:r w:rsidRPr="006F5FE4">
        <w:rPr>
          <w:rFonts w:ascii="Times New Roman" w:hAnsi="Times New Roman" w:cs="Times New Roman"/>
          <w:sz w:val="24"/>
        </w:rPr>
        <w:tab/>
        <w:t xml:space="preserve">Yang M, White PC. Genetics and Pathophysiology of Classic Congenital Adrenal Hyperplasia Due to 21-Hydroxylase Deficiency. </w:t>
      </w:r>
      <w:r w:rsidRPr="006F5FE4">
        <w:rPr>
          <w:rFonts w:ascii="Times New Roman" w:hAnsi="Times New Roman" w:cs="Times New Roman"/>
          <w:i/>
          <w:iCs/>
          <w:sz w:val="24"/>
        </w:rPr>
        <w:t>J Clin Endocrinol Metab</w:t>
      </w:r>
      <w:r w:rsidRPr="006F5FE4">
        <w:rPr>
          <w:rFonts w:ascii="Times New Roman" w:hAnsi="Times New Roman" w:cs="Times New Roman"/>
          <w:sz w:val="24"/>
        </w:rPr>
        <w:t>. 2025;110(Supplement_1):S1-s12. doi:10.1210/clinem/dgae535</w:t>
      </w:r>
    </w:p>
    <w:p w14:paraId="2FAD2C9F" w14:textId="77777777" w:rsidR="006F5FE4" w:rsidRPr="006F5FE4" w:rsidRDefault="006F5FE4" w:rsidP="0071648C">
      <w:pPr>
        <w:pStyle w:val="Bibliography"/>
        <w:ind w:left="0" w:hanging="2"/>
        <w:jc w:val="both"/>
        <w:rPr>
          <w:rFonts w:ascii="Times New Roman" w:hAnsi="Times New Roman" w:cs="Times New Roman"/>
          <w:sz w:val="24"/>
        </w:rPr>
      </w:pPr>
      <w:r w:rsidRPr="006F5FE4">
        <w:rPr>
          <w:rFonts w:ascii="Times New Roman" w:hAnsi="Times New Roman" w:cs="Times New Roman"/>
          <w:sz w:val="24"/>
        </w:rPr>
        <w:t>7.</w:t>
      </w:r>
      <w:r w:rsidRPr="006F5FE4">
        <w:rPr>
          <w:rFonts w:ascii="Times New Roman" w:hAnsi="Times New Roman" w:cs="Times New Roman"/>
          <w:sz w:val="24"/>
        </w:rPr>
        <w:tab/>
        <w:t xml:space="preserve">Maher JY, Gomez-Lobo V, Merke DP. The management of congenital adrenal hyperplasia during preconception, pregnancy, and postpartum. </w:t>
      </w:r>
      <w:r w:rsidRPr="006F5FE4">
        <w:rPr>
          <w:rFonts w:ascii="Times New Roman" w:hAnsi="Times New Roman" w:cs="Times New Roman"/>
          <w:i/>
          <w:iCs/>
          <w:sz w:val="24"/>
        </w:rPr>
        <w:t>Rev Endocr Metab Disord</w:t>
      </w:r>
      <w:r w:rsidRPr="006F5FE4">
        <w:rPr>
          <w:rFonts w:ascii="Times New Roman" w:hAnsi="Times New Roman" w:cs="Times New Roman"/>
          <w:sz w:val="24"/>
        </w:rPr>
        <w:t>. 2023;24(1):71-83. doi:10.1007/s11154-022-09770-5</w:t>
      </w:r>
    </w:p>
    <w:p w14:paraId="21958C75" w14:textId="77777777" w:rsidR="006F5FE4" w:rsidRPr="006F5FE4" w:rsidRDefault="006F5FE4" w:rsidP="0071648C">
      <w:pPr>
        <w:pStyle w:val="Bibliography"/>
        <w:ind w:left="0" w:hanging="2"/>
        <w:jc w:val="both"/>
        <w:rPr>
          <w:rFonts w:ascii="Times New Roman" w:hAnsi="Times New Roman" w:cs="Times New Roman"/>
          <w:sz w:val="24"/>
        </w:rPr>
      </w:pPr>
      <w:r w:rsidRPr="006F5FE4">
        <w:rPr>
          <w:rFonts w:ascii="Times New Roman" w:hAnsi="Times New Roman" w:cs="Times New Roman"/>
          <w:sz w:val="24"/>
        </w:rPr>
        <w:t>8.</w:t>
      </w:r>
      <w:r w:rsidRPr="006F5FE4">
        <w:rPr>
          <w:rFonts w:ascii="Times New Roman" w:hAnsi="Times New Roman" w:cs="Times New Roman"/>
          <w:sz w:val="24"/>
        </w:rPr>
        <w:tab/>
        <w:t xml:space="preserve">Zhang B, Lu L, Lu Z. Molecular diagnosis of Chinese patients with 21-hydroxylase deficiency and analysis of genotype–phenotype correlations. </w:t>
      </w:r>
      <w:r w:rsidRPr="006F5FE4">
        <w:rPr>
          <w:rFonts w:ascii="Times New Roman" w:hAnsi="Times New Roman" w:cs="Times New Roman"/>
          <w:i/>
          <w:iCs/>
          <w:sz w:val="24"/>
        </w:rPr>
        <w:t>J Int Med Res</w:t>
      </w:r>
      <w:r w:rsidRPr="006F5FE4">
        <w:rPr>
          <w:rFonts w:ascii="Times New Roman" w:hAnsi="Times New Roman" w:cs="Times New Roman"/>
          <w:sz w:val="24"/>
        </w:rPr>
        <w:t>. 2017;45(2):481-492. doi:10.1177/0300060516685204</w:t>
      </w:r>
    </w:p>
    <w:p w14:paraId="013A1CEE" w14:textId="77777777" w:rsidR="006F5FE4" w:rsidRPr="006F5FE4" w:rsidRDefault="006F5FE4" w:rsidP="0071648C">
      <w:pPr>
        <w:pStyle w:val="Bibliography"/>
        <w:ind w:left="0" w:hanging="2"/>
        <w:jc w:val="both"/>
        <w:rPr>
          <w:rFonts w:ascii="Times New Roman" w:hAnsi="Times New Roman" w:cs="Times New Roman"/>
          <w:sz w:val="24"/>
        </w:rPr>
      </w:pPr>
      <w:r w:rsidRPr="006F5FE4">
        <w:rPr>
          <w:rFonts w:ascii="Times New Roman" w:hAnsi="Times New Roman" w:cs="Times New Roman"/>
          <w:sz w:val="24"/>
        </w:rPr>
        <w:t>9.</w:t>
      </w:r>
      <w:r w:rsidRPr="006F5FE4">
        <w:rPr>
          <w:rFonts w:ascii="Times New Roman" w:hAnsi="Times New Roman" w:cs="Times New Roman"/>
          <w:sz w:val="24"/>
        </w:rPr>
        <w:tab/>
        <w:t xml:space="preserve">Yokoyama Y, Teraoka M, Tsuji K, et al. Rapid screening method to detect mutations in CYP21, the gene for 21-hydroxylase. </w:t>
      </w:r>
      <w:r w:rsidRPr="006F5FE4">
        <w:rPr>
          <w:rFonts w:ascii="Times New Roman" w:hAnsi="Times New Roman" w:cs="Times New Roman"/>
          <w:i/>
          <w:iCs/>
          <w:sz w:val="24"/>
        </w:rPr>
        <w:t>Am J Med Genet</w:t>
      </w:r>
      <w:r w:rsidRPr="006F5FE4">
        <w:rPr>
          <w:rFonts w:ascii="Times New Roman" w:hAnsi="Times New Roman" w:cs="Times New Roman"/>
          <w:sz w:val="24"/>
        </w:rPr>
        <w:t>. 2000;94(1):28-31. doi:https://doi.org/10.1002/1096-8628(20000904)94:1&lt;28::AID-AJMG6&gt;3.0.CO;2-F</w:t>
      </w:r>
    </w:p>
    <w:p w14:paraId="2D748152" w14:textId="77777777" w:rsidR="006F5FE4" w:rsidRPr="006F5FE4" w:rsidRDefault="006F5FE4" w:rsidP="0071648C">
      <w:pPr>
        <w:pStyle w:val="Bibliography"/>
        <w:ind w:left="0" w:hanging="2"/>
        <w:jc w:val="both"/>
        <w:rPr>
          <w:rFonts w:ascii="Times New Roman" w:hAnsi="Times New Roman" w:cs="Times New Roman"/>
          <w:sz w:val="24"/>
        </w:rPr>
      </w:pPr>
      <w:r w:rsidRPr="006F5FE4">
        <w:rPr>
          <w:rFonts w:ascii="Times New Roman" w:hAnsi="Times New Roman" w:cs="Times New Roman"/>
          <w:sz w:val="24"/>
        </w:rPr>
        <w:t>10.</w:t>
      </w:r>
      <w:r w:rsidRPr="006F5FE4">
        <w:rPr>
          <w:rFonts w:ascii="Times New Roman" w:hAnsi="Times New Roman" w:cs="Times New Roman"/>
          <w:sz w:val="24"/>
        </w:rPr>
        <w:tab/>
        <w:t xml:space="preserve">Faradz SMH, Listyasari N, Utari A, et al. Lessons Learned from 17 Years of Multidisciplinary Care for Differences of Sex Development Patients at a Single Indonesian Center. </w:t>
      </w:r>
      <w:r w:rsidRPr="006F5FE4">
        <w:rPr>
          <w:rFonts w:ascii="Times New Roman" w:hAnsi="Times New Roman" w:cs="Times New Roman"/>
          <w:i/>
          <w:iCs/>
          <w:sz w:val="24"/>
        </w:rPr>
        <w:t>Sex Dev</w:t>
      </w:r>
      <w:r w:rsidRPr="006F5FE4">
        <w:rPr>
          <w:rFonts w:ascii="Times New Roman" w:hAnsi="Times New Roman" w:cs="Times New Roman"/>
          <w:sz w:val="24"/>
        </w:rPr>
        <w:t>. Published online September 12, 2023:1-11. doi:10.1159/000534085</w:t>
      </w:r>
    </w:p>
    <w:p w14:paraId="6991FCBB" w14:textId="77777777" w:rsidR="006F5FE4" w:rsidRPr="0071648C" w:rsidRDefault="006F5FE4" w:rsidP="0071648C">
      <w:pPr>
        <w:pStyle w:val="Bibliography"/>
        <w:ind w:left="0" w:hanging="2"/>
        <w:jc w:val="both"/>
        <w:rPr>
          <w:rFonts w:ascii="Times New Roman" w:hAnsi="Times New Roman" w:cs="Times New Roman"/>
          <w:sz w:val="24"/>
          <w:lang w:val="nl-NL"/>
        </w:rPr>
      </w:pPr>
      <w:r w:rsidRPr="006F5FE4">
        <w:rPr>
          <w:rFonts w:ascii="Times New Roman" w:hAnsi="Times New Roman" w:cs="Times New Roman"/>
          <w:sz w:val="24"/>
        </w:rPr>
        <w:t>11.</w:t>
      </w:r>
      <w:r w:rsidRPr="006F5FE4">
        <w:rPr>
          <w:rFonts w:ascii="Times New Roman" w:hAnsi="Times New Roman" w:cs="Times New Roman"/>
          <w:sz w:val="24"/>
        </w:rPr>
        <w:tab/>
        <w:t xml:space="preserve">Asanuma A, Ohura T, Ogawa E, et al. Molecular analysis of Japanese patients with steroid 21-hydroxylase deficiency. </w:t>
      </w:r>
      <w:r w:rsidRPr="0071648C">
        <w:rPr>
          <w:rFonts w:ascii="Times New Roman" w:hAnsi="Times New Roman" w:cs="Times New Roman"/>
          <w:i/>
          <w:iCs/>
          <w:sz w:val="24"/>
          <w:lang w:val="nl-NL"/>
        </w:rPr>
        <w:t>J Hum Genet</w:t>
      </w:r>
      <w:r w:rsidRPr="0071648C">
        <w:rPr>
          <w:rFonts w:ascii="Times New Roman" w:hAnsi="Times New Roman" w:cs="Times New Roman"/>
          <w:sz w:val="24"/>
          <w:lang w:val="nl-NL"/>
        </w:rPr>
        <w:t>. 1999;44(5):312-317. doi:10.1007/s100380050167</w:t>
      </w:r>
    </w:p>
    <w:p w14:paraId="20998464" w14:textId="77777777" w:rsidR="006F5FE4" w:rsidRPr="006F5FE4" w:rsidRDefault="006F5FE4" w:rsidP="0071648C">
      <w:pPr>
        <w:pStyle w:val="Bibliography"/>
        <w:ind w:left="0" w:hanging="2"/>
        <w:jc w:val="both"/>
        <w:rPr>
          <w:rFonts w:ascii="Times New Roman" w:hAnsi="Times New Roman" w:cs="Times New Roman"/>
          <w:sz w:val="24"/>
        </w:rPr>
      </w:pPr>
      <w:r w:rsidRPr="0071648C">
        <w:rPr>
          <w:rFonts w:ascii="Times New Roman" w:hAnsi="Times New Roman" w:cs="Times New Roman"/>
          <w:sz w:val="24"/>
          <w:lang w:val="nl-NL"/>
        </w:rPr>
        <w:t>12.</w:t>
      </w:r>
      <w:r w:rsidRPr="0071648C">
        <w:rPr>
          <w:rFonts w:ascii="Times New Roman" w:hAnsi="Times New Roman" w:cs="Times New Roman"/>
          <w:sz w:val="24"/>
          <w:lang w:val="nl-NL"/>
        </w:rPr>
        <w:tab/>
        <w:t xml:space="preserve">Shvartsman E, Richmond MEI, Schellenberg JJ, et al. </w:t>
      </w:r>
      <w:r w:rsidRPr="006F5FE4">
        <w:rPr>
          <w:rFonts w:ascii="Times New Roman" w:hAnsi="Times New Roman" w:cs="Times New Roman"/>
          <w:sz w:val="24"/>
        </w:rPr>
        <w:t xml:space="preserve">Comparative analysis of DNA extraction and PCR product purification methods for cervicovaginal microbiome analysis </w:t>
      </w:r>
      <w:r w:rsidRPr="006F5FE4">
        <w:rPr>
          <w:rFonts w:ascii="Times New Roman" w:hAnsi="Times New Roman" w:cs="Times New Roman"/>
          <w:sz w:val="24"/>
        </w:rPr>
        <w:lastRenderedPageBreak/>
        <w:t xml:space="preserve">using cpn60 microbial profiling. </w:t>
      </w:r>
      <w:r w:rsidRPr="006F5FE4">
        <w:rPr>
          <w:rFonts w:ascii="Times New Roman" w:hAnsi="Times New Roman" w:cs="Times New Roman"/>
          <w:i/>
          <w:iCs/>
          <w:sz w:val="24"/>
        </w:rPr>
        <w:t>PloS One</w:t>
      </w:r>
      <w:r w:rsidRPr="006F5FE4">
        <w:rPr>
          <w:rFonts w:ascii="Times New Roman" w:hAnsi="Times New Roman" w:cs="Times New Roman"/>
          <w:sz w:val="24"/>
        </w:rPr>
        <w:t>. 2022;17(1):e0262355. doi:10.1371/journal.pone.0262355</w:t>
      </w:r>
    </w:p>
    <w:p w14:paraId="3C78A215" w14:textId="77777777" w:rsidR="006F5FE4" w:rsidRPr="006F5FE4" w:rsidRDefault="006F5FE4" w:rsidP="0071648C">
      <w:pPr>
        <w:pStyle w:val="Bibliography"/>
        <w:ind w:left="0" w:hanging="2"/>
        <w:jc w:val="both"/>
        <w:rPr>
          <w:rFonts w:ascii="Times New Roman" w:hAnsi="Times New Roman" w:cs="Times New Roman"/>
          <w:sz w:val="24"/>
        </w:rPr>
      </w:pPr>
      <w:r w:rsidRPr="006F5FE4">
        <w:rPr>
          <w:rFonts w:ascii="Times New Roman" w:hAnsi="Times New Roman" w:cs="Times New Roman"/>
          <w:sz w:val="24"/>
        </w:rPr>
        <w:t>13.</w:t>
      </w:r>
      <w:r w:rsidRPr="006F5FE4">
        <w:rPr>
          <w:rFonts w:ascii="Times New Roman" w:hAnsi="Times New Roman" w:cs="Times New Roman"/>
          <w:sz w:val="24"/>
        </w:rPr>
        <w:tab/>
        <w:t xml:space="preserve">Pedersen LMI, Stangegaard M, Mogensen HS, Morling N. Purification and concentration of PCR products leads to increased signal intensities with fewer allelic drop-outs and artifacts. </w:t>
      </w:r>
      <w:r w:rsidRPr="006F5FE4">
        <w:rPr>
          <w:rFonts w:ascii="Times New Roman" w:hAnsi="Times New Roman" w:cs="Times New Roman"/>
          <w:i/>
          <w:iCs/>
          <w:sz w:val="24"/>
        </w:rPr>
        <w:t>Prog Forensic Genet 14</w:t>
      </w:r>
      <w:r w:rsidRPr="006F5FE4">
        <w:rPr>
          <w:rFonts w:ascii="Times New Roman" w:hAnsi="Times New Roman" w:cs="Times New Roman"/>
          <w:sz w:val="24"/>
        </w:rPr>
        <w:t>. 2011;3(1):e347-e348. doi:10.1016/j.fsigss.2011.09.036</w:t>
      </w:r>
    </w:p>
    <w:p w14:paraId="7AEECA7B" w14:textId="77777777" w:rsidR="006F5FE4" w:rsidRPr="006F5FE4" w:rsidRDefault="006F5FE4" w:rsidP="0071648C">
      <w:pPr>
        <w:pStyle w:val="Bibliography"/>
        <w:ind w:left="0" w:hanging="2"/>
        <w:jc w:val="both"/>
        <w:rPr>
          <w:rFonts w:ascii="Times New Roman" w:hAnsi="Times New Roman" w:cs="Times New Roman"/>
          <w:sz w:val="24"/>
        </w:rPr>
      </w:pPr>
      <w:r w:rsidRPr="006F5FE4">
        <w:rPr>
          <w:rFonts w:ascii="Times New Roman" w:hAnsi="Times New Roman" w:cs="Times New Roman"/>
          <w:sz w:val="24"/>
        </w:rPr>
        <w:t>14.</w:t>
      </w:r>
      <w:r w:rsidRPr="006F5FE4">
        <w:rPr>
          <w:rFonts w:ascii="Times New Roman" w:hAnsi="Times New Roman" w:cs="Times New Roman"/>
          <w:sz w:val="24"/>
        </w:rPr>
        <w:tab/>
        <w:t xml:space="preserve">Smith PJ, Ballantyne J. Simplified Low-Copy-Number DNA Analysis by Post-PCR Purification. </w:t>
      </w:r>
      <w:r w:rsidRPr="006F5FE4">
        <w:rPr>
          <w:rFonts w:ascii="Times New Roman" w:hAnsi="Times New Roman" w:cs="Times New Roman"/>
          <w:i/>
          <w:iCs/>
          <w:sz w:val="24"/>
        </w:rPr>
        <w:t>J Forensic Sci</w:t>
      </w:r>
      <w:r w:rsidRPr="006F5FE4">
        <w:rPr>
          <w:rFonts w:ascii="Times New Roman" w:hAnsi="Times New Roman" w:cs="Times New Roman"/>
          <w:sz w:val="24"/>
        </w:rPr>
        <w:t>. 2007;52(4):820-829. doi:10.1111/j.1556-4029.2007.00470.x</w:t>
      </w:r>
    </w:p>
    <w:p w14:paraId="35DABC22" w14:textId="77777777" w:rsidR="006F5FE4" w:rsidRPr="0071648C" w:rsidRDefault="006F5FE4" w:rsidP="0071648C">
      <w:pPr>
        <w:pStyle w:val="Bibliography"/>
        <w:ind w:left="0" w:hanging="2"/>
        <w:jc w:val="both"/>
        <w:rPr>
          <w:rFonts w:ascii="Times New Roman" w:hAnsi="Times New Roman" w:cs="Times New Roman"/>
          <w:sz w:val="24"/>
          <w:lang w:val="nl-NL"/>
        </w:rPr>
      </w:pPr>
      <w:r w:rsidRPr="006F5FE4">
        <w:rPr>
          <w:rFonts w:ascii="Times New Roman" w:hAnsi="Times New Roman" w:cs="Times New Roman"/>
          <w:sz w:val="24"/>
        </w:rPr>
        <w:t>15.</w:t>
      </w:r>
      <w:r w:rsidRPr="006F5FE4">
        <w:rPr>
          <w:rFonts w:ascii="Times New Roman" w:hAnsi="Times New Roman" w:cs="Times New Roman"/>
          <w:sz w:val="24"/>
        </w:rPr>
        <w:tab/>
        <w:t xml:space="preserve">Espinosa Reyes TM, Collazo Mesa T, Lantigua Cruz PA, Agramonte Machado A, Domínguez Alonso E, Falhammar H. Genotype-Phenotype Correlation in Patients with Congenital Adrenal Hyperplasia due to 21-Hydroxylase Deficiency in Cuba. </w:t>
      </w:r>
      <w:r w:rsidRPr="0071648C">
        <w:rPr>
          <w:rFonts w:ascii="Times New Roman" w:hAnsi="Times New Roman" w:cs="Times New Roman"/>
          <w:i/>
          <w:iCs/>
          <w:sz w:val="24"/>
          <w:lang w:val="nl-NL"/>
        </w:rPr>
        <w:t>Int J Endocrinol</w:t>
      </w:r>
      <w:r w:rsidRPr="0071648C">
        <w:rPr>
          <w:rFonts w:ascii="Times New Roman" w:hAnsi="Times New Roman" w:cs="Times New Roman"/>
          <w:sz w:val="24"/>
          <w:lang w:val="nl-NL"/>
        </w:rPr>
        <w:t>. 2021;2021:9316284. doi:10.1155/2021/9316284</w:t>
      </w:r>
    </w:p>
    <w:p w14:paraId="23702A1D" w14:textId="77777777" w:rsidR="006F5FE4" w:rsidRPr="0071648C" w:rsidRDefault="006F5FE4" w:rsidP="0071648C">
      <w:pPr>
        <w:pStyle w:val="Bibliography"/>
        <w:ind w:left="0" w:hanging="2"/>
        <w:jc w:val="both"/>
        <w:rPr>
          <w:rFonts w:ascii="Times New Roman" w:hAnsi="Times New Roman" w:cs="Times New Roman"/>
          <w:sz w:val="24"/>
          <w:lang w:val="nl-NL"/>
        </w:rPr>
      </w:pPr>
      <w:r w:rsidRPr="0071648C">
        <w:rPr>
          <w:rFonts w:ascii="Times New Roman" w:hAnsi="Times New Roman" w:cs="Times New Roman"/>
          <w:sz w:val="24"/>
          <w:lang w:val="nl-NL"/>
        </w:rPr>
        <w:t>16.</w:t>
      </w:r>
      <w:r w:rsidRPr="0071648C">
        <w:rPr>
          <w:rFonts w:ascii="Times New Roman" w:hAnsi="Times New Roman" w:cs="Times New Roman"/>
          <w:sz w:val="24"/>
          <w:lang w:val="nl-NL"/>
        </w:rPr>
        <w:tab/>
        <w:t xml:space="preserve">Liu Y, Zheng J, Liu N, et al. </w:t>
      </w:r>
      <w:r w:rsidRPr="006F5FE4">
        <w:rPr>
          <w:rFonts w:ascii="Times New Roman" w:hAnsi="Times New Roman" w:cs="Times New Roman"/>
          <w:sz w:val="24"/>
        </w:rPr>
        <w:t xml:space="preserve">The spectrum of CYP21A2 gene mutations in patients with classic salt wasting form of 2l-hydroxylase deficiency in a Chinese cohort. </w:t>
      </w:r>
      <w:r w:rsidRPr="0071648C">
        <w:rPr>
          <w:rFonts w:ascii="Times New Roman" w:hAnsi="Times New Roman" w:cs="Times New Roman"/>
          <w:i/>
          <w:iCs/>
          <w:sz w:val="24"/>
          <w:lang w:val="nl-NL"/>
        </w:rPr>
        <w:t>Mol Genet Genomic Med</w:t>
      </w:r>
      <w:r w:rsidRPr="0071648C">
        <w:rPr>
          <w:rFonts w:ascii="Times New Roman" w:hAnsi="Times New Roman" w:cs="Times New Roman"/>
          <w:sz w:val="24"/>
          <w:lang w:val="nl-NL"/>
        </w:rPr>
        <w:t>. 2020;8(11):e1501. doi:10.1002/mgg3.1501</w:t>
      </w:r>
    </w:p>
    <w:p w14:paraId="210C5222" w14:textId="77777777" w:rsidR="006F5FE4" w:rsidRPr="006F5FE4" w:rsidRDefault="006F5FE4" w:rsidP="0071648C">
      <w:pPr>
        <w:pStyle w:val="Bibliography"/>
        <w:ind w:left="0" w:hanging="2"/>
        <w:jc w:val="both"/>
        <w:rPr>
          <w:rFonts w:ascii="Times New Roman" w:hAnsi="Times New Roman" w:cs="Times New Roman"/>
          <w:sz w:val="24"/>
        </w:rPr>
      </w:pPr>
      <w:r w:rsidRPr="0071648C">
        <w:rPr>
          <w:rFonts w:ascii="Times New Roman" w:hAnsi="Times New Roman" w:cs="Times New Roman"/>
          <w:sz w:val="24"/>
          <w:lang w:val="nl-NL"/>
        </w:rPr>
        <w:t>17.</w:t>
      </w:r>
      <w:r w:rsidRPr="0071648C">
        <w:rPr>
          <w:rFonts w:ascii="Times New Roman" w:hAnsi="Times New Roman" w:cs="Times New Roman"/>
          <w:sz w:val="24"/>
          <w:lang w:val="nl-NL"/>
        </w:rPr>
        <w:tab/>
        <w:t xml:space="preserve">Wang X, Wang Y, Ma D, et al. </w:t>
      </w:r>
      <w:r w:rsidRPr="006F5FE4">
        <w:rPr>
          <w:rFonts w:ascii="Times New Roman" w:hAnsi="Times New Roman" w:cs="Times New Roman"/>
          <w:sz w:val="24"/>
        </w:rPr>
        <w:t xml:space="preserve">Neonatal Screening and Genotype-Phenotype Correlation of 21-Hydroxylase Deficiency in the Chinese Population. </w:t>
      </w:r>
      <w:r w:rsidRPr="006F5FE4">
        <w:rPr>
          <w:rFonts w:ascii="Times New Roman" w:hAnsi="Times New Roman" w:cs="Times New Roman"/>
          <w:i/>
          <w:iCs/>
          <w:sz w:val="24"/>
        </w:rPr>
        <w:t>Front Genet</w:t>
      </w:r>
      <w:r w:rsidRPr="006F5FE4">
        <w:rPr>
          <w:rFonts w:ascii="Times New Roman" w:hAnsi="Times New Roman" w:cs="Times New Roman"/>
          <w:sz w:val="24"/>
        </w:rPr>
        <w:t>. 2021;11. https://www.frontiersin.org/journals/genetics/articles/10.3389/fgene.2020.623125</w:t>
      </w:r>
    </w:p>
    <w:p w14:paraId="70B7B3A5" w14:textId="77777777" w:rsidR="006F5FE4" w:rsidRPr="006F5FE4" w:rsidRDefault="006F5FE4" w:rsidP="0071648C">
      <w:pPr>
        <w:pStyle w:val="Bibliography"/>
        <w:ind w:left="0" w:hanging="2"/>
        <w:jc w:val="both"/>
        <w:rPr>
          <w:rFonts w:ascii="Times New Roman" w:hAnsi="Times New Roman" w:cs="Times New Roman"/>
          <w:sz w:val="24"/>
        </w:rPr>
      </w:pPr>
      <w:r w:rsidRPr="006F5FE4">
        <w:rPr>
          <w:rFonts w:ascii="Times New Roman" w:hAnsi="Times New Roman" w:cs="Times New Roman"/>
          <w:sz w:val="24"/>
        </w:rPr>
        <w:t>18.</w:t>
      </w:r>
      <w:r w:rsidRPr="006F5FE4">
        <w:rPr>
          <w:rFonts w:ascii="Times New Roman" w:hAnsi="Times New Roman" w:cs="Times New Roman"/>
          <w:sz w:val="24"/>
        </w:rPr>
        <w:tab/>
        <w:t xml:space="preserve">Khajuria R, Walia R, Bhansali A, Prasad R. The spectrum of CYP21A2 mutations in Congenital Adrenal Hyperplasia in an Indian cohort. </w:t>
      </w:r>
      <w:r w:rsidRPr="006F5FE4">
        <w:rPr>
          <w:rFonts w:ascii="Times New Roman" w:hAnsi="Times New Roman" w:cs="Times New Roman"/>
          <w:i/>
          <w:iCs/>
          <w:sz w:val="24"/>
        </w:rPr>
        <w:t>Clin Chim Acta</w:t>
      </w:r>
      <w:r w:rsidRPr="006F5FE4">
        <w:rPr>
          <w:rFonts w:ascii="Times New Roman" w:hAnsi="Times New Roman" w:cs="Times New Roman"/>
          <w:sz w:val="24"/>
        </w:rPr>
        <w:t>. 2017;464:189-194. doi:10.1016/j.cca.2016.11.037</w:t>
      </w:r>
    </w:p>
    <w:p w14:paraId="5273C437" w14:textId="77777777" w:rsidR="006F5FE4" w:rsidRPr="0071648C" w:rsidRDefault="006F5FE4" w:rsidP="0071648C">
      <w:pPr>
        <w:pStyle w:val="Bibliography"/>
        <w:ind w:left="0" w:hanging="2"/>
        <w:jc w:val="both"/>
        <w:rPr>
          <w:rFonts w:ascii="Times New Roman" w:hAnsi="Times New Roman" w:cs="Times New Roman"/>
          <w:sz w:val="24"/>
          <w:lang w:val="nl-NL"/>
        </w:rPr>
      </w:pPr>
      <w:r w:rsidRPr="006F5FE4">
        <w:rPr>
          <w:rFonts w:ascii="Times New Roman" w:hAnsi="Times New Roman" w:cs="Times New Roman"/>
          <w:sz w:val="24"/>
        </w:rPr>
        <w:t>19.</w:t>
      </w:r>
      <w:r w:rsidRPr="006F5FE4">
        <w:rPr>
          <w:rFonts w:ascii="Times New Roman" w:hAnsi="Times New Roman" w:cs="Times New Roman"/>
          <w:sz w:val="24"/>
        </w:rPr>
        <w:tab/>
        <w:t xml:space="preserve">Riedl S, Röhl FW, Bonfig W, et al. Genotype/phenotype correlations in 538 congenital adrenal hyperplasia patients from Germany and Austria: discordances in milder genotypes and in screened versus prescreening patients. </w:t>
      </w:r>
      <w:r w:rsidRPr="0071648C">
        <w:rPr>
          <w:rFonts w:ascii="Times New Roman" w:hAnsi="Times New Roman" w:cs="Times New Roman"/>
          <w:i/>
          <w:iCs/>
          <w:sz w:val="24"/>
          <w:lang w:val="nl-NL"/>
        </w:rPr>
        <w:t>Endocr Connect</w:t>
      </w:r>
      <w:r w:rsidRPr="0071648C">
        <w:rPr>
          <w:rFonts w:ascii="Times New Roman" w:hAnsi="Times New Roman" w:cs="Times New Roman"/>
          <w:sz w:val="24"/>
          <w:lang w:val="nl-NL"/>
        </w:rPr>
        <w:t>. 2019;8(2):86-94. doi:10.1530/EC-18-0281</w:t>
      </w:r>
    </w:p>
    <w:p w14:paraId="3E3B54D0" w14:textId="77777777" w:rsidR="006F5FE4" w:rsidRPr="006F5FE4" w:rsidRDefault="006F5FE4" w:rsidP="0071648C">
      <w:pPr>
        <w:pStyle w:val="Bibliography"/>
        <w:ind w:left="0" w:hanging="2"/>
        <w:jc w:val="both"/>
        <w:rPr>
          <w:rFonts w:ascii="Times New Roman" w:hAnsi="Times New Roman" w:cs="Times New Roman"/>
          <w:sz w:val="24"/>
        </w:rPr>
      </w:pPr>
      <w:r w:rsidRPr="0071648C">
        <w:rPr>
          <w:rFonts w:ascii="Times New Roman" w:hAnsi="Times New Roman" w:cs="Times New Roman"/>
          <w:sz w:val="24"/>
          <w:lang w:val="nl-NL"/>
        </w:rPr>
        <w:t>20.</w:t>
      </w:r>
      <w:r w:rsidRPr="0071648C">
        <w:rPr>
          <w:rFonts w:ascii="Times New Roman" w:hAnsi="Times New Roman" w:cs="Times New Roman"/>
          <w:sz w:val="24"/>
          <w:lang w:val="nl-NL"/>
        </w:rPr>
        <w:tab/>
        <w:t xml:space="preserve">Stikkelbroeck NMML, Hoefsloot LH, de Wijs IJ, Otten BJ, Hermus ARMM, Sistermans EA. </w:t>
      </w:r>
      <w:r w:rsidRPr="006F5FE4">
        <w:rPr>
          <w:rFonts w:ascii="Times New Roman" w:hAnsi="Times New Roman" w:cs="Times New Roman"/>
          <w:sz w:val="24"/>
        </w:rPr>
        <w:t xml:space="preserve">CYP21 Gene Mutation Analysis in 198 Patients with 21-Hydroxylase Deficiency in The Netherlands: Six Novel Mutations and a Specific Cluster of Four Mutations. </w:t>
      </w:r>
      <w:r w:rsidRPr="006F5FE4">
        <w:rPr>
          <w:rFonts w:ascii="Times New Roman" w:hAnsi="Times New Roman" w:cs="Times New Roman"/>
          <w:i/>
          <w:iCs/>
          <w:sz w:val="24"/>
        </w:rPr>
        <w:t>J Clin Endocrinol Metab</w:t>
      </w:r>
      <w:r w:rsidRPr="006F5FE4">
        <w:rPr>
          <w:rFonts w:ascii="Times New Roman" w:hAnsi="Times New Roman" w:cs="Times New Roman"/>
          <w:sz w:val="24"/>
        </w:rPr>
        <w:t>. 2003;88(8):3852-3859. doi:10.1210/jc.2002-021681</w:t>
      </w:r>
    </w:p>
    <w:p w14:paraId="05317972" w14:textId="77777777" w:rsidR="006F5FE4" w:rsidRPr="006F5FE4" w:rsidRDefault="006F5FE4" w:rsidP="0071648C">
      <w:pPr>
        <w:pStyle w:val="Bibliography"/>
        <w:ind w:left="0" w:hanging="2"/>
        <w:jc w:val="both"/>
        <w:rPr>
          <w:rFonts w:ascii="Times New Roman" w:hAnsi="Times New Roman" w:cs="Times New Roman"/>
          <w:sz w:val="24"/>
        </w:rPr>
      </w:pPr>
      <w:r w:rsidRPr="006F5FE4">
        <w:rPr>
          <w:rFonts w:ascii="Times New Roman" w:hAnsi="Times New Roman" w:cs="Times New Roman"/>
          <w:sz w:val="24"/>
        </w:rPr>
        <w:t>21.</w:t>
      </w:r>
      <w:r w:rsidRPr="006F5FE4">
        <w:rPr>
          <w:rFonts w:ascii="Times New Roman" w:hAnsi="Times New Roman" w:cs="Times New Roman"/>
          <w:sz w:val="24"/>
        </w:rPr>
        <w:tab/>
        <w:t xml:space="preserve">Kurzyńska A, Skalniak A, Franson K, Bistika V, Hubalewska-Dydejczyk A, Przybylik-Mazurek E. Molecular analysis and genotype-phenotype correlations in patients with classical congenital adrenal hyperplasia due to 21-hydroxylase deficiency from southern Poland — experience of a clinical center. </w:t>
      </w:r>
      <w:r w:rsidRPr="006F5FE4">
        <w:rPr>
          <w:rFonts w:ascii="Times New Roman" w:hAnsi="Times New Roman" w:cs="Times New Roman"/>
          <w:i/>
          <w:iCs/>
          <w:sz w:val="24"/>
        </w:rPr>
        <w:t>Hormones</w:t>
      </w:r>
      <w:r w:rsidRPr="006F5FE4">
        <w:rPr>
          <w:rFonts w:ascii="Times New Roman" w:hAnsi="Times New Roman" w:cs="Times New Roman"/>
          <w:sz w:val="24"/>
        </w:rPr>
        <w:t>. 2022;21(2):241-249. doi:10.1007/s42000-022-00348-z</w:t>
      </w:r>
    </w:p>
    <w:p w14:paraId="560CC1A3" w14:textId="77777777" w:rsidR="006F5FE4" w:rsidRPr="006F5FE4" w:rsidRDefault="006F5FE4" w:rsidP="0071648C">
      <w:pPr>
        <w:pStyle w:val="Bibliography"/>
        <w:ind w:left="0" w:hanging="2"/>
        <w:jc w:val="both"/>
        <w:rPr>
          <w:rFonts w:ascii="Times New Roman" w:hAnsi="Times New Roman" w:cs="Times New Roman"/>
          <w:sz w:val="24"/>
        </w:rPr>
      </w:pPr>
      <w:r w:rsidRPr="006F5FE4">
        <w:rPr>
          <w:rFonts w:ascii="Times New Roman" w:hAnsi="Times New Roman" w:cs="Times New Roman"/>
          <w:sz w:val="24"/>
        </w:rPr>
        <w:t>22.</w:t>
      </w:r>
      <w:r w:rsidRPr="006F5FE4">
        <w:rPr>
          <w:rFonts w:ascii="Times New Roman" w:hAnsi="Times New Roman" w:cs="Times New Roman"/>
          <w:sz w:val="24"/>
        </w:rPr>
        <w:tab/>
        <w:t xml:space="preserve">Fardella CE, Poggi H, Pineda P, et al. Salt-Wasting Congenital Adrenal Hyperplasia: Detection of Mutations in CYP21B Gene in a Chilean Population1. </w:t>
      </w:r>
      <w:r w:rsidRPr="006F5FE4">
        <w:rPr>
          <w:rFonts w:ascii="Times New Roman" w:hAnsi="Times New Roman" w:cs="Times New Roman"/>
          <w:i/>
          <w:iCs/>
          <w:sz w:val="24"/>
        </w:rPr>
        <w:t>J Clin Endocrinol Metab</w:t>
      </w:r>
      <w:r w:rsidRPr="006F5FE4">
        <w:rPr>
          <w:rFonts w:ascii="Times New Roman" w:hAnsi="Times New Roman" w:cs="Times New Roman"/>
          <w:sz w:val="24"/>
        </w:rPr>
        <w:t>. 1998;83(9):3357-3360. doi:10.1210/jcem.83.9.5071</w:t>
      </w:r>
    </w:p>
    <w:p w14:paraId="426D5F09" w14:textId="77777777" w:rsidR="006F5FE4" w:rsidRPr="0071648C" w:rsidRDefault="006F5FE4" w:rsidP="0071648C">
      <w:pPr>
        <w:pStyle w:val="Bibliography"/>
        <w:ind w:left="0" w:hanging="2"/>
        <w:jc w:val="both"/>
        <w:rPr>
          <w:rFonts w:ascii="Times New Roman" w:hAnsi="Times New Roman" w:cs="Times New Roman"/>
          <w:sz w:val="24"/>
          <w:lang w:val="nl-NL"/>
        </w:rPr>
      </w:pPr>
      <w:r w:rsidRPr="006F5FE4">
        <w:rPr>
          <w:rFonts w:ascii="Times New Roman" w:hAnsi="Times New Roman" w:cs="Times New Roman"/>
          <w:sz w:val="24"/>
        </w:rPr>
        <w:lastRenderedPageBreak/>
        <w:t>23.</w:t>
      </w:r>
      <w:r w:rsidRPr="006F5FE4">
        <w:rPr>
          <w:rFonts w:ascii="Times New Roman" w:hAnsi="Times New Roman" w:cs="Times New Roman"/>
          <w:sz w:val="24"/>
        </w:rPr>
        <w:tab/>
        <w:t xml:space="preserve">Arriba M, Ezquieta B. </w:t>
      </w:r>
      <w:r w:rsidRPr="006F5FE4">
        <w:rPr>
          <w:rFonts w:ascii="Times New Roman" w:hAnsi="Times New Roman" w:cs="Times New Roman"/>
          <w:i/>
          <w:iCs/>
          <w:sz w:val="24"/>
        </w:rPr>
        <w:t>Molecular Diagnosis of Steroid 21-Hydroxylase Deficiency: A Practical Approach</w:t>
      </w:r>
      <w:r w:rsidRPr="006F5FE4">
        <w:rPr>
          <w:rFonts w:ascii="Times New Roman" w:hAnsi="Times New Roman" w:cs="Times New Roman"/>
          <w:sz w:val="24"/>
        </w:rPr>
        <w:t xml:space="preserve">. </w:t>
      </w:r>
      <w:r w:rsidRPr="0071648C">
        <w:rPr>
          <w:rFonts w:ascii="Times New Roman" w:hAnsi="Times New Roman" w:cs="Times New Roman"/>
          <w:sz w:val="24"/>
          <w:lang w:val="nl-NL"/>
        </w:rPr>
        <w:t>Vol 13.; 2022. https://www.frontiersin.org/articles/10.3389/fendo.2022.834549</w:t>
      </w:r>
    </w:p>
    <w:p w14:paraId="78E3A76B" w14:textId="77777777" w:rsidR="006F5FE4" w:rsidRPr="006F5FE4" w:rsidRDefault="006F5FE4" w:rsidP="0071648C">
      <w:pPr>
        <w:pStyle w:val="Bibliography"/>
        <w:ind w:left="0" w:hanging="2"/>
        <w:jc w:val="both"/>
        <w:rPr>
          <w:rFonts w:ascii="Times New Roman" w:hAnsi="Times New Roman" w:cs="Times New Roman"/>
          <w:sz w:val="24"/>
        </w:rPr>
      </w:pPr>
      <w:r w:rsidRPr="0071648C">
        <w:rPr>
          <w:rFonts w:ascii="Times New Roman" w:hAnsi="Times New Roman" w:cs="Times New Roman"/>
          <w:sz w:val="24"/>
          <w:lang w:val="nl-NL"/>
        </w:rPr>
        <w:t>24.</w:t>
      </w:r>
      <w:r w:rsidRPr="0071648C">
        <w:rPr>
          <w:rFonts w:ascii="Times New Roman" w:hAnsi="Times New Roman" w:cs="Times New Roman"/>
          <w:sz w:val="24"/>
          <w:lang w:val="nl-NL"/>
        </w:rPr>
        <w:tab/>
        <w:t xml:space="preserve">Hashim HO, Al-Shuhaib MBS. </w:t>
      </w:r>
      <w:r w:rsidRPr="006F5FE4">
        <w:rPr>
          <w:rFonts w:ascii="Times New Roman" w:hAnsi="Times New Roman" w:cs="Times New Roman"/>
          <w:sz w:val="24"/>
        </w:rPr>
        <w:t xml:space="preserve">Exploring the Potential and Limitations of PCR-RFLP and PCR-SSCP for SNP Detection: A Review. </w:t>
      </w:r>
      <w:r w:rsidRPr="006F5FE4">
        <w:rPr>
          <w:rFonts w:ascii="Times New Roman" w:hAnsi="Times New Roman" w:cs="Times New Roman"/>
          <w:i/>
          <w:iCs/>
          <w:sz w:val="24"/>
        </w:rPr>
        <w:t>J Appl Biotechnol Rep</w:t>
      </w:r>
      <w:r w:rsidRPr="006F5FE4">
        <w:rPr>
          <w:rFonts w:ascii="Times New Roman" w:hAnsi="Times New Roman" w:cs="Times New Roman"/>
          <w:sz w:val="24"/>
        </w:rPr>
        <w:t>. 2019;6(4):137-144. doi:10.29252/JABR.06.04.02</w:t>
      </w:r>
    </w:p>
    <w:p w14:paraId="509ABB31" w14:textId="77777777" w:rsidR="006F5FE4" w:rsidRPr="006F5FE4" w:rsidRDefault="006F5FE4" w:rsidP="0071648C">
      <w:pPr>
        <w:pStyle w:val="Bibliography"/>
        <w:ind w:left="0" w:hanging="2"/>
        <w:jc w:val="both"/>
        <w:rPr>
          <w:rFonts w:ascii="Times New Roman" w:hAnsi="Times New Roman" w:cs="Times New Roman"/>
          <w:sz w:val="24"/>
        </w:rPr>
      </w:pPr>
      <w:r w:rsidRPr="006F5FE4">
        <w:rPr>
          <w:rFonts w:ascii="Times New Roman" w:hAnsi="Times New Roman" w:cs="Times New Roman"/>
          <w:sz w:val="24"/>
        </w:rPr>
        <w:t>25.</w:t>
      </w:r>
      <w:r w:rsidRPr="006F5FE4">
        <w:rPr>
          <w:rFonts w:ascii="Times New Roman" w:hAnsi="Times New Roman" w:cs="Times New Roman"/>
          <w:sz w:val="24"/>
        </w:rPr>
        <w:tab/>
        <w:t>Chial H. DNA fingerprinting using amplified fragment length polymorphisms (AFLP): No genome sequence required. Nature Education. 2008. Accessed June 26, 2024. https://www.nature.com/scitable/topicpage/dna-fingerprinting-using-amplified-fragment-length-polymorphisms-39051/</w:t>
      </w:r>
    </w:p>
    <w:p w14:paraId="5B0C2270" w14:textId="77777777" w:rsidR="006F5FE4" w:rsidRPr="006F5FE4" w:rsidRDefault="006F5FE4" w:rsidP="0071648C">
      <w:pPr>
        <w:pStyle w:val="Bibliography"/>
        <w:ind w:left="0" w:hanging="2"/>
        <w:jc w:val="both"/>
        <w:rPr>
          <w:rFonts w:ascii="Times New Roman" w:hAnsi="Times New Roman" w:cs="Times New Roman"/>
          <w:sz w:val="24"/>
        </w:rPr>
      </w:pPr>
      <w:r w:rsidRPr="006F5FE4">
        <w:rPr>
          <w:rFonts w:ascii="Times New Roman" w:hAnsi="Times New Roman" w:cs="Times New Roman"/>
          <w:sz w:val="24"/>
        </w:rPr>
        <w:t>26.</w:t>
      </w:r>
      <w:r w:rsidRPr="006F5FE4">
        <w:rPr>
          <w:rFonts w:ascii="Times New Roman" w:hAnsi="Times New Roman" w:cs="Times New Roman"/>
          <w:sz w:val="24"/>
        </w:rPr>
        <w:tab/>
        <w:t xml:space="preserve">Yang W, Kang X, Yang Q, Lin Y, Fang M. Review on the development of genotyping methods for assessing farm animal diversity. </w:t>
      </w:r>
      <w:r w:rsidRPr="006F5FE4">
        <w:rPr>
          <w:rFonts w:ascii="Times New Roman" w:hAnsi="Times New Roman" w:cs="Times New Roman"/>
          <w:i/>
          <w:iCs/>
          <w:sz w:val="24"/>
        </w:rPr>
        <w:t>J Anim Sci Biotechnol</w:t>
      </w:r>
      <w:r w:rsidRPr="006F5FE4">
        <w:rPr>
          <w:rFonts w:ascii="Times New Roman" w:hAnsi="Times New Roman" w:cs="Times New Roman"/>
          <w:sz w:val="24"/>
        </w:rPr>
        <w:t>. 2013;4(1):2. doi:10.1186/2049-1891-4-2</w:t>
      </w:r>
    </w:p>
    <w:p w14:paraId="7B920225" w14:textId="77777777" w:rsidR="006F5FE4" w:rsidRPr="006F5FE4" w:rsidRDefault="006F5FE4" w:rsidP="0071648C">
      <w:pPr>
        <w:pStyle w:val="Bibliography"/>
        <w:ind w:left="0" w:hanging="2"/>
        <w:jc w:val="both"/>
        <w:rPr>
          <w:rFonts w:ascii="Times New Roman" w:hAnsi="Times New Roman" w:cs="Times New Roman"/>
          <w:sz w:val="24"/>
        </w:rPr>
      </w:pPr>
      <w:r w:rsidRPr="006F5FE4">
        <w:rPr>
          <w:rFonts w:ascii="Times New Roman" w:hAnsi="Times New Roman" w:cs="Times New Roman"/>
          <w:sz w:val="24"/>
        </w:rPr>
        <w:t>27.</w:t>
      </w:r>
      <w:r w:rsidRPr="006F5FE4">
        <w:rPr>
          <w:rFonts w:ascii="Times New Roman" w:hAnsi="Times New Roman" w:cs="Times New Roman"/>
          <w:sz w:val="24"/>
        </w:rPr>
        <w:tab/>
        <w:t xml:space="preserve">Sakari SL, Jimson S, Masthan KMK, Jacobina J. Role of DNA profiling in forensic odontology. </w:t>
      </w:r>
      <w:r w:rsidRPr="006F5FE4">
        <w:rPr>
          <w:rFonts w:ascii="Times New Roman" w:hAnsi="Times New Roman" w:cs="Times New Roman"/>
          <w:i/>
          <w:iCs/>
          <w:sz w:val="24"/>
        </w:rPr>
        <w:t>J Pharm Bioallied Sci</w:t>
      </w:r>
      <w:r w:rsidRPr="006F5FE4">
        <w:rPr>
          <w:rFonts w:ascii="Times New Roman" w:hAnsi="Times New Roman" w:cs="Times New Roman"/>
          <w:sz w:val="24"/>
        </w:rPr>
        <w:t>. 2015;7(Suppl 1):S138-141. doi:10.4103/0975-7406.155863</w:t>
      </w:r>
    </w:p>
    <w:p w14:paraId="2B692F04" w14:textId="77777777" w:rsidR="006F5FE4" w:rsidRPr="0071648C" w:rsidRDefault="006F5FE4" w:rsidP="0071648C">
      <w:pPr>
        <w:pStyle w:val="Bibliography"/>
        <w:ind w:left="0" w:hanging="2"/>
        <w:jc w:val="both"/>
        <w:rPr>
          <w:rFonts w:ascii="Times New Roman" w:hAnsi="Times New Roman" w:cs="Times New Roman"/>
          <w:sz w:val="24"/>
          <w:lang w:val="nl-NL"/>
        </w:rPr>
      </w:pPr>
      <w:r w:rsidRPr="006F5FE4">
        <w:rPr>
          <w:rFonts w:ascii="Times New Roman" w:hAnsi="Times New Roman" w:cs="Times New Roman"/>
          <w:sz w:val="24"/>
        </w:rPr>
        <w:t>28.</w:t>
      </w:r>
      <w:r w:rsidRPr="006F5FE4">
        <w:rPr>
          <w:rFonts w:ascii="Times New Roman" w:hAnsi="Times New Roman" w:cs="Times New Roman"/>
          <w:sz w:val="24"/>
        </w:rPr>
        <w:tab/>
        <w:t xml:space="preserve">Neocleous V, Fanis P, Phylactou LA, Skordis N. </w:t>
      </w:r>
      <w:r w:rsidRPr="006F5FE4">
        <w:rPr>
          <w:rFonts w:ascii="Times New Roman" w:hAnsi="Times New Roman" w:cs="Times New Roman"/>
          <w:i/>
          <w:iCs/>
          <w:sz w:val="24"/>
        </w:rPr>
        <w:t>Genotype Is Associated to the Degree of Virilization in Patients With Classic Congenital Adrenal Hyperplasia</w:t>
      </w:r>
      <w:r w:rsidRPr="006F5FE4">
        <w:rPr>
          <w:rFonts w:ascii="Times New Roman" w:hAnsi="Times New Roman" w:cs="Times New Roman"/>
          <w:sz w:val="24"/>
        </w:rPr>
        <w:t xml:space="preserve">. </w:t>
      </w:r>
      <w:r w:rsidRPr="0071648C">
        <w:rPr>
          <w:rFonts w:ascii="Times New Roman" w:hAnsi="Times New Roman" w:cs="Times New Roman"/>
          <w:sz w:val="24"/>
          <w:lang w:val="nl-NL"/>
        </w:rPr>
        <w:t>Vol 9.; 2018. https://www.frontiersin.org/articles/10.3389/fendo.2018.00733</w:t>
      </w:r>
    </w:p>
    <w:p w14:paraId="7D3D83BE" w14:textId="77777777" w:rsidR="006F5FE4" w:rsidRPr="006F5FE4" w:rsidRDefault="006F5FE4" w:rsidP="0071648C">
      <w:pPr>
        <w:pStyle w:val="Bibliography"/>
        <w:ind w:left="0" w:hanging="2"/>
        <w:jc w:val="both"/>
        <w:rPr>
          <w:rFonts w:ascii="Times New Roman" w:hAnsi="Times New Roman" w:cs="Times New Roman"/>
          <w:sz w:val="24"/>
        </w:rPr>
      </w:pPr>
      <w:r w:rsidRPr="0071648C">
        <w:rPr>
          <w:rFonts w:ascii="Times New Roman" w:hAnsi="Times New Roman" w:cs="Times New Roman"/>
          <w:sz w:val="24"/>
          <w:lang w:val="nl-NL"/>
        </w:rPr>
        <w:t>29.</w:t>
      </w:r>
      <w:r w:rsidRPr="0071648C">
        <w:rPr>
          <w:rFonts w:ascii="Times New Roman" w:hAnsi="Times New Roman" w:cs="Times New Roman"/>
          <w:sz w:val="24"/>
          <w:lang w:val="nl-NL"/>
        </w:rPr>
        <w:tab/>
        <w:t xml:space="preserve">Fu X, Shi Y, Ma J, et al. </w:t>
      </w:r>
      <w:r w:rsidRPr="006F5FE4">
        <w:rPr>
          <w:rFonts w:ascii="Times New Roman" w:hAnsi="Times New Roman" w:cs="Times New Roman"/>
          <w:sz w:val="24"/>
        </w:rPr>
        <w:t xml:space="preserve">Advances of Multiplex Ligation-dependent Probe Amplification Technology in Molecular Diagnostics. </w:t>
      </w:r>
      <w:r w:rsidRPr="006F5FE4">
        <w:rPr>
          <w:rFonts w:ascii="Times New Roman" w:hAnsi="Times New Roman" w:cs="Times New Roman"/>
          <w:i/>
          <w:iCs/>
          <w:sz w:val="24"/>
        </w:rPr>
        <w:t>BioTechniques</w:t>
      </w:r>
      <w:r w:rsidRPr="006F5FE4">
        <w:rPr>
          <w:rFonts w:ascii="Times New Roman" w:hAnsi="Times New Roman" w:cs="Times New Roman"/>
          <w:sz w:val="24"/>
        </w:rPr>
        <w:t>. 2022;73(4):205-213. doi:10.2144/btn-2022-0017</w:t>
      </w:r>
    </w:p>
    <w:p w14:paraId="3BF40151" w14:textId="77777777" w:rsidR="006F5FE4" w:rsidRPr="006F5FE4" w:rsidRDefault="006F5FE4" w:rsidP="0071648C">
      <w:pPr>
        <w:pStyle w:val="Bibliography"/>
        <w:ind w:left="0" w:hanging="2"/>
        <w:jc w:val="both"/>
        <w:rPr>
          <w:rFonts w:ascii="Times New Roman" w:hAnsi="Times New Roman" w:cs="Times New Roman"/>
          <w:sz w:val="24"/>
        </w:rPr>
      </w:pPr>
      <w:r w:rsidRPr="006F5FE4">
        <w:rPr>
          <w:rFonts w:ascii="Times New Roman" w:hAnsi="Times New Roman" w:cs="Times New Roman"/>
          <w:sz w:val="24"/>
        </w:rPr>
        <w:t>30.</w:t>
      </w:r>
      <w:r w:rsidRPr="006F5FE4">
        <w:rPr>
          <w:rFonts w:ascii="Times New Roman" w:hAnsi="Times New Roman" w:cs="Times New Roman"/>
          <w:sz w:val="24"/>
        </w:rPr>
        <w:tab/>
        <w:t xml:space="preserve">Yuan D, Cai R, Mao A, et al. Improved genetic characterization of congenital adrenal hyperplasia by long-read sequencing compared with multiplex ligation-dependent probe amplification plus Sanger sequencing. </w:t>
      </w:r>
      <w:r w:rsidRPr="006F5FE4">
        <w:rPr>
          <w:rFonts w:ascii="Times New Roman" w:hAnsi="Times New Roman" w:cs="Times New Roman"/>
          <w:i/>
          <w:iCs/>
          <w:sz w:val="24"/>
        </w:rPr>
        <w:t>J Mol Diagn</w:t>
      </w:r>
      <w:r w:rsidRPr="006F5FE4">
        <w:rPr>
          <w:rFonts w:ascii="Times New Roman" w:hAnsi="Times New Roman" w:cs="Times New Roman"/>
          <w:sz w:val="24"/>
        </w:rPr>
        <w:t>. Published online June 24, 2024. doi:10.1016/j.jmoldx.2024.05.009</w:t>
      </w:r>
    </w:p>
    <w:p w14:paraId="1AE34C7B" w14:textId="77777777" w:rsidR="006F5FE4" w:rsidRPr="006F5FE4" w:rsidRDefault="006F5FE4" w:rsidP="0071648C">
      <w:pPr>
        <w:pStyle w:val="Bibliography"/>
        <w:ind w:left="0" w:hanging="2"/>
        <w:jc w:val="both"/>
        <w:rPr>
          <w:rFonts w:ascii="Times New Roman" w:hAnsi="Times New Roman" w:cs="Times New Roman"/>
          <w:sz w:val="24"/>
        </w:rPr>
      </w:pPr>
      <w:r w:rsidRPr="006F5FE4">
        <w:rPr>
          <w:rFonts w:ascii="Times New Roman" w:hAnsi="Times New Roman" w:cs="Times New Roman"/>
          <w:sz w:val="24"/>
        </w:rPr>
        <w:t>31.</w:t>
      </w:r>
      <w:r w:rsidRPr="006F5FE4">
        <w:rPr>
          <w:rFonts w:ascii="Times New Roman" w:hAnsi="Times New Roman" w:cs="Times New Roman"/>
          <w:sz w:val="24"/>
        </w:rPr>
        <w:tab/>
        <w:t xml:space="preserve">Radu M, Moldovan R, Băban A. Families with complex needs: an inside perspective from young people, their carers, and healthcare providers. </w:t>
      </w:r>
      <w:r w:rsidRPr="006F5FE4">
        <w:rPr>
          <w:rFonts w:ascii="Times New Roman" w:hAnsi="Times New Roman" w:cs="Times New Roman"/>
          <w:i/>
          <w:iCs/>
          <w:sz w:val="24"/>
        </w:rPr>
        <w:t>J Community Genet</w:t>
      </w:r>
      <w:r w:rsidRPr="006F5FE4">
        <w:rPr>
          <w:rFonts w:ascii="Times New Roman" w:hAnsi="Times New Roman" w:cs="Times New Roman"/>
          <w:sz w:val="24"/>
        </w:rPr>
        <w:t>. 2022;13(3):293-302. doi:10.1007/s12687-022-00586-z</w:t>
      </w:r>
    </w:p>
    <w:p w14:paraId="1CF9CC2C" w14:textId="77777777" w:rsidR="006F5FE4" w:rsidRPr="006F5FE4" w:rsidRDefault="006F5FE4" w:rsidP="0071648C">
      <w:pPr>
        <w:pStyle w:val="Bibliography"/>
        <w:ind w:left="0" w:hanging="2"/>
        <w:jc w:val="both"/>
        <w:rPr>
          <w:rFonts w:ascii="Times New Roman" w:hAnsi="Times New Roman" w:cs="Times New Roman"/>
          <w:sz w:val="24"/>
        </w:rPr>
      </w:pPr>
      <w:r w:rsidRPr="006F5FE4">
        <w:rPr>
          <w:rFonts w:ascii="Times New Roman" w:hAnsi="Times New Roman" w:cs="Times New Roman"/>
          <w:sz w:val="24"/>
        </w:rPr>
        <w:t>32.</w:t>
      </w:r>
      <w:r w:rsidRPr="006F5FE4">
        <w:rPr>
          <w:rFonts w:ascii="Times New Roman" w:hAnsi="Times New Roman" w:cs="Times New Roman"/>
          <w:sz w:val="24"/>
        </w:rPr>
        <w:tab/>
        <w:t xml:space="preserve">Higgs E, Wain KE, Wynn J, et al. Measuring quality and value in genetic counseling: The current landscape and future directions. </w:t>
      </w:r>
      <w:r w:rsidRPr="006F5FE4">
        <w:rPr>
          <w:rFonts w:ascii="Times New Roman" w:hAnsi="Times New Roman" w:cs="Times New Roman"/>
          <w:i/>
          <w:iCs/>
          <w:sz w:val="24"/>
        </w:rPr>
        <w:t>J Genet Couns</w:t>
      </w:r>
      <w:r w:rsidRPr="006F5FE4">
        <w:rPr>
          <w:rFonts w:ascii="Times New Roman" w:hAnsi="Times New Roman" w:cs="Times New Roman"/>
          <w:sz w:val="24"/>
        </w:rPr>
        <w:t>. 2023;32(2):315-324. doi:10.1002/jgc4.1657</w:t>
      </w:r>
    </w:p>
    <w:p w14:paraId="361A8462" w14:textId="77777777" w:rsidR="006F5FE4" w:rsidRPr="006F5FE4" w:rsidRDefault="006F5FE4" w:rsidP="0071648C">
      <w:pPr>
        <w:pStyle w:val="Bibliography"/>
        <w:ind w:left="0" w:hanging="2"/>
        <w:jc w:val="both"/>
        <w:rPr>
          <w:rFonts w:ascii="Times New Roman" w:hAnsi="Times New Roman" w:cs="Times New Roman"/>
          <w:sz w:val="24"/>
        </w:rPr>
      </w:pPr>
      <w:r w:rsidRPr="006F5FE4">
        <w:rPr>
          <w:rFonts w:ascii="Times New Roman" w:hAnsi="Times New Roman" w:cs="Times New Roman"/>
          <w:sz w:val="24"/>
        </w:rPr>
        <w:t>33.</w:t>
      </w:r>
      <w:r w:rsidRPr="006F5FE4">
        <w:rPr>
          <w:rFonts w:ascii="Times New Roman" w:hAnsi="Times New Roman" w:cs="Times New Roman"/>
          <w:sz w:val="24"/>
        </w:rPr>
        <w:tab/>
        <w:t xml:space="preserve">Madlensky L, Trepanier AM, Cragun D, Lerner B, Shannon KM, Zierhut H. A Rapid Systematic Review of Outcomes Studies in Genetic Counseling. </w:t>
      </w:r>
      <w:r w:rsidRPr="006F5FE4">
        <w:rPr>
          <w:rFonts w:ascii="Times New Roman" w:hAnsi="Times New Roman" w:cs="Times New Roman"/>
          <w:i/>
          <w:iCs/>
          <w:sz w:val="24"/>
        </w:rPr>
        <w:t>J Genet Couns</w:t>
      </w:r>
      <w:r w:rsidRPr="006F5FE4">
        <w:rPr>
          <w:rFonts w:ascii="Times New Roman" w:hAnsi="Times New Roman" w:cs="Times New Roman"/>
          <w:sz w:val="24"/>
        </w:rPr>
        <w:t>. 2017;26(3):361-378. doi:10.1007/s10897-017-0067-x</w:t>
      </w:r>
    </w:p>
    <w:p w14:paraId="3255799F" w14:textId="77777777" w:rsidR="006F5FE4" w:rsidRPr="006F5FE4" w:rsidRDefault="006F5FE4" w:rsidP="0071648C">
      <w:pPr>
        <w:pStyle w:val="Bibliography"/>
        <w:ind w:left="0" w:hanging="2"/>
        <w:jc w:val="both"/>
        <w:rPr>
          <w:rFonts w:ascii="Times New Roman" w:hAnsi="Times New Roman" w:cs="Times New Roman"/>
          <w:sz w:val="24"/>
        </w:rPr>
      </w:pPr>
      <w:r w:rsidRPr="006F5FE4">
        <w:rPr>
          <w:rFonts w:ascii="Times New Roman" w:hAnsi="Times New Roman" w:cs="Times New Roman"/>
          <w:sz w:val="24"/>
        </w:rPr>
        <w:t>34.</w:t>
      </w:r>
      <w:r w:rsidRPr="006F5FE4">
        <w:rPr>
          <w:rFonts w:ascii="Times New Roman" w:hAnsi="Times New Roman" w:cs="Times New Roman"/>
          <w:sz w:val="24"/>
        </w:rPr>
        <w:tab/>
        <w:t xml:space="preserve">Krone N, Arlt W. Genetics of congenital adrenal hyperplasia. </w:t>
      </w:r>
      <w:r w:rsidRPr="006F5FE4">
        <w:rPr>
          <w:rFonts w:ascii="Times New Roman" w:hAnsi="Times New Roman" w:cs="Times New Roman"/>
          <w:i/>
          <w:iCs/>
          <w:sz w:val="24"/>
        </w:rPr>
        <w:t>Best Pract Res Clin Endocrinol Metab</w:t>
      </w:r>
      <w:r w:rsidRPr="006F5FE4">
        <w:rPr>
          <w:rFonts w:ascii="Times New Roman" w:hAnsi="Times New Roman" w:cs="Times New Roman"/>
          <w:sz w:val="24"/>
        </w:rPr>
        <w:t>. 2009;23(2):181-192. doi:10.1016/j.beem.2008.10.014</w:t>
      </w:r>
    </w:p>
    <w:p w14:paraId="3298A8F1" w14:textId="4CD85F2C" w:rsidR="008E6C80" w:rsidRDefault="00D75C30">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p w14:paraId="3298A8F2" w14:textId="77777777" w:rsidR="008E6C80" w:rsidRDefault="008E6C80">
      <w:pPr>
        <w:spacing w:after="0" w:line="240" w:lineRule="auto"/>
        <w:ind w:left="0" w:hanging="2"/>
        <w:jc w:val="both"/>
        <w:rPr>
          <w:rFonts w:ascii="Times New Roman" w:eastAsia="Times New Roman" w:hAnsi="Times New Roman" w:cs="Times New Roman"/>
          <w:sz w:val="24"/>
          <w:szCs w:val="24"/>
        </w:rPr>
      </w:pPr>
    </w:p>
    <w:p w14:paraId="3298A909" w14:textId="77777777" w:rsidR="008E6C80" w:rsidRDefault="008E6C80" w:rsidP="00CA46E3">
      <w:pPr>
        <w:pStyle w:val="Heading1"/>
      </w:pPr>
    </w:p>
    <w:p w14:paraId="3298A90A" w14:textId="77777777" w:rsidR="008E6C80" w:rsidRDefault="008E6C80" w:rsidP="00CA46E3">
      <w:pPr>
        <w:pStyle w:val="Heading1"/>
      </w:pPr>
    </w:p>
    <w:p w14:paraId="089A61F3" w14:textId="77777777" w:rsidR="00012C19" w:rsidRDefault="00012C19" w:rsidP="00CA46E3">
      <w:pPr>
        <w:pStyle w:val="Heading1"/>
        <w:sectPr w:rsidR="00012C19" w:rsidSect="00425D82">
          <w:headerReference w:type="default" r:id="rId8"/>
          <w:footerReference w:type="default" r:id="rId9"/>
          <w:headerReference w:type="first" r:id="rId10"/>
          <w:footerReference w:type="first" r:id="rId11"/>
          <w:pgSz w:w="11907" w:h="16839"/>
          <w:pgMar w:top="1843" w:right="1701" w:bottom="1560" w:left="1701" w:header="568" w:footer="847" w:gutter="0"/>
          <w:lnNumType w:countBy="1" w:restart="continuous"/>
          <w:pgNumType w:start="1"/>
          <w:cols w:space="720"/>
          <w:docGrid w:linePitch="299"/>
        </w:sectPr>
      </w:pPr>
    </w:p>
    <w:p w14:paraId="3298A90C" w14:textId="77777777" w:rsidR="008E6C80" w:rsidRDefault="005D3AC0" w:rsidP="00425D82">
      <w:pPr>
        <w:pStyle w:val="Heading1"/>
        <w:ind w:leftChars="0" w:firstLineChars="0" w:firstLine="0"/>
      </w:pPr>
      <w:r>
        <w:lastRenderedPageBreak/>
        <w:t>FIGURE CAPTIONS</w:t>
      </w:r>
    </w:p>
    <w:p w14:paraId="4753BCFE" w14:textId="3CEFC7BD" w:rsidR="00571C1E" w:rsidRDefault="00CD1E48" w:rsidP="00CD1E48">
      <w:pPr>
        <w:spacing w:after="0" w:line="240" w:lineRule="auto"/>
        <w:ind w:left="0" w:hanging="2"/>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5CE6F68" wp14:editId="36C45E95">
            <wp:extent cx="5400675" cy="1297305"/>
            <wp:effectExtent l="0" t="0" r="9525" b="0"/>
            <wp:docPr id="120433835" name="Afbeelding 1" descr="Afbeelding met schermopname, diagram, lijn,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33835" name="Afbeelding 1" descr="Afbeelding met schermopname, diagram, lijn, tekst&#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5400675" cy="1297305"/>
                    </a:xfrm>
                    <a:prstGeom prst="rect">
                      <a:avLst/>
                    </a:prstGeom>
                  </pic:spPr>
                </pic:pic>
              </a:graphicData>
            </a:graphic>
          </wp:inline>
        </w:drawing>
      </w:r>
    </w:p>
    <w:p w14:paraId="56E88096" w14:textId="1F7CC59A" w:rsidR="00CD1E48" w:rsidRPr="001A5D1C" w:rsidRDefault="00CD1E48" w:rsidP="00CD1E48">
      <w:pPr>
        <w:spacing w:line="240" w:lineRule="auto"/>
        <w:ind w:left="0" w:hanging="2"/>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Right arrow</w:t>
      </w:r>
      <w:r w:rsidR="000B2872">
        <w:rPr>
          <w:rFonts w:ascii="Times New Roman" w:eastAsia="Times New Roman" w:hAnsi="Times New Roman" w:cs="Times New Roman"/>
          <w:sz w:val="18"/>
          <w:szCs w:val="18"/>
        </w:rPr>
        <w:t>s</w:t>
      </w:r>
      <w:r w:rsidRPr="00697B28">
        <w:rPr>
          <w:rFonts w:ascii="Times New Roman" w:eastAsia="Times New Roman" w:hAnsi="Times New Roman" w:cs="Times New Roman"/>
          <w:sz w:val="18"/>
          <w:szCs w:val="18"/>
        </w:rPr>
        <w:t xml:space="preserve">: </w:t>
      </w:r>
      <w:r w:rsidR="000B2872">
        <w:rPr>
          <w:rFonts w:ascii="Times New Roman" w:eastAsia="Times New Roman" w:hAnsi="Times New Roman" w:cs="Times New Roman"/>
          <w:sz w:val="18"/>
          <w:szCs w:val="18"/>
        </w:rPr>
        <w:t>forward primers</w:t>
      </w:r>
      <w:r w:rsidRPr="00697B28">
        <w:rPr>
          <w:rFonts w:ascii="Times New Roman" w:eastAsia="Times New Roman" w:hAnsi="Times New Roman" w:cs="Times New Roman"/>
          <w:sz w:val="18"/>
          <w:szCs w:val="18"/>
        </w:rPr>
        <w:t xml:space="preserve">; </w:t>
      </w:r>
      <w:r w:rsidR="000B2872">
        <w:rPr>
          <w:rFonts w:ascii="Times New Roman" w:eastAsia="Times New Roman" w:hAnsi="Times New Roman" w:cs="Times New Roman"/>
          <w:sz w:val="18"/>
          <w:szCs w:val="18"/>
        </w:rPr>
        <w:t>left arrows</w:t>
      </w:r>
      <w:r w:rsidRPr="00697B28">
        <w:rPr>
          <w:rFonts w:ascii="Times New Roman" w:eastAsia="Times New Roman" w:hAnsi="Times New Roman" w:cs="Times New Roman"/>
          <w:sz w:val="18"/>
          <w:szCs w:val="18"/>
        </w:rPr>
        <w:t xml:space="preserve">: </w:t>
      </w:r>
      <w:r w:rsidR="000B2872">
        <w:rPr>
          <w:rFonts w:ascii="Times New Roman" w:eastAsia="Times New Roman" w:hAnsi="Times New Roman" w:cs="Times New Roman"/>
          <w:sz w:val="18"/>
          <w:szCs w:val="18"/>
        </w:rPr>
        <w:t>reverse primers</w:t>
      </w:r>
      <w:r w:rsidRPr="00697B28">
        <w:rPr>
          <w:rFonts w:ascii="Times New Roman" w:eastAsia="Times New Roman" w:hAnsi="Times New Roman" w:cs="Times New Roman"/>
          <w:sz w:val="18"/>
          <w:szCs w:val="18"/>
        </w:rPr>
        <w:t xml:space="preserve">; </w:t>
      </w:r>
      <w:r w:rsidR="000B2872">
        <w:rPr>
          <w:rFonts w:ascii="Times New Roman" w:eastAsia="Times New Roman" w:hAnsi="Times New Roman" w:cs="Times New Roman"/>
          <w:sz w:val="18"/>
          <w:szCs w:val="18"/>
        </w:rPr>
        <w:t>dash lines</w:t>
      </w:r>
      <w:r w:rsidRPr="00697B28">
        <w:rPr>
          <w:rFonts w:ascii="Times New Roman" w:eastAsia="Times New Roman" w:hAnsi="Times New Roman" w:cs="Times New Roman"/>
          <w:sz w:val="18"/>
          <w:szCs w:val="18"/>
        </w:rPr>
        <w:t>:</w:t>
      </w:r>
      <w:r w:rsidR="00C8650C">
        <w:rPr>
          <w:rFonts w:ascii="Times New Roman" w:eastAsia="Times New Roman" w:hAnsi="Times New Roman" w:cs="Times New Roman"/>
          <w:sz w:val="18"/>
          <w:szCs w:val="18"/>
        </w:rPr>
        <w:t xml:space="preserve"> annotated</w:t>
      </w:r>
      <w:r w:rsidRPr="00697B28">
        <w:rPr>
          <w:rFonts w:ascii="Times New Roman" w:eastAsia="Times New Roman" w:hAnsi="Times New Roman" w:cs="Times New Roman"/>
          <w:sz w:val="18"/>
          <w:szCs w:val="18"/>
        </w:rPr>
        <w:t xml:space="preserve"> </w:t>
      </w:r>
      <w:r w:rsidR="000B2872">
        <w:rPr>
          <w:rFonts w:ascii="Times New Roman" w:eastAsia="Times New Roman" w:hAnsi="Times New Roman" w:cs="Times New Roman"/>
          <w:i/>
          <w:iCs/>
          <w:sz w:val="18"/>
          <w:szCs w:val="18"/>
        </w:rPr>
        <w:t xml:space="preserve">CYP21A2 </w:t>
      </w:r>
      <w:r w:rsidR="000B2872">
        <w:rPr>
          <w:rFonts w:ascii="Times New Roman" w:eastAsia="Times New Roman" w:hAnsi="Times New Roman" w:cs="Times New Roman"/>
          <w:sz w:val="18"/>
          <w:szCs w:val="18"/>
        </w:rPr>
        <w:t>point variants</w:t>
      </w:r>
      <w:r w:rsidRPr="00697B28">
        <w:rPr>
          <w:rFonts w:ascii="Times New Roman" w:eastAsia="Times New Roman" w:hAnsi="Times New Roman" w:cs="Times New Roman"/>
          <w:sz w:val="18"/>
          <w:szCs w:val="18"/>
        </w:rPr>
        <w:t xml:space="preserve">; </w:t>
      </w:r>
      <w:r w:rsidR="009B2031">
        <w:rPr>
          <w:rFonts w:ascii="Times New Roman" w:eastAsia="Times New Roman" w:hAnsi="Times New Roman" w:cs="Times New Roman"/>
          <w:sz w:val="18"/>
          <w:szCs w:val="18"/>
        </w:rPr>
        <w:t>blue box</w:t>
      </w:r>
      <w:r w:rsidRPr="00697B28">
        <w:rPr>
          <w:rFonts w:ascii="Times New Roman" w:eastAsia="Times New Roman" w:hAnsi="Times New Roman" w:cs="Times New Roman"/>
          <w:sz w:val="18"/>
          <w:szCs w:val="18"/>
        </w:rPr>
        <w:t xml:space="preserve">: </w:t>
      </w:r>
      <w:r w:rsidR="009B2031">
        <w:rPr>
          <w:rFonts w:ascii="Times New Roman" w:eastAsia="Times New Roman" w:hAnsi="Times New Roman" w:cs="Times New Roman"/>
          <w:sz w:val="18"/>
          <w:szCs w:val="18"/>
        </w:rPr>
        <w:t xml:space="preserve">PCR fragment </w:t>
      </w:r>
      <w:r w:rsidR="00533B15">
        <w:rPr>
          <w:rFonts w:ascii="Times New Roman" w:eastAsia="Times New Roman" w:hAnsi="Times New Roman" w:cs="Times New Roman"/>
          <w:sz w:val="18"/>
          <w:szCs w:val="18"/>
        </w:rPr>
        <w:t xml:space="preserve">from the </w:t>
      </w:r>
      <w:proofErr w:type="gramStart"/>
      <w:r w:rsidR="00533B15">
        <w:rPr>
          <w:rFonts w:ascii="Times New Roman" w:eastAsia="Times New Roman" w:hAnsi="Times New Roman" w:cs="Times New Roman"/>
          <w:sz w:val="18"/>
          <w:szCs w:val="18"/>
        </w:rPr>
        <w:t>first round</w:t>
      </w:r>
      <w:proofErr w:type="gramEnd"/>
      <w:r w:rsidR="009B2031">
        <w:rPr>
          <w:rFonts w:ascii="Times New Roman" w:eastAsia="Times New Roman" w:hAnsi="Times New Roman" w:cs="Times New Roman"/>
          <w:sz w:val="18"/>
          <w:szCs w:val="18"/>
        </w:rPr>
        <w:t xml:space="preserve"> </w:t>
      </w:r>
      <w:r w:rsidR="00533B15">
        <w:rPr>
          <w:rFonts w:ascii="Times New Roman" w:eastAsia="Times New Roman" w:hAnsi="Times New Roman" w:cs="Times New Roman"/>
          <w:sz w:val="18"/>
          <w:szCs w:val="18"/>
        </w:rPr>
        <w:t xml:space="preserve">amplifying exon 1 and 2; </w:t>
      </w:r>
      <w:r w:rsidR="003F7116">
        <w:rPr>
          <w:rFonts w:ascii="Times New Roman" w:eastAsia="Times New Roman" w:hAnsi="Times New Roman" w:cs="Times New Roman"/>
          <w:sz w:val="18"/>
          <w:szCs w:val="18"/>
        </w:rPr>
        <w:t xml:space="preserve">red </w:t>
      </w:r>
      <w:r w:rsidR="00533B15">
        <w:rPr>
          <w:rFonts w:ascii="Times New Roman" w:eastAsia="Times New Roman" w:hAnsi="Times New Roman" w:cs="Times New Roman"/>
          <w:sz w:val="18"/>
          <w:szCs w:val="18"/>
        </w:rPr>
        <w:t xml:space="preserve">box: </w:t>
      </w:r>
      <w:r w:rsidR="003F7116">
        <w:rPr>
          <w:rFonts w:ascii="Times New Roman" w:eastAsia="Times New Roman" w:hAnsi="Times New Roman" w:cs="Times New Roman"/>
          <w:sz w:val="18"/>
          <w:szCs w:val="18"/>
        </w:rPr>
        <w:t>PCR fragment from the second round amplifying intron 2</w:t>
      </w:r>
      <w:r w:rsidRPr="00697B28">
        <w:rPr>
          <w:rFonts w:ascii="Times New Roman" w:eastAsia="Times New Roman" w:hAnsi="Times New Roman" w:cs="Times New Roman"/>
          <w:sz w:val="18"/>
          <w:szCs w:val="18"/>
        </w:rPr>
        <w:t xml:space="preserve">; </w:t>
      </w:r>
      <w:r w:rsidR="003F7116">
        <w:rPr>
          <w:rFonts w:ascii="Times New Roman" w:eastAsia="Times New Roman" w:hAnsi="Times New Roman" w:cs="Times New Roman"/>
          <w:sz w:val="18"/>
          <w:szCs w:val="18"/>
        </w:rPr>
        <w:t>green box</w:t>
      </w:r>
      <w:r w:rsidRPr="00697B28">
        <w:rPr>
          <w:rFonts w:ascii="Times New Roman" w:eastAsia="Times New Roman" w:hAnsi="Times New Roman" w:cs="Times New Roman"/>
          <w:sz w:val="18"/>
          <w:szCs w:val="18"/>
        </w:rPr>
        <w:t xml:space="preserve">: </w:t>
      </w:r>
      <w:r w:rsidR="00C8092E">
        <w:rPr>
          <w:rFonts w:ascii="Times New Roman" w:eastAsia="Times New Roman" w:hAnsi="Times New Roman" w:cs="Times New Roman"/>
          <w:sz w:val="18"/>
          <w:szCs w:val="18"/>
        </w:rPr>
        <w:t>PCR fragment amplifying exon 3 to 10</w:t>
      </w:r>
      <w:r w:rsidRPr="00697B28">
        <w:rPr>
          <w:rFonts w:ascii="Times New Roman" w:eastAsia="Times New Roman" w:hAnsi="Times New Roman" w:cs="Times New Roman"/>
          <w:sz w:val="18"/>
          <w:szCs w:val="18"/>
        </w:rPr>
        <w:t>.</w:t>
      </w:r>
    </w:p>
    <w:p w14:paraId="72863EF4" w14:textId="5C296C77" w:rsidR="00571C1E" w:rsidRPr="00C36762" w:rsidRDefault="00571C1E" w:rsidP="005D3AC0">
      <w:pPr>
        <w:pStyle w:val="Caption"/>
        <w:spacing w:before="60" w:after="120"/>
        <w:jc w:val="center"/>
        <w:rPr>
          <w:rFonts w:eastAsia="Times New Roman"/>
          <w:b w:val="0"/>
          <w:bCs w:val="0"/>
        </w:rPr>
      </w:pPr>
      <w:r>
        <w:t xml:space="preserve">Figure </w:t>
      </w:r>
      <w:r w:rsidR="00F6387E">
        <w:fldChar w:fldCharType="begin"/>
      </w:r>
      <w:r w:rsidR="00F6387E">
        <w:instrText xml:space="preserve"> SEQ Figure \* ARABIC </w:instrText>
      </w:r>
      <w:r w:rsidR="00F6387E">
        <w:fldChar w:fldCharType="separate"/>
      </w:r>
      <w:r w:rsidR="00B11437">
        <w:rPr>
          <w:noProof/>
        </w:rPr>
        <w:t>1</w:t>
      </w:r>
      <w:r w:rsidR="00F6387E">
        <w:rPr>
          <w:noProof/>
        </w:rPr>
        <w:fldChar w:fldCharType="end"/>
      </w:r>
      <w:r>
        <w:t xml:space="preserve">. </w:t>
      </w:r>
      <w:r>
        <w:rPr>
          <w:b w:val="0"/>
          <w:bCs w:val="0"/>
        </w:rPr>
        <w:t xml:space="preserve">Annealing sites of PCR primers for the </w:t>
      </w:r>
      <w:r>
        <w:rPr>
          <w:b w:val="0"/>
          <w:bCs w:val="0"/>
          <w:i/>
          <w:iCs/>
        </w:rPr>
        <w:t>CYP21A2</w:t>
      </w:r>
    </w:p>
    <w:p w14:paraId="0A67B33C" w14:textId="77777777" w:rsidR="00571C1E" w:rsidRDefault="00571C1E">
      <w:pPr>
        <w:ind w:left="0" w:hanging="2"/>
        <w:rPr>
          <w:rFonts w:ascii="Times New Roman" w:eastAsia="Times New Roman" w:hAnsi="Times New Roman" w:cs="Times New Roman"/>
          <w:sz w:val="24"/>
          <w:szCs w:val="24"/>
        </w:rPr>
      </w:pPr>
    </w:p>
    <w:p w14:paraId="19CD2984" w14:textId="77777777" w:rsidR="007D2C4A" w:rsidRPr="008A29F5" w:rsidRDefault="007D2C4A" w:rsidP="007D2C4A">
      <w:pPr>
        <w:spacing w:after="0" w:line="240" w:lineRule="auto"/>
        <w:ind w:left="0" w:hanging="2"/>
        <w:jc w:val="both"/>
        <w:rPr>
          <w:rFonts w:ascii="Times New Roman" w:eastAsia="Times New Roman" w:hAnsi="Times New Roman" w:cs="Times New Roman"/>
          <w:sz w:val="24"/>
          <w:szCs w:val="24"/>
        </w:rPr>
      </w:pPr>
      <w:r>
        <w:rPr>
          <w:noProof/>
        </w:rPr>
        <w:drawing>
          <wp:inline distT="0" distB="0" distL="0" distR="0" wp14:anchorId="4100473E" wp14:editId="42B9FB6D">
            <wp:extent cx="5040000" cy="1123379"/>
            <wp:effectExtent l="0" t="0" r="8255" b="635"/>
            <wp:docPr id="5241018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01860" name="Picture 1"/>
                    <pic:cNvPicPr/>
                  </pic:nvPicPr>
                  <pic:blipFill rotWithShape="1">
                    <a:blip r:embed="rId13" cstate="print">
                      <a:extLst>
                        <a:ext uri="{28A0092B-C50C-407E-A947-70E740481C1C}">
                          <a14:useLocalDpi xmlns:a14="http://schemas.microsoft.com/office/drawing/2010/main" val="0"/>
                        </a:ext>
                      </a:extLst>
                    </a:blip>
                    <a:srcRect l="3385" t="5637" b="34095"/>
                    <a:stretch/>
                  </pic:blipFill>
                  <pic:spPr bwMode="auto">
                    <a:xfrm>
                      <a:off x="0" y="0"/>
                      <a:ext cx="5040000" cy="1123379"/>
                    </a:xfrm>
                    <a:prstGeom prst="rect">
                      <a:avLst/>
                    </a:prstGeom>
                    <a:ln>
                      <a:noFill/>
                    </a:ln>
                    <a:extLst>
                      <a:ext uri="{53640926-AAD7-44D8-BBD7-CCE9431645EC}">
                        <a14:shadowObscured xmlns:a14="http://schemas.microsoft.com/office/drawing/2010/main"/>
                      </a:ext>
                    </a:extLst>
                  </pic:spPr>
                </pic:pic>
              </a:graphicData>
            </a:graphic>
          </wp:inline>
        </w:drawing>
      </w:r>
    </w:p>
    <w:p w14:paraId="6EBE6B71" w14:textId="77777777" w:rsidR="007D2C4A" w:rsidRPr="00697B28" w:rsidRDefault="007D2C4A" w:rsidP="007D2C4A">
      <w:pPr>
        <w:spacing w:line="240" w:lineRule="auto"/>
        <w:ind w:left="0" w:hanging="2"/>
        <w:jc w:val="both"/>
        <w:rPr>
          <w:rFonts w:ascii="Times New Roman" w:eastAsia="Times New Roman" w:hAnsi="Times New Roman" w:cs="Times New Roman"/>
          <w:sz w:val="18"/>
          <w:szCs w:val="18"/>
        </w:rPr>
      </w:pPr>
      <w:r w:rsidRPr="00697B28">
        <w:rPr>
          <w:rFonts w:ascii="Times New Roman" w:eastAsia="Times New Roman" w:hAnsi="Times New Roman" w:cs="Times New Roman"/>
          <w:sz w:val="18"/>
          <w:szCs w:val="18"/>
        </w:rPr>
        <w:t>Marker: lane 5; non-template control: lane 6; positive control: lane 7; negative control: lane 8; positive results: lane 1–3 (CAH 087, 092, 093), 9–11 (CAH 114, 116, 118), 13–20 (CAH 121, 122, 123, 128, 129, 130, 131, 096); negative results: 4 and 12 (CAH 112 and 120). Red arrows show unknown fragments in both positive and negative controls, green arrow shows unknown in positive control, and blue arrow shows unknown fragment in negative control. Fragment sizes are pointed out on the side in bp.</w:t>
      </w:r>
    </w:p>
    <w:p w14:paraId="1A2CBAA0" w14:textId="23D2B670" w:rsidR="007D2C4A" w:rsidRPr="00697B28" w:rsidRDefault="007D2C4A" w:rsidP="005D3AC0">
      <w:pPr>
        <w:pStyle w:val="Caption"/>
        <w:spacing w:before="60" w:after="120"/>
        <w:jc w:val="center"/>
        <w:rPr>
          <w:rFonts w:eastAsia="Times New Roman"/>
          <w:b w:val="0"/>
          <w:bCs w:val="0"/>
        </w:rPr>
      </w:pPr>
      <w:r>
        <w:t xml:space="preserve">Figure </w:t>
      </w:r>
      <w:r w:rsidR="00F6387E">
        <w:fldChar w:fldCharType="begin"/>
      </w:r>
      <w:r w:rsidR="00F6387E">
        <w:instrText xml:space="preserve"> SEQ Figure \* ARABIC </w:instrText>
      </w:r>
      <w:r w:rsidR="00F6387E">
        <w:fldChar w:fldCharType="separate"/>
      </w:r>
      <w:r w:rsidR="00B11437">
        <w:rPr>
          <w:noProof/>
        </w:rPr>
        <w:t>2</w:t>
      </w:r>
      <w:r w:rsidR="00F6387E">
        <w:rPr>
          <w:noProof/>
        </w:rPr>
        <w:fldChar w:fldCharType="end"/>
      </w:r>
      <w:r>
        <w:rPr>
          <w:rFonts w:eastAsia="Times New Roman"/>
        </w:rPr>
        <w:t xml:space="preserve">. </w:t>
      </w:r>
      <w:r w:rsidRPr="00697B28">
        <w:rPr>
          <w:rFonts w:eastAsia="Times New Roman"/>
          <w:b w:val="0"/>
          <w:bCs w:val="0"/>
        </w:rPr>
        <w:t xml:space="preserve">RFLP result of </w:t>
      </w:r>
      <w:r w:rsidRPr="003F4F41">
        <w:rPr>
          <w:rFonts w:eastAsia="Times New Roman"/>
          <w:b w:val="0"/>
          <w:bCs w:val="0"/>
        </w:rPr>
        <w:t>IVS2-13A/C&gt;G</w:t>
      </w:r>
    </w:p>
    <w:p w14:paraId="46F0AA96" w14:textId="77777777" w:rsidR="007D2C4A" w:rsidRDefault="007D2C4A">
      <w:pPr>
        <w:ind w:left="0" w:hanging="2"/>
        <w:rPr>
          <w:rFonts w:ascii="Times New Roman" w:eastAsia="Times New Roman" w:hAnsi="Times New Roman" w:cs="Times New Roman"/>
          <w:sz w:val="24"/>
          <w:szCs w:val="24"/>
        </w:rPr>
      </w:pPr>
    </w:p>
    <w:p w14:paraId="76141F94" w14:textId="77777777" w:rsidR="007D2C4A" w:rsidRDefault="007D2C4A" w:rsidP="007D2C4A">
      <w:pPr>
        <w:spacing w:after="0" w:line="240" w:lineRule="auto"/>
        <w:ind w:left="0" w:hanging="2"/>
        <w:jc w:val="both"/>
        <w:rPr>
          <w:rFonts w:ascii="Times New Roman" w:eastAsia="Times New Roman" w:hAnsi="Times New Roman" w:cs="Times New Roman"/>
          <w:sz w:val="24"/>
          <w:szCs w:val="24"/>
        </w:rPr>
      </w:pPr>
      <w:r>
        <w:rPr>
          <w:noProof/>
        </w:rPr>
        <w:drawing>
          <wp:inline distT="0" distB="0" distL="0" distR="0" wp14:anchorId="74B09BA0" wp14:editId="364F4B34">
            <wp:extent cx="5040000" cy="1341704"/>
            <wp:effectExtent l="0" t="0" r="0" b="0"/>
            <wp:docPr id="5611602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160280" name="Picture 2"/>
                    <pic:cNvPicPr/>
                  </pic:nvPicPr>
                  <pic:blipFill rotWithShape="1">
                    <a:blip r:embed="rId14" cstate="print">
                      <a:extLst>
                        <a:ext uri="{28A0092B-C50C-407E-A947-70E740481C1C}">
                          <a14:useLocalDpi xmlns:a14="http://schemas.microsoft.com/office/drawing/2010/main" val="0"/>
                        </a:ext>
                      </a:extLst>
                    </a:blip>
                    <a:srcRect l="3282" t="5759" r="1151" b="23042"/>
                    <a:stretch/>
                  </pic:blipFill>
                  <pic:spPr bwMode="auto">
                    <a:xfrm>
                      <a:off x="0" y="0"/>
                      <a:ext cx="5040000" cy="1341704"/>
                    </a:xfrm>
                    <a:prstGeom prst="rect">
                      <a:avLst/>
                    </a:prstGeom>
                    <a:ln>
                      <a:noFill/>
                    </a:ln>
                    <a:extLst>
                      <a:ext uri="{53640926-AAD7-44D8-BBD7-CCE9431645EC}">
                        <a14:shadowObscured xmlns:a14="http://schemas.microsoft.com/office/drawing/2010/main"/>
                      </a:ext>
                    </a:extLst>
                  </pic:spPr>
                </pic:pic>
              </a:graphicData>
            </a:graphic>
          </wp:inline>
        </w:drawing>
      </w:r>
    </w:p>
    <w:p w14:paraId="7D0C6B6B" w14:textId="77777777" w:rsidR="007D2C4A" w:rsidRPr="00B71E00" w:rsidRDefault="007D2C4A" w:rsidP="007D2C4A">
      <w:pPr>
        <w:spacing w:line="240" w:lineRule="auto"/>
        <w:ind w:left="0" w:hanging="2"/>
        <w:jc w:val="both"/>
        <w:rPr>
          <w:rFonts w:ascii="Times New Roman" w:eastAsia="Times New Roman" w:hAnsi="Times New Roman" w:cs="Times New Roman"/>
          <w:sz w:val="18"/>
          <w:szCs w:val="18"/>
        </w:rPr>
      </w:pPr>
      <w:r w:rsidRPr="00B71E00">
        <w:rPr>
          <w:rFonts w:ascii="Times New Roman" w:eastAsia="Times New Roman" w:hAnsi="Times New Roman" w:cs="Times New Roman"/>
          <w:sz w:val="18"/>
          <w:szCs w:val="18"/>
        </w:rPr>
        <w:t>Marker: lane 6; non-template control: lane 7; positive control: lane 8 (CAH 025); negative control: lane 9 (CAH 022); positive results: lane 5 and 11 (CAH 079 and CAH 088); negative results: 1–4 (CAH 120, 121, 072, 077), 10 (CAH 086), 12–18 (CAH 094, 096, 100, 102, 103, 104, 105, 111); inconclusive: 19 and 20 (CAH 111 and 117). Red arrow shows fragment at 865 bp in the positive control, green and orange arrows show fragments at 567 and 298 bp, respectively. Fragment sizes are pointed out on the side in bp.</w:t>
      </w:r>
    </w:p>
    <w:p w14:paraId="6081F569" w14:textId="3B5F396D" w:rsidR="007D2C4A" w:rsidRDefault="007D2C4A" w:rsidP="005D3AC0">
      <w:pPr>
        <w:pStyle w:val="Caption"/>
        <w:spacing w:before="60" w:after="120"/>
        <w:jc w:val="center"/>
        <w:rPr>
          <w:rFonts w:eastAsia="Times New Roman"/>
        </w:rPr>
      </w:pPr>
      <w:r>
        <w:t xml:space="preserve">Figure </w:t>
      </w:r>
      <w:r w:rsidR="00F6387E">
        <w:fldChar w:fldCharType="begin"/>
      </w:r>
      <w:r w:rsidR="00F6387E">
        <w:instrText xml:space="preserve"> SEQ Figure \* ARABIC </w:instrText>
      </w:r>
      <w:r w:rsidR="00F6387E">
        <w:fldChar w:fldCharType="separate"/>
      </w:r>
      <w:r w:rsidR="00B11437">
        <w:rPr>
          <w:noProof/>
        </w:rPr>
        <w:t>3</w:t>
      </w:r>
      <w:r w:rsidR="00F6387E">
        <w:rPr>
          <w:noProof/>
        </w:rPr>
        <w:fldChar w:fldCharType="end"/>
      </w:r>
      <w:r>
        <w:t>.</w:t>
      </w:r>
      <w:r>
        <w:rPr>
          <w:rFonts w:eastAsia="Times New Roman"/>
        </w:rPr>
        <w:t xml:space="preserve"> </w:t>
      </w:r>
      <w:r w:rsidRPr="00B71E00">
        <w:rPr>
          <w:rFonts w:eastAsia="Times New Roman"/>
          <w:b w:val="0"/>
          <w:bCs w:val="0"/>
        </w:rPr>
        <w:t xml:space="preserve">RFLP Results of </w:t>
      </w:r>
      <w:proofErr w:type="gramStart"/>
      <w:r w:rsidRPr="00B71E00">
        <w:rPr>
          <w:rFonts w:eastAsia="Times New Roman"/>
          <w:b w:val="0"/>
          <w:bCs w:val="0"/>
        </w:rPr>
        <w:t>p.Gln</w:t>
      </w:r>
      <w:proofErr w:type="gramEnd"/>
      <w:r w:rsidRPr="00B71E00">
        <w:rPr>
          <w:rFonts w:eastAsia="Times New Roman"/>
          <w:b w:val="0"/>
          <w:bCs w:val="0"/>
        </w:rPr>
        <w:t>318Ter</w:t>
      </w:r>
    </w:p>
    <w:p w14:paraId="4134BE4A" w14:textId="77777777" w:rsidR="007D2C4A" w:rsidRDefault="007D2C4A">
      <w:pPr>
        <w:ind w:left="0" w:hanging="2"/>
        <w:rPr>
          <w:rFonts w:ascii="Times New Roman" w:eastAsia="Times New Roman" w:hAnsi="Times New Roman" w:cs="Times New Roman"/>
          <w:sz w:val="24"/>
          <w:szCs w:val="24"/>
        </w:rPr>
      </w:pPr>
    </w:p>
    <w:p w14:paraId="245217F8" w14:textId="77777777" w:rsidR="005D3AC0" w:rsidRDefault="005D3AC0">
      <w:pPr>
        <w:ind w:left="0" w:hanging="2"/>
        <w:rPr>
          <w:rFonts w:ascii="Times New Roman" w:eastAsia="Times New Roman" w:hAnsi="Times New Roman" w:cs="Times New Roman"/>
          <w:sz w:val="24"/>
          <w:szCs w:val="24"/>
        </w:rPr>
      </w:pPr>
    </w:p>
    <w:p w14:paraId="6415181F" w14:textId="77777777" w:rsidR="007D2C4A" w:rsidRDefault="007D2C4A" w:rsidP="007D2C4A">
      <w:pPr>
        <w:spacing w:after="0" w:line="240" w:lineRule="auto"/>
        <w:ind w:left="0" w:hanging="2"/>
        <w:jc w:val="both"/>
        <w:rPr>
          <w:rFonts w:ascii="Times New Roman" w:eastAsia="Times New Roman" w:hAnsi="Times New Roman" w:cs="Times New Roman"/>
          <w:sz w:val="24"/>
          <w:szCs w:val="24"/>
        </w:rPr>
      </w:pPr>
      <w:r>
        <w:rPr>
          <w:noProof/>
        </w:rPr>
        <w:lastRenderedPageBreak/>
        <w:drawing>
          <wp:inline distT="0" distB="0" distL="0" distR="0" wp14:anchorId="774A85C5" wp14:editId="00FAD3C7">
            <wp:extent cx="5040000" cy="1320628"/>
            <wp:effectExtent l="0" t="0" r="0" b="0"/>
            <wp:docPr id="13251925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192573" name="Picture 1325192573"/>
                    <pic:cNvPicPr/>
                  </pic:nvPicPr>
                  <pic:blipFill rotWithShape="1">
                    <a:blip r:embed="rId15" cstate="print">
                      <a:extLst>
                        <a:ext uri="{28A0092B-C50C-407E-A947-70E740481C1C}">
                          <a14:useLocalDpi xmlns:a14="http://schemas.microsoft.com/office/drawing/2010/main" val="0"/>
                        </a:ext>
                      </a:extLst>
                    </a:blip>
                    <a:srcRect l="3368" t="5475" b="23636"/>
                    <a:stretch/>
                  </pic:blipFill>
                  <pic:spPr bwMode="auto">
                    <a:xfrm>
                      <a:off x="0" y="0"/>
                      <a:ext cx="5040000" cy="1320628"/>
                    </a:xfrm>
                    <a:prstGeom prst="rect">
                      <a:avLst/>
                    </a:prstGeom>
                    <a:ln>
                      <a:noFill/>
                    </a:ln>
                    <a:extLst>
                      <a:ext uri="{53640926-AAD7-44D8-BBD7-CCE9431645EC}">
                        <a14:shadowObscured xmlns:a14="http://schemas.microsoft.com/office/drawing/2010/main"/>
                      </a:ext>
                    </a:extLst>
                  </pic:spPr>
                </pic:pic>
              </a:graphicData>
            </a:graphic>
          </wp:inline>
        </w:drawing>
      </w:r>
    </w:p>
    <w:p w14:paraId="184B38D4" w14:textId="77777777" w:rsidR="007D2C4A" w:rsidRPr="006C5938" w:rsidRDefault="007D2C4A" w:rsidP="007D2C4A">
      <w:pPr>
        <w:spacing w:line="240" w:lineRule="auto"/>
        <w:ind w:left="0" w:hanging="2"/>
        <w:jc w:val="both"/>
        <w:rPr>
          <w:rFonts w:ascii="Times New Roman" w:eastAsia="Times New Roman" w:hAnsi="Times New Roman" w:cs="Times New Roman"/>
          <w:sz w:val="18"/>
          <w:szCs w:val="18"/>
        </w:rPr>
      </w:pPr>
      <w:r w:rsidRPr="006C5938">
        <w:rPr>
          <w:rFonts w:ascii="Times New Roman" w:eastAsia="Times New Roman" w:hAnsi="Times New Roman" w:cs="Times New Roman"/>
          <w:sz w:val="18"/>
          <w:szCs w:val="18"/>
        </w:rPr>
        <w:t>Marker: lane 1; non-template control: lane 2; positive control: lane 3 (CAH 029); negative control: lane 4 (CAH 031); inconclusive: lane 5–20 (CAH 061, 062, 063, 064, 066, 067, 069, 070, 072, 073, 074, 075, 078, 080, 083, 065). Fragment sizes are pointed out on the side in bp.</w:t>
      </w:r>
    </w:p>
    <w:p w14:paraId="18CFCF25" w14:textId="65925979" w:rsidR="007D2C4A" w:rsidRDefault="007D2C4A" w:rsidP="005D3AC0">
      <w:pPr>
        <w:pStyle w:val="Caption"/>
        <w:spacing w:before="60" w:after="120"/>
        <w:jc w:val="center"/>
        <w:rPr>
          <w:rFonts w:eastAsia="Times New Roman"/>
        </w:rPr>
      </w:pPr>
      <w:r>
        <w:t xml:space="preserve">Figure </w:t>
      </w:r>
      <w:r w:rsidR="00F6387E">
        <w:fldChar w:fldCharType="begin"/>
      </w:r>
      <w:r w:rsidR="00F6387E">
        <w:instrText xml:space="preserve"> SEQ Figure \* ARABIC </w:instrText>
      </w:r>
      <w:r w:rsidR="00F6387E">
        <w:fldChar w:fldCharType="separate"/>
      </w:r>
      <w:r w:rsidR="00B11437">
        <w:rPr>
          <w:noProof/>
        </w:rPr>
        <w:t>4</w:t>
      </w:r>
      <w:r w:rsidR="00F6387E">
        <w:rPr>
          <w:noProof/>
        </w:rPr>
        <w:fldChar w:fldCharType="end"/>
      </w:r>
      <w:r w:rsidRPr="006C5938">
        <w:rPr>
          <w:rFonts w:eastAsia="Times New Roman"/>
        </w:rPr>
        <w:t xml:space="preserve">. </w:t>
      </w:r>
      <w:r w:rsidRPr="006C5938">
        <w:rPr>
          <w:rFonts w:eastAsia="Times New Roman"/>
          <w:b w:val="0"/>
          <w:bCs w:val="0"/>
        </w:rPr>
        <w:t xml:space="preserve">RFLP Results of </w:t>
      </w:r>
      <w:proofErr w:type="gramStart"/>
      <w:r w:rsidRPr="006C5938">
        <w:rPr>
          <w:rFonts w:eastAsia="Times New Roman"/>
          <w:b w:val="0"/>
          <w:bCs w:val="0"/>
        </w:rPr>
        <w:t>p.Arg</w:t>
      </w:r>
      <w:proofErr w:type="gramEnd"/>
      <w:r w:rsidRPr="006C5938">
        <w:rPr>
          <w:rFonts w:eastAsia="Times New Roman"/>
          <w:b w:val="0"/>
          <w:bCs w:val="0"/>
        </w:rPr>
        <w:t>357Trp</w:t>
      </w:r>
    </w:p>
    <w:p w14:paraId="21C47B18" w14:textId="77777777" w:rsidR="007D2C4A" w:rsidRDefault="007D2C4A">
      <w:pPr>
        <w:ind w:left="0" w:hanging="2"/>
        <w:rPr>
          <w:rFonts w:ascii="Times New Roman" w:eastAsia="Times New Roman" w:hAnsi="Times New Roman" w:cs="Times New Roman"/>
          <w:sz w:val="24"/>
          <w:szCs w:val="24"/>
        </w:rPr>
      </w:pPr>
    </w:p>
    <w:p w14:paraId="3B831D20" w14:textId="77777777" w:rsidR="007D2C4A" w:rsidRDefault="007D2C4A" w:rsidP="007D2C4A">
      <w:pPr>
        <w:spacing w:after="0" w:line="240" w:lineRule="auto"/>
        <w:ind w:left="0" w:hanging="2"/>
        <w:jc w:val="both"/>
        <w:rPr>
          <w:rFonts w:ascii="Times New Roman" w:eastAsia="Times New Roman" w:hAnsi="Times New Roman" w:cs="Times New Roman"/>
          <w:sz w:val="24"/>
          <w:szCs w:val="24"/>
        </w:rPr>
      </w:pPr>
      <w:r>
        <w:rPr>
          <w:noProof/>
        </w:rPr>
        <w:drawing>
          <wp:inline distT="0" distB="0" distL="0" distR="0" wp14:anchorId="40277CE0" wp14:editId="45EE76B1">
            <wp:extent cx="5040000" cy="1618744"/>
            <wp:effectExtent l="0" t="0" r="8255" b="635"/>
            <wp:docPr id="14192544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254454" name="Picture 4"/>
                    <pic:cNvPicPr/>
                  </pic:nvPicPr>
                  <pic:blipFill rotWithShape="1">
                    <a:blip r:embed="rId16" cstate="print">
                      <a:extLst>
                        <a:ext uri="{28A0092B-C50C-407E-A947-70E740481C1C}">
                          <a14:useLocalDpi xmlns:a14="http://schemas.microsoft.com/office/drawing/2010/main" val="0"/>
                        </a:ext>
                      </a:extLst>
                    </a:blip>
                    <a:srcRect l="3283" t="4755" b="8307"/>
                    <a:stretch/>
                  </pic:blipFill>
                  <pic:spPr bwMode="auto">
                    <a:xfrm>
                      <a:off x="0" y="0"/>
                      <a:ext cx="5040000" cy="1618744"/>
                    </a:xfrm>
                    <a:prstGeom prst="rect">
                      <a:avLst/>
                    </a:prstGeom>
                    <a:ln>
                      <a:noFill/>
                    </a:ln>
                    <a:extLst>
                      <a:ext uri="{53640926-AAD7-44D8-BBD7-CCE9431645EC}">
                        <a14:shadowObscured xmlns:a14="http://schemas.microsoft.com/office/drawing/2010/main"/>
                      </a:ext>
                    </a:extLst>
                  </pic:spPr>
                </pic:pic>
              </a:graphicData>
            </a:graphic>
          </wp:inline>
        </w:drawing>
      </w:r>
    </w:p>
    <w:p w14:paraId="3001385B" w14:textId="77777777" w:rsidR="007D2C4A" w:rsidRPr="00F10E57" w:rsidRDefault="007D2C4A" w:rsidP="007D2C4A">
      <w:pPr>
        <w:spacing w:line="240" w:lineRule="auto"/>
        <w:ind w:left="0" w:hanging="2"/>
        <w:jc w:val="both"/>
        <w:rPr>
          <w:rFonts w:ascii="Times New Roman" w:eastAsia="Times New Roman" w:hAnsi="Times New Roman" w:cs="Times New Roman"/>
          <w:sz w:val="18"/>
          <w:szCs w:val="18"/>
        </w:rPr>
      </w:pPr>
      <w:r w:rsidRPr="00F10E57">
        <w:rPr>
          <w:rFonts w:ascii="Times New Roman" w:eastAsia="Times New Roman" w:hAnsi="Times New Roman" w:cs="Times New Roman"/>
          <w:sz w:val="18"/>
          <w:szCs w:val="18"/>
        </w:rPr>
        <w:t>Marker: lane 6; non-template control: lane 7; positive control: lane 8 (CAH 002); negative control: lane 9 (CAH 022); inconclusive: 1–5 (CAH 061, 062, 063, 064, 065), 10–20 (CAH 066, 067, 069, 070, 072, 073, 074, 075, 078, 080, 083). Red arrow shows fragment at 719 bp in the negative control. Fragment sizes are pointed out on the side in bp.</w:t>
      </w:r>
    </w:p>
    <w:p w14:paraId="39DBCBD5" w14:textId="3770C8BF" w:rsidR="007D2C4A" w:rsidRPr="00764739" w:rsidRDefault="007D2C4A" w:rsidP="005D3AC0">
      <w:pPr>
        <w:pStyle w:val="Caption"/>
        <w:spacing w:before="60" w:after="120"/>
        <w:jc w:val="center"/>
        <w:rPr>
          <w:rFonts w:eastAsia="Times New Roman"/>
        </w:rPr>
      </w:pPr>
      <w:r w:rsidRPr="00764739">
        <w:t xml:space="preserve">Figure </w:t>
      </w:r>
      <w:r>
        <w:fldChar w:fldCharType="begin"/>
      </w:r>
      <w:r w:rsidRPr="00764739">
        <w:instrText xml:space="preserve"> SEQ Figure \* ARABIC </w:instrText>
      </w:r>
      <w:r>
        <w:fldChar w:fldCharType="separate"/>
      </w:r>
      <w:r w:rsidR="00B11437">
        <w:rPr>
          <w:noProof/>
        </w:rPr>
        <w:t>5</w:t>
      </w:r>
      <w:r>
        <w:fldChar w:fldCharType="end"/>
      </w:r>
      <w:r w:rsidRPr="00764739">
        <w:rPr>
          <w:rFonts w:eastAsia="Times New Roman"/>
        </w:rPr>
        <w:t xml:space="preserve">. </w:t>
      </w:r>
      <w:r w:rsidRPr="00764739">
        <w:rPr>
          <w:rFonts w:eastAsia="Times New Roman"/>
          <w:b w:val="0"/>
          <w:bCs w:val="0"/>
        </w:rPr>
        <w:t xml:space="preserve">RFLP Results of </w:t>
      </w:r>
      <w:proofErr w:type="gramStart"/>
      <w:r w:rsidRPr="00764739">
        <w:rPr>
          <w:rFonts w:eastAsia="Times New Roman"/>
          <w:b w:val="0"/>
          <w:bCs w:val="0"/>
        </w:rPr>
        <w:t>p.[</w:t>
      </w:r>
      <w:proofErr w:type="gramEnd"/>
      <w:r w:rsidRPr="00764739">
        <w:rPr>
          <w:rFonts w:eastAsia="Times New Roman"/>
          <w:b w:val="0"/>
          <w:bCs w:val="0"/>
        </w:rPr>
        <w:t>Ile236Asn; Val237Glu; Met239Lys] variant</w:t>
      </w:r>
    </w:p>
    <w:p w14:paraId="3298A910" w14:textId="77777777" w:rsidR="008E6C80" w:rsidRDefault="008E6C80">
      <w:pPr>
        <w:ind w:left="0" w:hanging="2"/>
        <w:rPr>
          <w:rFonts w:ascii="Times New Roman" w:eastAsia="Times New Roman" w:hAnsi="Times New Roman" w:cs="Times New Roman"/>
          <w:sz w:val="24"/>
          <w:szCs w:val="24"/>
        </w:rPr>
      </w:pPr>
    </w:p>
    <w:p w14:paraId="3298A911" w14:textId="77777777" w:rsidR="008E6C80" w:rsidRDefault="005D3AC0" w:rsidP="00CA46E3">
      <w:pPr>
        <w:pStyle w:val="Heading1"/>
      </w:pPr>
      <w:r>
        <w:t>TABLE CAPTIONS</w:t>
      </w:r>
    </w:p>
    <w:p w14:paraId="5D283907" w14:textId="0B10F17A" w:rsidR="007D2C4A" w:rsidRDefault="007D2C4A" w:rsidP="00BD5D1E">
      <w:pPr>
        <w:pStyle w:val="Caption"/>
        <w:spacing w:before="240" w:after="120"/>
        <w:jc w:val="center"/>
        <w:rPr>
          <w:rFonts w:eastAsia="Times New Roman"/>
        </w:rPr>
      </w:pPr>
      <w:r>
        <w:t xml:space="preserve">Table </w:t>
      </w:r>
      <w:r w:rsidR="00F6387E">
        <w:fldChar w:fldCharType="begin"/>
      </w:r>
      <w:r w:rsidR="00F6387E">
        <w:instrText xml:space="preserve"> SEQ Table \* ARABIC </w:instrText>
      </w:r>
      <w:r w:rsidR="00F6387E">
        <w:fldChar w:fldCharType="separate"/>
      </w:r>
      <w:r w:rsidR="00B11437">
        <w:rPr>
          <w:noProof/>
        </w:rPr>
        <w:t>1</w:t>
      </w:r>
      <w:r w:rsidR="00F6387E">
        <w:rPr>
          <w:noProof/>
        </w:rPr>
        <w:fldChar w:fldCharType="end"/>
      </w:r>
      <w:r>
        <w:t xml:space="preserve">. </w:t>
      </w:r>
      <w:r>
        <w:rPr>
          <w:b w:val="0"/>
          <w:bCs w:val="0"/>
        </w:rPr>
        <w:t xml:space="preserve">Restriction enzymes for digesting the </w:t>
      </w:r>
      <w:r>
        <w:rPr>
          <w:b w:val="0"/>
          <w:bCs w:val="0"/>
          <w:i/>
          <w:iCs/>
        </w:rPr>
        <w:t xml:space="preserve">CYP21A2 </w:t>
      </w:r>
      <w:r>
        <w:rPr>
          <w:b w:val="0"/>
          <w:bCs w:val="0"/>
        </w:rPr>
        <w:t>fragments</w:t>
      </w:r>
    </w:p>
    <w:tbl>
      <w:tblPr>
        <w:tblStyle w:val="TableGrid"/>
        <w:tblW w:w="50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773"/>
        <w:gridCol w:w="1713"/>
        <w:gridCol w:w="1788"/>
        <w:gridCol w:w="1615"/>
        <w:gridCol w:w="1616"/>
      </w:tblGrid>
      <w:tr w:rsidR="007D2C4A" w:rsidRPr="004A70F5" w14:paraId="19D311CD" w14:textId="77777777" w:rsidTr="004A70F5">
        <w:trPr>
          <w:tblHeader/>
          <w:jc w:val="center"/>
        </w:trPr>
        <w:tc>
          <w:tcPr>
            <w:tcW w:w="1074" w:type="pct"/>
            <w:vMerge w:val="restart"/>
            <w:tcBorders>
              <w:top w:val="single" w:sz="4" w:space="0" w:color="auto"/>
              <w:bottom w:val="single" w:sz="4" w:space="0" w:color="auto"/>
            </w:tcBorders>
            <w:vAlign w:val="center"/>
          </w:tcPr>
          <w:p w14:paraId="6B209A68" w14:textId="77777777" w:rsidR="007D2C4A" w:rsidRPr="004A70F5" w:rsidRDefault="007D2C4A">
            <w:pPr>
              <w:pStyle w:val="ListParagraph"/>
              <w:ind w:left="0" w:hanging="2"/>
              <w:jc w:val="center"/>
              <w:rPr>
                <w:b/>
                <w:bCs/>
                <w:szCs w:val="24"/>
              </w:rPr>
            </w:pPr>
            <w:r w:rsidRPr="004A70F5">
              <w:rPr>
                <w:b/>
                <w:bCs/>
                <w:szCs w:val="24"/>
              </w:rPr>
              <w:t>Variant</w:t>
            </w:r>
          </w:p>
        </w:tc>
        <w:tc>
          <w:tcPr>
            <w:tcW w:w="1039" w:type="pct"/>
            <w:vMerge w:val="restart"/>
            <w:tcBorders>
              <w:top w:val="single" w:sz="4" w:space="0" w:color="auto"/>
            </w:tcBorders>
            <w:vAlign w:val="center"/>
          </w:tcPr>
          <w:p w14:paraId="5CD071F4" w14:textId="77777777" w:rsidR="007D2C4A" w:rsidRPr="004A70F5" w:rsidRDefault="007D2C4A">
            <w:pPr>
              <w:pStyle w:val="ListParagraph"/>
              <w:ind w:left="0" w:hanging="2"/>
              <w:jc w:val="center"/>
              <w:rPr>
                <w:b/>
                <w:bCs/>
                <w:szCs w:val="24"/>
              </w:rPr>
            </w:pPr>
            <w:r w:rsidRPr="004A70F5">
              <w:rPr>
                <w:b/>
                <w:bCs/>
                <w:szCs w:val="24"/>
              </w:rPr>
              <w:t>Restriction enzyme</w:t>
            </w:r>
          </w:p>
        </w:tc>
        <w:tc>
          <w:tcPr>
            <w:tcW w:w="924" w:type="pct"/>
            <w:vMerge w:val="restart"/>
            <w:tcBorders>
              <w:top w:val="single" w:sz="4" w:space="0" w:color="auto"/>
              <w:bottom w:val="single" w:sz="4" w:space="0" w:color="auto"/>
            </w:tcBorders>
            <w:vAlign w:val="center"/>
          </w:tcPr>
          <w:p w14:paraId="43B08651" w14:textId="77777777" w:rsidR="007D2C4A" w:rsidRPr="004A70F5" w:rsidRDefault="007D2C4A">
            <w:pPr>
              <w:pStyle w:val="ListParagraph"/>
              <w:ind w:left="0" w:hanging="2"/>
              <w:jc w:val="center"/>
              <w:rPr>
                <w:b/>
                <w:bCs/>
                <w:szCs w:val="24"/>
              </w:rPr>
            </w:pPr>
            <w:r w:rsidRPr="004A70F5">
              <w:rPr>
                <w:b/>
                <w:bCs/>
                <w:szCs w:val="24"/>
              </w:rPr>
              <w:t>Sequence Specificity</w:t>
            </w:r>
          </w:p>
        </w:tc>
        <w:tc>
          <w:tcPr>
            <w:tcW w:w="1962" w:type="pct"/>
            <w:gridSpan w:val="2"/>
            <w:tcBorders>
              <w:bottom w:val="nil"/>
            </w:tcBorders>
            <w:vAlign w:val="center"/>
          </w:tcPr>
          <w:p w14:paraId="661DA1BF" w14:textId="77777777" w:rsidR="007D2C4A" w:rsidRPr="004A70F5" w:rsidRDefault="007D2C4A">
            <w:pPr>
              <w:pStyle w:val="ListParagraph"/>
              <w:ind w:left="0" w:hanging="2"/>
              <w:jc w:val="center"/>
              <w:rPr>
                <w:b/>
                <w:bCs/>
                <w:szCs w:val="24"/>
              </w:rPr>
            </w:pPr>
            <w:r w:rsidRPr="004A70F5">
              <w:rPr>
                <w:b/>
                <w:bCs/>
                <w:szCs w:val="24"/>
              </w:rPr>
              <w:t>Fragment size (bp)</w:t>
            </w:r>
          </w:p>
        </w:tc>
      </w:tr>
      <w:tr w:rsidR="007D2C4A" w:rsidRPr="004A70F5" w14:paraId="2B726CE7" w14:textId="77777777" w:rsidTr="004A70F5">
        <w:trPr>
          <w:tblHeader/>
          <w:jc w:val="center"/>
        </w:trPr>
        <w:tc>
          <w:tcPr>
            <w:tcW w:w="1074" w:type="pct"/>
            <w:vMerge/>
            <w:tcBorders>
              <w:top w:val="nil"/>
              <w:bottom w:val="single" w:sz="4" w:space="0" w:color="auto"/>
            </w:tcBorders>
            <w:vAlign w:val="center"/>
          </w:tcPr>
          <w:p w14:paraId="515EB126" w14:textId="77777777" w:rsidR="007D2C4A" w:rsidRPr="004A70F5" w:rsidRDefault="007D2C4A">
            <w:pPr>
              <w:pStyle w:val="ListParagraph"/>
              <w:ind w:left="0" w:hanging="2"/>
              <w:jc w:val="center"/>
              <w:rPr>
                <w:b/>
                <w:bCs/>
                <w:szCs w:val="24"/>
              </w:rPr>
            </w:pPr>
          </w:p>
        </w:tc>
        <w:tc>
          <w:tcPr>
            <w:tcW w:w="1039" w:type="pct"/>
            <w:vMerge/>
            <w:tcBorders>
              <w:bottom w:val="single" w:sz="4" w:space="0" w:color="auto"/>
            </w:tcBorders>
            <w:vAlign w:val="center"/>
          </w:tcPr>
          <w:p w14:paraId="38BEEA2D" w14:textId="77777777" w:rsidR="007D2C4A" w:rsidRPr="004A70F5" w:rsidRDefault="007D2C4A">
            <w:pPr>
              <w:pStyle w:val="ListParagraph"/>
              <w:ind w:left="0" w:hanging="2"/>
              <w:jc w:val="center"/>
              <w:rPr>
                <w:b/>
                <w:bCs/>
                <w:szCs w:val="24"/>
              </w:rPr>
            </w:pPr>
          </w:p>
        </w:tc>
        <w:tc>
          <w:tcPr>
            <w:tcW w:w="924" w:type="pct"/>
            <w:vMerge/>
            <w:tcBorders>
              <w:top w:val="nil"/>
              <w:bottom w:val="single" w:sz="4" w:space="0" w:color="auto"/>
            </w:tcBorders>
            <w:vAlign w:val="center"/>
          </w:tcPr>
          <w:p w14:paraId="0F2AA55B" w14:textId="77777777" w:rsidR="007D2C4A" w:rsidRPr="004A70F5" w:rsidRDefault="007D2C4A">
            <w:pPr>
              <w:pStyle w:val="ListParagraph"/>
              <w:ind w:left="0" w:hanging="2"/>
              <w:jc w:val="center"/>
              <w:rPr>
                <w:b/>
                <w:bCs/>
                <w:szCs w:val="24"/>
              </w:rPr>
            </w:pPr>
          </w:p>
        </w:tc>
        <w:tc>
          <w:tcPr>
            <w:tcW w:w="981" w:type="pct"/>
            <w:tcBorders>
              <w:top w:val="nil"/>
              <w:bottom w:val="single" w:sz="4" w:space="0" w:color="auto"/>
            </w:tcBorders>
            <w:vAlign w:val="center"/>
          </w:tcPr>
          <w:p w14:paraId="721641D6" w14:textId="77777777" w:rsidR="007D2C4A" w:rsidRPr="004A70F5" w:rsidRDefault="007D2C4A">
            <w:pPr>
              <w:pStyle w:val="ListParagraph"/>
              <w:ind w:left="0" w:hanging="2"/>
              <w:jc w:val="center"/>
              <w:rPr>
                <w:b/>
                <w:bCs/>
                <w:szCs w:val="24"/>
              </w:rPr>
            </w:pPr>
            <w:r w:rsidRPr="004A70F5">
              <w:rPr>
                <w:b/>
                <w:bCs/>
                <w:szCs w:val="24"/>
              </w:rPr>
              <w:t>Wild-type</w:t>
            </w:r>
          </w:p>
        </w:tc>
        <w:tc>
          <w:tcPr>
            <w:tcW w:w="982" w:type="pct"/>
            <w:tcBorders>
              <w:top w:val="nil"/>
              <w:bottom w:val="single" w:sz="4" w:space="0" w:color="auto"/>
            </w:tcBorders>
            <w:vAlign w:val="center"/>
          </w:tcPr>
          <w:p w14:paraId="5AE8AE45" w14:textId="77777777" w:rsidR="007D2C4A" w:rsidRPr="004A70F5" w:rsidRDefault="007D2C4A">
            <w:pPr>
              <w:pStyle w:val="ListParagraph"/>
              <w:ind w:left="0" w:hanging="2"/>
              <w:jc w:val="center"/>
              <w:rPr>
                <w:b/>
                <w:bCs/>
                <w:szCs w:val="24"/>
              </w:rPr>
            </w:pPr>
            <w:r w:rsidRPr="004A70F5">
              <w:rPr>
                <w:b/>
                <w:bCs/>
                <w:szCs w:val="24"/>
              </w:rPr>
              <w:t>Mutant</w:t>
            </w:r>
          </w:p>
        </w:tc>
      </w:tr>
      <w:tr w:rsidR="007D2C4A" w:rsidRPr="004A70F5" w14:paraId="2A9FA143" w14:textId="77777777" w:rsidTr="004A70F5">
        <w:trPr>
          <w:jc w:val="center"/>
        </w:trPr>
        <w:tc>
          <w:tcPr>
            <w:tcW w:w="1074" w:type="pct"/>
            <w:tcBorders>
              <w:top w:val="single" w:sz="4" w:space="0" w:color="auto"/>
              <w:bottom w:val="single" w:sz="4" w:space="0" w:color="auto"/>
            </w:tcBorders>
          </w:tcPr>
          <w:p w14:paraId="5FC8999B" w14:textId="77777777" w:rsidR="007D2C4A" w:rsidRPr="004A70F5" w:rsidRDefault="007D2C4A">
            <w:pPr>
              <w:pStyle w:val="ListParagraph"/>
              <w:ind w:left="0" w:hanging="2"/>
              <w:rPr>
                <w:szCs w:val="24"/>
              </w:rPr>
            </w:pPr>
            <w:proofErr w:type="gramStart"/>
            <w:r w:rsidRPr="004A70F5">
              <w:rPr>
                <w:szCs w:val="24"/>
              </w:rPr>
              <w:t>p.Arg</w:t>
            </w:r>
            <w:proofErr w:type="gramEnd"/>
            <w:r w:rsidRPr="004A70F5">
              <w:rPr>
                <w:szCs w:val="24"/>
              </w:rPr>
              <w:t>357Trp</w:t>
            </w:r>
          </w:p>
        </w:tc>
        <w:tc>
          <w:tcPr>
            <w:tcW w:w="1039" w:type="pct"/>
            <w:tcBorders>
              <w:top w:val="single" w:sz="4" w:space="0" w:color="auto"/>
              <w:bottom w:val="single" w:sz="4" w:space="0" w:color="auto"/>
            </w:tcBorders>
          </w:tcPr>
          <w:p w14:paraId="2DB9B849" w14:textId="77777777" w:rsidR="007D2C4A" w:rsidRPr="004A70F5" w:rsidRDefault="007D2C4A">
            <w:pPr>
              <w:pStyle w:val="ListParagraph"/>
              <w:ind w:left="0" w:hanging="2"/>
              <w:rPr>
                <w:szCs w:val="24"/>
              </w:rPr>
            </w:pPr>
            <w:proofErr w:type="spellStart"/>
            <w:r w:rsidRPr="004A70F5">
              <w:rPr>
                <w:szCs w:val="24"/>
              </w:rPr>
              <w:t>AciI</w:t>
            </w:r>
            <w:proofErr w:type="spellEnd"/>
          </w:p>
        </w:tc>
        <w:tc>
          <w:tcPr>
            <w:tcW w:w="924" w:type="pct"/>
            <w:tcBorders>
              <w:top w:val="single" w:sz="4" w:space="0" w:color="auto"/>
              <w:bottom w:val="single" w:sz="4" w:space="0" w:color="auto"/>
            </w:tcBorders>
          </w:tcPr>
          <w:p w14:paraId="48DF8E5A" w14:textId="77777777" w:rsidR="007D2C4A" w:rsidRPr="004A70F5" w:rsidRDefault="007D2C4A">
            <w:pPr>
              <w:pStyle w:val="ListParagraph"/>
              <w:ind w:left="0" w:hanging="2"/>
              <w:rPr>
                <w:szCs w:val="24"/>
              </w:rPr>
            </w:pPr>
            <w:proofErr w:type="gramStart"/>
            <w:r w:rsidRPr="004A70F5">
              <w:rPr>
                <w:szCs w:val="24"/>
              </w:rPr>
              <w:t>CCGC(</w:t>
            </w:r>
            <w:proofErr w:type="gramEnd"/>
            <w:r w:rsidRPr="004A70F5">
              <w:rPr>
                <w:szCs w:val="24"/>
              </w:rPr>
              <w:t>-3/-1)</w:t>
            </w:r>
          </w:p>
        </w:tc>
        <w:tc>
          <w:tcPr>
            <w:tcW w:w="981" w:type="pct"/>
            <w:tcBorders>
              <w:top w:val="single" w:sz="4" w:space="0" w:color="auto"/>
              <w:bottom w:val="single" w:sz="4" w:space="0" w:color="auto"/>
            </w:tcBorders>
          </w:tcPr>
          <w:p w14:paraId="4364F7A0" w14:textId="77777777" w:rsidR="007D2C4A" w:rsidRPr="004A70F5" w:rsidRDefault="007D2C4A">
            <w:pPr>
              <w:pStyle w:val="ListParagraph"/>
              <w:ind w:left="0" w:hanging="2"/>
              <w:rPr>
                <w:szCs w:val="24"/>
              </w:rPr>
            </w:pPr>
            <w:r w:rsidRPr="004A70F5">
              <w:rPr>
                <w:szCs w:val="24"/>
              </w:rPr>
              <w:t>189/30</w:t>
            </w:r>
          </w:p>
        </w:tc>
        <w:tc>
          <w:tcPr>
            <w:tcW w:w="982" w:type="pct"/>
            <w:tcBorders>
              <w:top w:val="single" w:sz="4" w:space="0" w:color="auto"/>
              <w:bottom w:val="single" w:sz="4" w:space="0" w:color="auto"/>
            </w:tcBorders>
          </w:tcPr>
          <w:p w14:paraId="137C824E" w14:textId="77777777" w:rsidR="007D2C4A" w:rsidRPr="004A70F5" w:rsidRDefault="007D2C4A">
            <w:pPr>
              <w:pStyle w:val="ListParagraph"/>
              <w:ind w:left="0" w:hanging="2"/>
              <w:rPr>
                <w:szCs w:val="24"/>
              </w:rPr>
            </w:pPr>
            <w:r w:rsidRPr="004A70F5">
              <w:rPr>
                <w:szCs w:val="24"/>
              </w:rPr>
              <w:t>219</w:t>
            </w:r>
          </w:p>
        </w:tc>
      </w:tr>
      <w:tr w:rsidR="007D2C4A" w:rsidRPr="004A70F5" w14:paraId="606CF8A9" w14:textId="77777777" w:rsidTr="004A70F5">
        <w:trPr>
          <w:jc w:val="center"/>
        </w:trPr>
        <w:tc>
          <w:tcPr>
            <w:tcW w:w="1074" w:type="pct"/>
            <w:tcBorders>
              <w:top w:val="single" w:sz="4" w:space="0" w:color="auto"/>
              <w:bottom w:val="single" w:sz="4" w:space="0" w:color="auto"/>
            </w:tcBorders>
          </w:tcPr>
          <w:p w14:paraId="48FA4049" w14:textId="77777777" w:rsidR="007D2C4A" w:rsidRPr="004A70F5" w:rsidRDefault="007D2C4A">
            <w:pPr>
              <w:pStyle w:val="ListParagraph"/>
              <w:ind w:left="0" w:hanging="2"/>
              <w:rPr>
                <w:szCs w:val="24"/>
              </w:rPr>
            </w:pPr>
            <w:r w:rsidRPr="004A70F5">
              <w:rPr>
                <w:szCs w:val="24"/>
              </w:rPr>
              <w:t>IVS2-13A/C&gt;G</w:t>
            </w:r>
          </w:p>
        </w:tc>
        <w:tc>
          <w:tcPr>
            <w:tcW w:w="1039" w:type="pct"/>
            <w:tcBorders>
              <w:top w:val="single" w:sz="4" w:space="0" w:color="auto"/>
              <w:bottom w:val="single" w:sz="4" w:space="0" w:color="auto"/>
            </w:tcBorders>
          </w:tcPr>
          <w:p w14:paraId="43810C28" w14:textId="77777777" w:rsidR="007D2C4A" w:rsidRPr="004A70F5" w:rsidRDefault="007D2C4A">
            <w:pPr>
              <w:pStyle w:val="ListParagraph"/>
              <w:ind w:left="0" w:hanging="2"/>
              <w:rPr>
                <w:szCs w:val="24"/>
              </w:rPr>
            </w:pPr>
            <w:r w:rsidRPr="004A70F5">
              <w:rPr>
                <w:szCs w:val="24"/>
              </w:rPr>
              <w:t>Sau3AI</w:t>
            </w:r>
          </w:p>
        </w:tc>
        <w:tc>
          <w:tcPr>
            <w:tcW w:w="924" w:type="pct"/>
            <w:tcBorders>
              <w:top w:val="single" w:sz="4" w:space="0" w:color="auto"/>
              <w:bottom w:val="single" w:sz="4" w:space="0" w:color="auto"/>
            </w:tcBorders>
          </w:tcPr>
          <w:p w14:paraId="48BC39FD" w14:textId="77777777" w:rsidR="007D2C4A" w:rsidRPr="004A70F5" w:rsidRDefault="007D2C4A">
            <w:pPr>
              <w:pStyle w:val="ListParagraph"/>
              <w:ind w:left="0" w:hanging="2"/>
              <w:rPr>
                <w:szCs w:val="24"/>
              </w:rPr>
            </w:pPr>
            <w:r w:rsidRPr="004A70F5">
              <w:rPr>
                <w:szCs w:val="24"/>
              </w:rPr>
              <w:t>/GATC</w:t>
            </w:r>
          </w:p>
        </w:tc>
        <w:tc>
          <w:tcPr>
            <w:tcW w:w="981" w:type="pct"/>
            <w:tcBorders>
              <w:top w:val="single" w:sz="4" w:space="0" w:color="auto"/>
              <w:bottom w:val="single" w:sz="4" w:space="0" w:color="auto"/>
            </w:tcBorders>
          </w:tcPr>
          <w:p w14:paraId="7809887B" w14:textId="77777777" w:rsidR="007D2C4A" w:rsidRPr="004A70F5" w:rsidRDefault="007D2C4A">
            <w:pPr>
              <w:pStyle w:val="ListParagraph"/>
              <w:ind w:left="0" w:hanging="2"/>
              <w:rPr>
                <w:szCs w:val="24"/>
              </w:rPr>
            </w:pPr>
            <w:r w:rsidRPr="004A70F5">
              <w:rPr>
                <w:szCs w:val="24"/>
              </w:rPr>
              <w:t>156</w:t>
            </w:r>
          </w:p>
        </w:tc>
        <w:tc>
          <w:tcPr>
            <w:tcW w:w="982" w:type="pct"/>
            <w:tcBorders>
              <w:top w:val="single" w:sz="4" w:space="0" w:color="auto"/>
              <w:bottom w:val="single" w:sz="4" w:space="0" w:color="auto"/>
            </w:tcBorders>
          </w:tcPr>
          <w:p w14:paraId="20C5D444" w14:textId="77777777" w:rsidR="007D2C4A" w:rsidRPr="004A70F5" w:rsidRDefault="007D2C4A">
            <w:pPr>
              <w:pStyle w:val="ListParagraph"/>
              <w:ind w:left="0" w:hanging="2"/>
              <w:rPr>
                <w:szCs w:val="24"/>
              </w:rPr>
            </w:pPr>
            <w:r w:rsidRPr="004A70F5">
              <w:rPr>
                <w:szCs w:val="24"/>
              </w:rPr>
              <w:t>133/23</w:t>
            </w:r>
          </w:p>
        </w:tc>
      </w:tr>
      <w:tr w:rsidR="007D2C4A" w:rsidRPr="004A70F5" w14:paraId="20D636B8" w14:textId="77777777" w:rsidTr="004A70F5">
        <w:trPr>
          <w:jc w:val="center"/>
        </w:trPr>
        <w:tc>
          <w:tcPr>
            <w:tcW w:w="1074" w:type="pct"/>
            <w:tcBorders>
              <w:top w:val="single" w:sz="4" w:space="0" w:color="auto"/>
              <w:bottom w:val="single" w:sz="4" w:space="0" w:color="auto"/>
            </w:tcBorders>
          </w:tcPr>
          <w:p w14:paraId="4F8C61EE" w14:textId="77777777" w:rsidR="007D2C4A" w:rsidRPr="004A70F5" w:rsidRDefault="007D2C4A">
            <w:pPr>
              <w:pStyle w:val="ListParagraph"/>
              <w:ind w:left="0" w:hanging="2"/>
              <w:rPr>
                <w:szCs w:val="24"/>
              </w:rPr>
            </w:pPr>
            <w:proofErr w:type="gramStart"/>
            <w:r w:rsidRPr="004A70F5">
              <w:rPr>
                <w:szCs w:val="24"/>
              </w:rPr>
              <w:t>p.Gln</w:t>
            </w:r>
            <w:proofErr w:type="gramEnd"/>
            <w:r w:rsidRPr="004A70F5">
              <w:rPr>
                <w:szCs w:val="24"/>
              </w:rPr>
              <w:t>318Ter</w:t>
            </w:r>
          </w:p>
        </w:tc>
        <w:tc>
          <w:tcPr>
            <w:tcW w:w="1039" w:type="pct"/>
            <w:tcBorders>
              <w:top w:val="single" w:sz="4" w:space="0" w:color="auto"/>
              <w:bottom w:val="single" w:sz="4" w:space="0" w:color="auto"/>
            </w:tcBorders>
          </w:tcPr>
          <w:p w14:paraId="5795CEF0" w14:textId="77777777" w:rsidR="007D2C4A" w:rsidRPr="004A70F5" w:rsidRDefault="007D2C4A">
            <w:pPr>
              <w:pStyle w:val="ListParagraph"/>
              <w:ind w:left="0" w:hanging="2"/>
              <w:rPr>
                <w:szCs w:val="24"/>
              </w:rPr>
            </w:pPr>
            <w:proofErr w:type="spellStart"/>
            <w:r w:rsidRPr="004A70F5">
              <w:rPr>
                <w:szCs w:val="24"/>
              </w:rPr>
              <w:t>PstI</w:t>
            </w:r>
            <w:proofErr w:type="spellEnd"/>
          </w:p>
        </w:tc>
        <w:tc>
          <w:tcPr>
            <w:tcW w:w="924" w:type="pct"/>
            <w:tcBorders>
              <w:top w:val="single" w:sz="4" w:space="0" w:color="auto"/>
              <w:bottom w:val="single" w:sz="4" w:space="0" w:color="auto"/>
            </w:tcBorders>
          </w:tcPr>
          <w:p w14:paraId="2930A11C" w14:textId="77777777" w:rsidR="007D2C4A" w:rsidRPr="004A70F5" w:rsidRDefault="007D2C4A">
            <w:pPr>
              <w:pStyle w:val="ListParagraph"/>
              <w:ind w:left="0" w:hanging="2"/>
              <w:rPr>
                <w:szCs w:val="24"/>
              </w:rPr>
            </w:pPr>
            <w:r w:rsidRPr="004A70F5">
              <w:rPr>
                <w:szCs w:val="24"/>
              </w:rPr>
              <w:t>CTGCA/G</w:t>
            </w:r>
          </w:p>
        </w:tc>
        <w:tc>
          <w:tcPr>
            <w:tcW w:w="981" w:type="pct"/>
            <w:tcBorders>
              <w:top w:val="single" w:sz="4" w:space="0" w:color="auto"/>
              <w:bottom w:val="single" w:sz="4" w:space="0" w:color="auto"/>
            </w:tcBorders>
          </w:tcPr>
          <w:p w14:paraId="49A1736E" w14:textId="77777777" w:rsidR="007D2C4A" w:rsidRPr="004A70F5" w:rsidRDefault="007D2C4A">
            <w:pPr>
              <w:pStyle w:val="ListParagraph"/>
              <w:ind w:left="0" w:hanging="2"/>
              <w:rPr>
                <w:szCs w:val="24"/>
              </w:rPr>
            </w:pPr>
            <w:r w:rsidRPr="004A70F5">
              <w:rPr>
                <w:szCs w:val="24"/>
              </w:rPr>
              <w:t>567/298</w:t>
            </w:r>
          </w:p>
        </w:tc>
        <w:tc>
          <w:tcPr>
            <w:tcW w:w="982" w:type="pct"/>
            <w:tcBorders>
              <w:top w:val="single" w:sz="4" w:space="0" w:color="auto"/>
              <w:bottom w:val="single" w:sz="4" w:space="0" w:color="auto"/>
            </w:tcBorders>
          </w:tcPr>
          <w:p w14:paraId="51D62F02" w14:textId="77777777" w:rsidR="007D2C4A" w:rsidRPr="004A70F5" w:rsidRDefault="007D2C4A">
            <w:pPr>
              <w:pStyle w:val="ListParagraph"/>
              <w:ind w:left="0" w:hanging="2"/>
              <w:rPr>
                <w:szCs w:val="24"/>
              </w:rPr>
            </w:pPr>
            <w:r w:rsidRPr="004A70F5">
              <w:rPr>
                <w:szCs w:val="24"/>
              </w:rPr>
              <w:t>865</w:t>
            </w:r>
          </w:p>
        </w:tc>
      </w:tr>
      <w:tr w:rsidR="007D2C4A" w:rsidRPr="004A70F5" w14:paraId="1EC4F18A" w14:textId="77777777" w:rsidTr="004A70F5">
        <w:trPr>
          <w:jc w:val="center"/>
        </w:trPr>
        <w:tc>
          <w:tcPr>
            <w:tcW w:w="1074" w:type="pct"/>
            <w:tcBorders>
              <w:top w:val="single" w:sz="4" w:space="0" w:color="auto"/>
            </w:tcBorders>
          </w:tcPr>
          <w:p w14:paraId="54FE0643" w14:textId="77777777" w:rsidR="007D2C4A" w:rsidRPr="004A70F5" w:rsidRDefault="007D2C4A">
            <w:pPr>
              <w:pStyle w:val="ListParagraph"/>
              <w:ind w:left="0" w:hanging="2"/>
              <w:rPr>
                <w:szCs w:val="24"/>
              </w:rPr>
            </w:pPr>
            <w:proofErr w:type="gramStart"/>
            <w:r w:rsidRPr="004A70F5">
              <w:rPr>
                <w:szCs w:val="24"/>
              </w:rPr>
              <w:t>p.[</w:t>
            </w:r>
            <w:proofErr w:type="gramEnd"/>
            <w:r w:rsidRPr="004A70F5">
              <w:rPr>
                <w:szCs w:val="24"/>
              </w:rPr>
              <w:t>Ile236Asn; Val237Glu; Met239Lys]</w:t>
            </w:r>
          </w:p>
        </w:tc>
        <w:tc>
          <w:tcPr>
            <w:tcW w:w="1039" w:type="pct"/>
            <w:tcBorders>
              <w:top w:val="single" w:sz="4" w:space="0" w:color="auto"/>
            </w:tcBorders>
          </w:tcPr>
          <w:p w14:paraId="304314E1" w14:textId="77777777" w:rsidR="007D2C4A" w:rsidRPr="004A70F5" w:rsidRDefault="007D2C4A">
            <w:pPr>
              <w:pStyle w:val="ListParagraph"/>
              <w:ind w:left="0" w:hanging="2"/>
              <w:rPr>
                <w:szCs w:val="24"/>
              </w:rPr>
            </w:pPr>
            <w:proofErr w:type="spellStart"/>
            <w:r w:rsidRPr="004A70F5">
              <w:rPr>
                <w:szCs w:val="24"/>
              </w:rPr>
              <w:t>DraIII</w:t>
            </w:r>
            <w:proofErr w:type="spellEnd"/>
          </w:p>
        </w:tc>
        <w:tc>
          <w:tcPr>
            <w:tcW w:w="924" w:type="pct"/>
            <w:tcBorders>
              <w:top w:val="single" w:sz="4" w:space="0" w:color="auto"/>
            </w:tcBorders>
          </w:tcPr>
          <w:p w14:paraId="1884BBBB" w14:textId="77777777" w:rsidR="007D2C4A" w:rsidRPr="004A70F5" w:rsidRDefault="007D2C4A">
            <w:pPr>
              <w:pStyle w:val="ListParagraph"/>
              <w:ind w:left="0" w:hanging="2"/>
              <w:rPr>
                <w:szCs w:val="24"/>
              </w:rPr>
            </w:pPr>
            <w:r w:rsidRPr="004A70F5">
              <w:rPr>
                <w:szCs w:val="24"/>
              </w:rPr>
              <w:t>CACNNN/GTG</w:t>
            </w:r>
          </w:p>
        </w:tc>
        <w:tc>
          <w:tcPr>
            <w:tcW w:w="981" w:type="pct"/>
            <w:tcBorders>
              <w:top w:val="single" w:sz="4" w:space="0" w:color="auto"/>
            </w:tcBorders>
          </w:tcPr>
          <w:p w14:paraId="3722AD0E" w14:textId="77777777" w:rsidR="007D2C4A" w:rsidRPr="004A70F5" w:rsidRDefault="007D2C4A">
            <w:pPr>
              <w:pStyle w:val="ListParagraph"/>
              <w:ind w:left="0" w:hanging="2"/>
              <w:rPr>
                <w:szCs w:val="24"/>
              </w:rPr>
            </w:pPr>
            <w:r w:rsidRPr="004A70F5">
              <w:rPr>
                <w:szCs w:val="24"/>
              </w:rPr>
              <w:t>687/28</w:t>
            </w:r>
          </w:p>
        </w:tc>
        <w:tc>
          <w:tcPr>
            <w:tcW w:w="982" w:type="pct"/>
            <w:tcBorders>
              <w:top w:val="single" w:sz="4" w:space="0" w:color="auto"/>
            </w:tcBorders>
          </w:tcPr>
          <w:p w14:paraId="4855CDCC" w14:textId="77777777" w:rsidR="007D2C4A" w:rsidRPr="004A70F5" w:rsidRDefault="007D2C4A">
            <w:pPr>
              <w:pStyle w:val="ListParagraph"/>
              <w:ind w:left="0" w:hanging="2"/>
              <w:rPr>
                <w:szCs w:val="24"/>
              </w:rPr>
            </w:pPr>
            <w:r w:rsidRPr="004A70F5">
              <w:rPr>
                <w:szCs w:val="24"/>
              </w:rPr>
              <w:t>715</w:t>
            </w:r>
          </w:p>
        </w:tc>
      </w:tr>
    </w:tbl>
    <w:p w14:paraId="0472FA3A" w14:textId="77777777" w:rsidR="007D2C4A" w:rsidRDefault="007D2C4A" w:rsidP="007D2C4A">
      <w:pPr>
        <w:spacing w:after="0" w:line="240" w:lineRule="auto"/>
        <w:ind w:left="0" w:hanging="2"/>
        <w:jc w:val="both"/>
        <w:rPr>
          <w:rFonts w:ascii="Times New Roman" w:eastAsia="Times New Roman" w:hAnsi="Times New Roman" w:cs="Times New Roman"/>
          <w:sz w:val="24"/>
          <w:szCs w:val="24"/>
        </w:rPr>
      </w:pPr>
    </w:p>
    <w:p w14:paraId="2DFE0DDF" w14:textId="77777777" w:rsidR="005D3AC0" w:rsidRDefault="005D3AC0" w:rsidP="007D2C4A">
      <w:pPr>
        <w:spacing w:after="0" w:line="240" w:lineRule="auto"/>
        <w:ind w:left="0" w:hanging="2"/>
        <w:jc w:val="both"/>
        <w:rPr>
          <w:rFonts w:ascii="Times New Roman" w:eastAsia="Times New Roman" w:hAnsi="Times New Roman" w:cs="Times New Roman"/>
          <w:sz w:val="24"/>
          <w:szCs w:val="24"/>
        </w:rPr>
      </w:pPr>
    </w:p>
    <w:p w14:paraId="3859238A" w14:textId="77777777" w:rsidR="005D3AC0" w:rsidRDefault="005D3AC0" w:rsidP="007D2C4A">
      <w:pPr>
        <w:spacing w:after="0" w:line="240" w:lineRule="auto"/>
        <w:ind w:left="0" w:hanging="2"/>
        <w:jc w:val="both"/>
        <w:rPr>
          <w:rFonts w:ascii="Times New Roman" w:eastAsia="Times New Roman" w:hAnsi="Times New Roman" w:cs="Times New Roman"/>
          <w:sz w:val="24"/>
          <w:szCs w:val="24"/>
        </w:rPr>
      </w:pPr>
    </w:p>
    <w:p w14:paraId="1A8E2483" w14:textId="77777777" w:rsidR="005D3AC0" w:rsidRDefault="005D3AC0" w:rsidP="007D2C4A">
      <w:pPr>
        <w:spacing w:after="0" w:line="240" w:lineRule="auto"/>
        <w:ind w:left="0" w:hanging="2"/>
        <w:jc w:val="both"/>
        <w:rPr>
          <w:rFonts w:ascii="Times New Roman" w:eastAsia="Times New Roman" w:hAnsi="Times New Roman" w:cs="Times New Roman"/>
          <w:sz w:val="24"/>
          <w:szCs w:val="24"/>
        </w:rPr>
      </w:pPr>
    </w:p>
    <w:p w14:paraId="687DC424" w14:textId="77777777" w:rsidR="005D3AC0" w:rsidRDefault="005D3AC0" w:rsidP="007D2C4A">
      <w:pPr>
        <w:spacing w:after="0" w:line="240" w:lineRule="auto"/>
        <w:ind w:left="0" w:hanging="2"/>
        <w:jc w:val="both"/>
        <w:rPr>
          <w:rFonts w:ascii="Times New Roman" w:eastAsia="Times New Roman" w:hAnsi="Times New Roman" w:cs="Times New Roman"/>
          <w:sz w:val="24"/>
          <w:szCs w:val="24"/>
        </w:rPr>
      </w:pPr>
    </w:p>
    <w:p w14:paraId="46D36EE8" w14:textId="77777777" w:rsidR="005D3AC0" w:rsidRDefault="005D3AC0" w:rsidP="007D2C4A">
      <w:pPr>
        <w:spacing w:after="0" w:line="240" w:lineRule="auto"/>
        <w:ind w:left="0" w:hanging="2"/>
        <w:jc w:val="both"/>
        <w:rPr>
          <w:rFonts w:ascii="Times New Roman" w:eastAsia="Times New Roman" w:hAnsi="Times New Roman" w:cs="Times New Roman"/>
          <w:sz w:val="24"/>
          <w:szCs w:val="24"/>
        </w:rPr>
      </w:pPr>
    </w:p>
    <w:p w14:paraId="36A78FEE" w14:textId="673A52F9" w:rsidR="007D2C4A" w:rsidRDefault="007D2C4A" w:rsidP="004A70F5">
      <w:pPr>
        <w:pStyle w:val="Caption"/>
        <w:spacing w:before="240" w:after="120"/>
        <w:jc w:val="center"/>
        <w:rPr>
          <w:rFonts w:eastAsia="Times New Roman"/>
        </w:rPr>
      </w:pPr>
      <w:r>
        <w:lastRenderedPageBreak/>
        <w:t xml:space="preserve">Table </w:t>
      </w:r>
      <w:r w:rsidR="00F6387E">
        <w:fldChar w:fldCharType="begin"/>
      </w:r>
      <w:r w:rsidR="00F6387E">
        <w:instrText xml:space="preserve"> SEQ Table \* ARABIC </w:instrText>
      </w:r>
      <w:r w:rsidR="00F6387E">
        <w:fldChar w:fldCharType="separate"/>
      </w:r>
      <w:r w:rsidR="00B11437">
        <w:rPr>
          <w:noProof/>
        </w:rPr>
        <w:t>2</w:t>
      </w:r>
      <w:r w:rsidR="00F6387E">
        <w:rPr>
          <w:noProof/>
        </w:rPr>
        <w:fldChar w:fldCharType="end"/>
      </w:r>
      <w:r>
        <w:t xml:space="preserve">. </w:t>
      </w:r>
      <w:r>
        <w:rPr>
          <w:rFonts w:eastAsia="Times New Roman"/>
          <w:b w:val="0"/>
          <w:bCs w:val="0"/>
        </w:rPr>
        <w:t>Genotype-phenotype frequency of Indonesian SW-CAH patients</w:t>
      </w:r>
    </w:p>
    <w:tbl>
      <w:tblPr>
        <w:tblStyle w:val="Tabelraster1"/>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8"/>
        <w:gridCol w:w="1607"/>
        <w:gridCol w:w="1607"/>
        <w:gridCol w:w="1607"/>
        <w:gridCol w:w="1606"/>
      </w:tblGrid>
      <w:tr w:rsidR="007D2C4A" w:rsidRPr="00D151DA" w14:paraId="66ED1DD2" w14:textId="77777777" w:rsidTr="004A70F5">
        <w:trPr>
          <w:tblHeader/>
          <w:jc w:val="center"/>
        </w:trPr>
        <w:tc>
          <w:tcPr>
            <w:tcW w:w="1221" w:type="pct"/>
            <w:tcBorders>
              <w:top w:val="single" w:sz="4" w:space="0" w:color="auto"/>
              <w:bottom w:val="single" w:sz="4" w:space="0" w:color="auto"/>
            </w:tcBorders>
          </w:tcPr>
          <w:p w14:paraId="5549652B" w14:textId="77777777" w:rsidR="007D2C4A" w:rsidRPr="00D151DA" w:rsidRDefault="007D2C4A">
            <w:pPr>
              <w:suppressAutoHyphens w:val="0"/>
              <w:ind w:leftChars="0" w:left="0" w:firstLineChars="0" w:hanging="2"/>
              <w:textDirection w:val="lrTb"/>
              <w:textAlignment w:val="auto"/>
              <w:outlineLvl w:val="9"/>
              <w:rPr>
                <w:rFonts w:ascii="Times New Roman" w:hAnsi="Times New Roman"/>
                <w:position w:val="0"/>
                <w:sz w:val="24"/>
                <w:szCs w:val="24"/>
              </w:rPr>
            </w:pPr>
          </w:p>
        </w:tc>
        <w:tc>
          <w:tcPr>
            <w:tcW w:w="945" w:type="pct"/>
            <w:tcBorders>
              <w:top w:val="single" w:sz="4" w:space="0" w:color="auto"/>
              <w:bottom w:val="single" w:sz="4" w:space="0" w:color="auto"/>
            </w:tcBorders>
          </w:tcPr>
          <w:p w14:paraId="7BBAF5F0" w14:textId="77777777" w:rsidR="007D2C4A" w:rsidRPr="00D151DA" w:rsidRDefault="007D2C4A">
            <w:pPr>
              <w:suppressAutoHyphens w:val="0"/>
              <w:ind w:leftChars="0" w:left="0" w:firstLineChars="0" w:hanging="2"/>
              <w:jc w:val="center"/>
              <w:textDirection w:val="lrTb"/>
              <w:textAlignment w:val="auto"/>
              <w:outlineLvl w:val="9"/>
              <w:rPr>
                <w:rFonts w:ascii="Times New Roman" w:hAnsi="Times New Roman"/>
                <w:b/>
                <w:bCs/>
                <w:position w:val="0"/>
                <w:sz w:val="24"/>
                <w:szCs w:val="24"/>
              </w:rPr>
            </w:pPr>
            <w:r w:rsidRPr="00D151DA">
              <w:rPr>
                <w:rFonts w:ascii="Times New Roman" w:hAnsi="Times New Roman"/>
                <w:b/>
                <w:bCs/>
                <w:position w:val="0"/>
                <w:sz w:val="24"/>
                <w:szCs w:val="24"/>
              </w:rPr>
              <w:t>Positive</w:t>
            </w:r>
          </w:p>
        </w:tc>
        <w:tc>
          <w:tcPr>
            <w:tcW w:w="945" w:type="pct"/>
            <w:tcBorders>
              <w:top w:val="single" w:sz="4" w:space="0" w:color="auto"/>
              <w:bottom w:val="single" w:sz="4" w:space="0" w:color="auto"/>
            </w:tcBorders>
          </w:tcPr>
          <w:p w14:paraId="4E79F7CA" w14:textId="77777777" w:rsidR="007D2C4A" w:rsidRPr="00D151DA" w:rsidRDefault="007D2C4A">
            <w:pPr>
              <w:suppressAutoHyphens w:val="0"/>
              <w:ind w:leftChars="0" w:left="0" w:firstLineChars="0" w:hanging="2"/>
              <w:jc w:val="center"/>
              <w:textDirection w:val="lrTb"/>
              <w:textAlignment w:val="auto"/>
              <w:outlineLvl w:val="9"/>
              <w:rPr>
                <w:rFonts w:ascii="Times New Roman" w:hAnsi="Times New Roman"/>
                <w:b/>
                <w:bCs/>
                <w:position w:val="0"/>
                <w:sz w:val="24"/>
                <w:szCs w:val="24"/>
              </w:rPr>
            </w:pPr>
            <w:r w:rsidRPr="00D151DA">
              <w:rPr>
                <w:rFonts w:ascii="Times New Roman" w:hAnsi="Times New Roman"/>
                <w:b/>
                <w:bCs/>
                <w:position w:val="0"/>
                <w:sz w:val="24"/>
                <w:szCs w:val="24"/>
              </w:rPr>
              <w:t>Negative</w:t>
            </w:r>
          </w:p>
        </w:tc>
        <w:tc>
          <w:tcPr>
            <w:tcW w:w="945" w:type="pct"/>
            <w:tcBorders>
              <w:top w:val="single" w:sz="4" w:space="0" w:color="auto"/>
              <w:bottom w:val="single" w:sz="4" w:space="0" w:color="auto"/>
            </w:tcBorders>
          </w:tcPr>
          <w:p w14:paraId="3823E71C" w14:textId="77777777" w:rsidR="007D2C4A" w:rsidRPr="00D151DA" w:rsidRDefault="007D2C4A">
            <w:pPr>
              <w:suppressAutoHyphens w:val="0"/>
              <w:ind w:leftChars="0" w:left="0" w:firstLineChars="0" w:hanging="2"/>
              <w:jc w:val="center"/>
              <w:textDirection w:val="lrTb"/>
              <w:textAlignment w:val="auto"/>
              <w:outlineLvl w:val="9"/>
              <w:rPr>
                <w:rFonts w:ascii="Times New Roman" w:hAnsi="Times New Roman"/>
                <w:b/>
                <w:bCs/>
                <w:position w:val="0"/>
                <w:sz w:val="24"/>
                <w:szCs w:val="24"/>
              </w:rPr>
            </w:pPr>
            <w:r w:rsidRPr="00D151DA">
              <w:rPr>
                <w:rFonts w:ascii="Times New Roman" w:hAnsi="Times New Roman"/>
                <w:b/>
                <w:bCs/>
                <w:position w:val="0"/>
                <w:sz w:val="24"/>
                <w:szCs w:val="24"/>
              </w:rPr>
              <w:t>No Band</w:t>
            </w:r>
          </w:p>
        </w:tc>
        <w:tc>
          <w:tcPr>
            <w:tcW w:w="945" w:type="pct"/>
            <w:tcBorders>
              <w:top w:val="single" w:sz="4" w:space="0" w:color="auto"/>
              <w:bottom w:val="single" w:sz="4" w:space="0" w:color="auto"/>
            </w:tcBorders>
          </w:tcPr>
          <w:p w14:paraId="5465F822" w14:textId="77777777" w:rsidR="007D2C4A" w:rsidRPr="00D151DA" w:rsidRDefault="007D2C4A">
            <w:pPr>
              <w:suppressAutoHyphens w:val="0"/>
              <w:ind w:leftChars="0" w:left="0" w:firstLineChars="0" w:hanging="2"/>
              <w:jc w:val="center"/>
              <w:textDirection w:val="lrTb"/>
              <w:textAlignment w:val="auto"/>
              <w:outlineLvl w:val="9"/>
              <w:rPr>
                <w:rFonts w:ascii="Times New Roman" w:hAnsi="Times New Roman"/>
                <w:b/>
                <w:bCs/>
                <w:position w:val="0"/>
                <w:sz w:val="24"/>
                <w:szCs w:val="24"/>
              </w:rPr>
            </w:pPr>
            <w:r w:rsidRPr="00D151DA">
              <w:rPr>
                <w:rFonts w:ascii="Times New Roman" w:hAnsi="Times New Roman"/>
                <w:b/>
                <w:bCs/>
                <w:position w:val="0"/>
                <w:sz w:val="24"/>
                <w:szCs w:val="24"/>
              </w:rPr>
              <w:t>Total</w:t>
            </w:r>
          </w:p>
        </w:tc>
      </w:tr>
      <w:tr w:rsidR="007D2C4A" w:rsidRPr="00D151DA" w14:paraId="35121C48" w14:textId="77777777" w:rsidTr="004A70F5">
        <w:trPr>
          <w:jc w:val="center"/>
        </w:trPr>
        <w:tc>
          <w:tcPr>
            <w:tcW w:w="1221" w:type="pct"/>
            <w:tcBorders>
              <w:top w:val="single" w:sz="4" w:space="0" w:color="auto"/>
            </w:tcBorders>
          </w:tcPr>
          <w:p w14:paraId="319DE997" w14:textId="77777777" w:rsidR="007D2C4A" w:rsidRPr="00D151DA" w:rsidRDefault="007D2C4A">
            <w:pPr>
              <w:suppressAutoHyphens w:val="0"/>
              <w:ind w:leftChars="0" w:left="0" w:firstLineChars="0" w:hanging="2"/>
              <w:textDirection w:val="lrTb"/>
              <w:textAlignment w:val="auto"/>
              <w:outlineLvl w:val="9"/>
              <w:rPr>
                <w:rFonts w:ascii="Times New Roman" w:hAnsi="Times New Roman"/>
                <w:position w:val="0"/>
                <w:sz w:val="24"/>
                <w:szCs w:val="24"/>
              </w:rPr>
            </w:pPr>
            <w:r w:rsidRPr="00D151DA">
              <w:rPr>
                <w:rFonts w:ascii="Times New Roman" w:hAnsi="Times New Roman"/>
                <w:position w:val="0"/>
                <w:sz w:val="24"/>
                <w:szCs w:val="24"/>
              </w:rPr>
              <w:t>IVS2-13A/C&gt;G</w:t>
            </w:r>
          </w:p>
          <w:p w14:paraId="121719B4" w14:textId="77777777" w:rsidR="007D2C4A" w:rsidRPr="00D151DA" w:rsidRDefault="007D2C4A">
            <w:pPr>
              <w:suppressAutoHyphens w:val="0"/>
              <w:ind w:leftChars="0" w:left="0" w:firstLineChars="0" w:hanging="2"/>
              <w:textDirection w:val="lrTb"/>
              <w:textAlignment w:val="auto"/>
              <w:outlineLvl w:val="9"/>
              <w:rPr>
                <w:rFonts w:ascii="Times New Roman" w:hAnsi="Times New Roman"/>
                <w:position w:val="0"/>
                <w:sz w:val="24"/>
                <w:szCs w:val="24"/>
              </w:rPr>
            </w:pPr>
          </w:p>
        </w:tc>
        <w:tc>
          <w:tcPr>
            <w:tcW w:w="945" w:type="pct"/>
            <w:tcBorders>
              <w:top w:val="single" w:sz="4" w:space="0" w:color="auto"/>
            </w:tcBorders>
          </w:tcPr>
          <w:p w14:paraId="1B41CBAF" w14:textId="77777777" w:rsidR="007D2C4A" w:rsidRPr="00D151DA" w:rsidRDefault="007D2C4A">
            <w:pPr>
              <w:suppressAutoHyphens w:val="0"/>
              <w:ind w:leftChars="0" w:left="0" w:firstLineChars="0" w:hanging="2"/>
              <w:jc w:val="center"/>
              <w:textDirection w:val="lrTb"/>
              <w:textAlignment w:val="auto"/>
              <w:outlineLvl w:val="9"/>
              <w:rPr>
                <w:rFonts w:ascii="Times New Roman" w:hAnsi="Times New Roman"/>
                <w:position w:val="0"/>
                <w:sz w:val="24"/>
                <w:szCs w:val="24"/>
              </w:rPr>
            </w:pPr>
            <w:r w:rsidRPr="00D151DA">
              <w:rPr>
                <w:rFonts w:ascii="Times New Roman" w:hAnsi="Times New Roman"/>
                <w:position w:val="0"/>
                <w:sz w:val="24"/>
                <w:szCs w:val="24"/>
              </w:rPr>
              <w:t>26 (96.3%)</w:t>
            </w:r>
          </w:p>
        </w:tc>
        <w:tc>
          <w:tcPr>
            <w:tcW w:w="945" w:type="pct"/>
            <w:tcBorders>
              <w:top w:val="single" w:sz="4" w:space="0" w:color="auto"/>
            </w:tcBorders>
          </w:tcPr>
          <w:p w14:paraId="462FC261" w14:textId="77777777" w:rsidR="007D2C4A" w:rsidRPr="00D151DA" w:rsidRDefault="007D2C4A">
            <w:pPr>
              <w:suppressAutoHyphens w:val="0"/>
              <w:ind w:leftChars="0" w:left="0" w:firstLineChars="0" w:hanging="2"/>
              <w:jc w:val="center"/>
              <w:textDirection w:val="lrTb"/>
              <w:textAlignment w:val="auto"/>
              <w:outlineLvl w:val="9"/>
              <w:rPr>
                <w:rFonts w:ascii="Times New Roman" w:hAnsi="Times New Roman"/>
                <w:position w:val="0"/>
                <w:sz w:val="24"/>
                <w:szCs w:val="24"/>
              </w:rPr>
            </w:pPr>
            <w:r w:rsidRPr="00D151DA">
              <w:rPr>
                <w:rFonts w:ascii="Times New Roman" w:hAnsi="Times New Roman"/>
                <w:position w:val="0"/>
                <w:sz w:val="24"/>
                <w:szCs w:val="24"/>
              </w:rPr>
              <w:t>1 (3.75)</w:t>
            </w:r>
          </w:p>
        </w:tc>
        <w:tc>
          <w:tcPr>
            <w:tcW w:w="945" w:type="pct"/>
            <w:tcBorders>
              <w:top w:val="single" w:sz="4" w:space="0" w:color="auto"/>
            </w:tcBorders>
          </w:tcPr>
          <w:p w14:paraId="3140D9DB" w14:textId="77777777" w:rsidR="007D2C4A" w:rsidRPr="00D151DA" w:rsidRDefault="007D2C4A">
            <w:pPr>
              <w:suppressAutoHyphens w:val="0"/>
              <w:ind w:leftChars="0" w:left="0" w:firstLineChars="0" w:hanging="2"/>
              <w:jc w:val="center"/>
              <w:textDirection w:val="lrTb"/>
              <w:textAlignment w:val="auto"/>
              <w:outlineLvl w:val="9"/>
              <w:rPr>
                <w:rFonts w:ascii="Times New Roman" w:hAnsi="Times New Roman"/>
                <w:position w:val="0"/>
                <w:sz w:val="24"/>
                <w:szCs w:val="24"/>
              </w:rPr>
            </w:pPr>
            <w:r w:rsidRPr="00D151DA">
              <w:rPr>
                <w:rFonts w:ascii="Times New Roman" w:hAnsi="Times New Roman"/>
                <w:position w:val="0"/>
                <w:sz w:val="24"/>
                <w:szCs w:val="24"/>
              </w:rPr>
              <w:t>0</w:t>
            </w:r>
          </w:p>
        </w:tc>
        <w:tc>
          <w:tcPr>
            <w:tcW w:w="945" w:type="pct"/>
            <w:tcBorders>
              <w:top w:val="single" w:sz="4" w:space="0" w:color="auto"/>
            </w:tcBorders>
          </w:tcPr>
          <w:p w14:paraId="1FF27F80" w14:textId="77777777" w:rsidR="007D2C4A" w:rsidRPr="00D151DA" w:rsidRDefault="007D2C4A">
            <w:pPr>
              <w:suppressAutoHyphens w:val="0"/>
              <w:ind w:leftChars="0" w:left="0" w:firstLineChars="0" w:hanging="2"/>
              <w:jc w:val="center"/>
              <w:textDirection w:val="lrTb"/>
              <w:textAlignment w:val="auto"/>
              <w:outlineLvl w:val="9"/>
              <w:rPr>
                <w:rFonts w:ascii="Times New Roman" w:hAnsi="Times New Roman"/>
                <w:position w:val="0"/>
                <w:sz w:val="24"/>
                <w:szCs w:val="24"/>
              </w:rPr>
            </w:pPr>
            <w:r w:rsidRPr="00D151DA">
              <w:rPr>
                <w:rFonts w:ascii="Times New Roman" w:hAnsi="Times New Roman"/>
                <w:position w:val="0"/>
                <w:sz w:val="24"/>
                <w:szCs w:val="24"/>
              </w:rPr>
              <w:t>27 (100%)</w:t>
            </w:r>
          </w:p>
        </w:tc>
      </w:tr>
      <w:tr w:rsidR="007D2C4A" w:rsidRPr="00D151DA" w14:paraId="7AFECEFF" w14:textId="77777777" w:rsidTr="004A70F5">
        <w:trPr>
          <w:jc w:val="center"/>
        </w:trPr>
        <w:tc>
          <w:tcPr>
            <w:tcW w:w="1221" w:type="pct"/>
          </w:tcPr>
          <w:p w14:paraId="12D3B446" w14:textId="77777777" w:rsidR="007D2C4A" w:rsidRPr="00D151DA" w:rsidRDefault="007D2C4A">
            <w:pPr>
              <w:suppressAutoHyphens w:val="0"/>
              <w:ind w:leftChars="0" w:left="0" w:firstLineChars="0" w:hanging="2"/>
              <w:textDirection w:val="lrTb"/>
              <w:textAlignment w:val="auto"/>
              <w:outlineLvl w:val="9"/>
              <w:rPr>
                <w:rFonts w:ascii="Times New Roman" w:hAnsi="Times New Roman"/>
                <w:position w:val="0"/>
                <w:sz w:val="24"/>
                <w:szCs w:val="24"/>
              </w:rPr>
            </w:pPr>
            <w:proofErr w:type="gramStart"/>
            <w:r w:rsidRPr="00D151DA">
              <w:rPr>
                <w:rFonts w:ascii="Times New Roman" w:hAnsi="Times New Roman"/>
                <w:position w:val="0"/>
                <w:sz w:val="24"/>
                <w:szCs w:val="24"/>
              </w:rPr>
              <w:t>p.Gln</w:t>
            </w:r>
            <w:proofErr w:type="gramEnd"/>
            <w:r w:rsidRPr="00D151DA">
              <w:rPr>
                <w:rFonts w:ascii="Times New Roman" w:hAnsi="Times New Roman"/>
                <w:position w:val="0"/>
                <w:sz w:val="24"/>
                <w:szCs w:val="24"/>
              </w:rPr>
              <w:t>318Ter</w:t>
            </w:r>
          </w:p>
          <w:p w14:paraId="5EB7AB28" w14:textId="77777777" w:rsidR="007D2C4A" w:rsidRPr="00D151DA" w:rsidRDefault="007D2C4A">
            <w:pPr>
              <w:suppressAutoHyphens w:val="0"/>
              <w:ind w:leftChars="0" w:left="0" w:firstLineChars="0" w:hanging="2"/>
              <w:textDirection w:val="lrTb"/>
              <w:textAlignment w:val="auto"/>
              <w:outlineLvl w:val="9"/>
              <w:rPr>
                <w:rFonts w:ascii="Times New Roman" w:hAnsi="Times New Roman"/>
                <w:position w:val="0"/>
                <w:sz w:val="24"/>
                <w:szCs w:val="24"/>
              </w:rPr>
            </w:pPr>
          </w:p>
        </w:tc>
        <w:tc>
          <w:tcPr>
            <w:tcW w:w="945" w:type="pct"/>
          </w:tcPr>
          <w:p w14:paraId="472E138B" w14:textId="77777777" w:rsidR="007D2C4A" w:rsidRPr="00D151DA" w:rsidRDefault="007D2C4A">
            <w:pPr>
              <w:suppressAutoHyphens w:val="0"/>
              <w:ind w:leftChars="0" w:left="0" w:firstLineChars="0" w:hanging="2"/>
              <w:jc w:val="center"/>
              <w:textDirection w:val="lrTb"/>
              <w:textAlignment w:val="auto"/>
              <w:outlineLvl w:val="9"/>
              <w:rPr>
                <w:rFonts w:ascii="Times New Roman" w:hAnsi="Times New Roman"/>
                <w:position w:val="0"/>
                <w:sz w:val="24"/>
                <w:szCs w:val="24"/>
              </w:rPr>
            </w:pPr>
            <w:r w:rsidRPr="00D151DA">
              <w:rPr>
                <w:rFonts w:ascii="Times New Roman" w:hAnsi="Times New Roman"/>
                <w:position w:val="0"/>
                <w:sz w:val="24"/>
                <w:szCs w:val="24"/>
              </w:rPr>
              <w:t>3 (6.1%)</w:t>
            </w:r>
          </w:p>
        </w:tc>
        <w:tc>
          <w:tcPr>
            <w:tcW w:w="945" w:type="pct"/>
          </w:tcPr>
          <w:p w14:paraId="4DB0988E" w14:textId="77777777" w:rsidR="007D2C4A" w:rsidRPr="00D151DA" w:rsidRDefault="007D2C4A">
            <w:pPr>
              <w:suppressAutoHyphens w:val="0"/>
              <w:ind w:leftChars="0" w:left="0" w:firstLineChars="0" w:hanging="2"/>
              <w:jc w:val="center"/>
              <w:textDirection w:val="lrTb"/>
              <w:textAlignment w:val="auto"/>
              <w:outlineLvl w:val="9"/>
              <w:rPr>
                <w:rFonts w:ascii="Times New Roman" w:hAnsi="Times New Roman"/>
                <w:position w:val="0"/>
                <w:sz w:val="24"/>
                <w:szCs w:val="24"/>
              </w:rPr>
            </w:pPr>
            <w:r w:rsidRPr="00D151DA">
              <w:rPr>
                <w:rFonts w:ascii="Times New Roman" w:hAnsi="Times New Roman"/>
                <w:position w:val="0"/>
                <w:sz w:val="24"/>
                <w:szCs w:val="24"/>
              </w:rPr>
              <w:t>34 (69.4%)</w:t>
            </w:r>
          </w:p>
        </w:tc>
        <w:tc>
          <w:tcPr>
            <w:tcW w:w="945" w:type="pct"/>
          </w:tcPr>
          <w:p w14:paraId="0AD9705B" w14:textId="77777777" w:rsidR="007D2C4A" w:rsidRPr="00D151DA" w:rsidRDefault="007D2C4A">
            <w:pPr>
              <w:suppressAutoHyphens w:val="0"/>
              <w:ind w:leftChars="0" w:left="0" w:firstLineChars="0" w:hanging="2"/>
              <w:jc w:val="center"/>
              <w:textDirection w:val="lrTb"/>
              <w:textAlignment w:val="auto"/>
              <w:outlineLvl w:val="9"/>
              <w:rPr>
                <w:rFonts w:ascii="Times New Roman" w:hAnsi="Times New Roman"/>
                <w:position w:val="0"/>
                <w:sz w:val="24"/>
                <w:szCs w:val="24"/>
              </w:rPr>
            </w:pPr>
            <w:r w:rsidRPr="00D151DA">
              <w:rPr>
                <w:rFonts w:ascii="Times New Roman" w:hAnsi="Times New Roman"/>
                <w:position w:val="0"/>
                <w:sz w:val="24"/>
                <w:szCs w:val="24"/>
              </w:rPr>
              <w:t>12 (24.5%)</w:t>
            </w:r>
          </w:p>
        </w:tc>
        <w:tc>
          <w:tcPr>
            <w:tcW w:w="945" w:type="pct"/>
          </w:tcPr>
          <w:p w14:paraId="52B814B2" w14:textId="77777777" w:rsidR="007D2C4A" w:rsidRPr="00D151DA" w:rsidRDefault="007D2C4A">
            <w:pPr>
              <w:suppressAutoHyphens w:val="0"/>
              <w:ind w:leftChars="0" w:left="0" w:firstLineChars="0" w:hanging="2"/>
              <w:jc w:val="center"/>
              <w:textDirection w:val="lrTb"/>
              <w:textAlignment w:val="auto"/>
              <w:outlineLvl w:val="9"/>
              <w:rPr>
                <w:rFonts w:ascii="Times New Roman" w:hAnsi="Times New Roman"/>
                <w:position w:val="0"/>
                <w:sz w:val="24"/>
                <w:szCs w:val="24"/>
              </w:rPr>
            </w:pPr>
            <w:r w:rsidRPr="00D151DA">
              <w:rPr>
                <w:rFonts w:ascii="Times New Roman" w:hAnsi="Times New Roman"/>
                <w:position w:val="0"/>
                <w:sz w:val="24"/>
                <w:szCs w:val="24"/>
              </w:rPr>
              <w:t>49 (100%)</w:t>
            </w:r>
          </w:p>
        </w:tc>
      </w:tr>
    </w:tbl>
    <w:p w14:paraId="1C5800C7" w14:textId="77777777" w:rsidR="007D2C4A" w:rsidRDefault="007D2C4A" w:rsidP="007D2C4A">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14:paraId="7E0AB3B5" w14:textId="7E48E7AE" w:rsidR="007D2C4A" w:rsidRPr="00AF6B93" w:rsidRDefault="007D2C4A" w:rsidP="004A70F5">
      <w:pPr>
        <w:pStyle w:val="Caption"/>
        <w:spacing w:before="240" w:after="120"/>
        <w:jc w:val="center"/>
        <w:rPr>
          <w:i/>
          <w:iCs/>
          <w:color w:val="44546A"/>
          <w:position w:val="0"/>
          <w:sz w:val="18"/>
          <w:szCs w:val="18"/>
        </w:rPr>
      </w:pPr>
      <w:bookmarkStart w:id="1" w:name="_Toc172524770"/>
      <w:r>
        <w:t xml:space="preserve">Table </w:t>
      </w:r>
      <w:r w:rsidR="00F6387E">
        <w:fldChar w:fldCharType="begin"/>
      </w:r>
      <w:r w:rsidR="00F6387E">
        <w:instrText xml:space="preserve"> SEQ Table \* ARABIC </w:instrText>
      </w:r>
      <w:r w:rsidR="00F6387E">
        <w:fldChar w:fldCharType="separate"/>
      </w:r>
      <w:r w:rsidR="00B11437">
        <w:rPr>
          <w:noProof/>
        </w:rPr>
        <w:t>3</w:t>
      </w:r>
      <w:r w:rsidR="00F6387E">
        <w:rPr>
          <w:noProof/>
        </w:rPr>
        <w:fldChar w:fldCharType="end"/>
      </w:r>
      <w:r>
        <w:t xml:space="preserve">. </w:t>
      </w:r>
      <w:r w:rsidRPr="00AF6B93">
        <w:rPr>
          <w:b w:val="0"/>
          <w:bCs w:val="0"/>
          <w:position w:val="0"/>
        </w:rPr>
        <w:t>Genotype-phenotype correlation of Indonesian SW-CAH patients</w:t>
      </w:r>
      <w:bookmarkEnd w:id="1"/>
    </w:p>
    <w:tbl>
      <w:tblPr>
        <w:tblStyle w:val="Tabelraster2"/>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
        <w:gridCol w:w="2070"/>
        <w:gridCol w:w="1910"/>
        <w:gridCol w:w="1456"/>
        <w:gridCol w:w="2062"/>
      </w:tblGrid>
      <w:tr w:rsidR="007D2C4A" w:rsidRPr="004A70F5" w14:paraId="0EC901B0" w14:textId="77777777" w:rsidTr="004A70F5">
        <w:trPr>
          <w:jc w:val="center"/>
        </w:trPr>
        <w:tc>
          <w:tcPr>
            <w:tcW w:w="592" w:type="pct"/>
            <w:tcBorders>
              <w:top w:val="single" w:sz="4" w:space="0" w:color="auto"/>
              <w:bottom w:val="single" w:sz="4" w:space="0" w:color="auto"/>
            </w:tcBorders>
          </w:tcPr>
          <w:p w14:paraId="7B9D278D" w14:textId="77777777" w:rsidR="007D2C4A" w:rsidRPr="004A70F5" w:rsidRDefault="007D2C4A">
            <w:pPr>
              <w:suppressAutoHyphens w:val="0"/>
              <w:ind w:leftChars="0" w:left="0" w:firstLineChars="0" w:firstLine="0"/>
              <w:jc w:val="center"/>
              <w:textDirection w:val="lrTb"/>
              <w:textAlignment w:val="auto"/>
              <w:outlineLvl w:val="9"/>
              <w:rPr>
                <w:rFonts w:ascii="Times New Roman" w:hAnsi="Times New Roman"/>
                <w:b/>
                <w:bCs/>
                <w:position w:val="0"/>
                <w:sz w:val="24"/>
                <w:szCs w:val="24"/>
              </w:rPr>
            </w:pPr>
            <w:r w:rsidRPr="004A70F5">
              <w:rPr>
                <w:rFonts w:ascii="Times New Roman" w:hAnsi="Times New Roman"/>
                <w:b/>
                <w:bCs/>
                <w:position w:val="0"/>
                <w:sz w:val="24"/>
                <w:szCs w:val="24"/>
              </w:rPr>
              <w:t>Group</w:t>
            </w:r>
          </w:p>
        </w:tc>
        <w:tc>
          <w:tcPr>
            <w:tcW w:w="1217" w:type="pct"/>
            <w:tcBorders>
              <w:top w:val="single" w:sz="4" w:space="0" w:color="auto"/>
              <w:bottom w:val="single" w:sz="4" w:space="0" w:color="auto"/>
            </w:tcBorders>
          </w:tcPr>
          <w:p w14:paraId="570355B7" w14:textId="77777777" w:rsidR="007D2C4A" w:rsidRPr="004A70F5" w:rsidRDefault="007D2C4A">
            <w:pPr>
              <w:suppressAutoHyphens w:val="0"/>
              <w:ind w:leftChars="0" w:left="0" w:firstLineChars="0" w:firstLine="0"/>
              <w:jc w:val="center"/>
              <w:textDirection w:val="lrTb"/>
              <w:textAlignment w:val="auto"/>
              <w:outlineLvl w:val="9"/>
              <w:rPr>
                <w:rFonts w:ascii="Times New Roman" w:hAnsi="Times New Roman"/>
                <w:b/>
                <w:bCs/>
                <w:position w:val="0"/>
                <w:sz w:val="24"/>
                <w:szCs w:val="24"/>
              </w:rPr>
            </w:pPr>
            <w:r w:rsidRPr="004A70F5">
              <w:rPr>
                <w:rFonts w:ascii="Times New Roman" w:hAnsi="Times New Roman"/>
                <w:b/>
                <w:bCs/>
                <w:position w:val="0"/>
                <w:sz w:val="24"/>
                <w:szCs w:val="24"/>
              </w:rPr>
              <w:t>Variant</w:t>
            </w:r>
          </w:p>
        </w:tc>
        <w:tc>
          <w:tcPr>
            <w:tcW w:w="1123" w:type="pct"/>
            <w:tcBorders>
              <w:top w:val="single" w:sz="4" w:space="0" w:color="auto"/>
              <w:bottom w:val="single" w:sz="4" w:space="0" w:color="auto"/>
            </w:tcBorders>
          </w:tcPr>
          <w:p w14:paraId="35FC334F" w14:textId="77777777" w:rsidR="007D2C4A" w:rsidRPr="004A70F5" w:rsidRDefault="007D2C4A">
            <w:pPr>
              <w:suppressAutoHyphens w:val="0"/>
              <w:ind w:leftChars="0" w:left="0" w:firstLineChars="0" w:firstLine="0"/>
              <w:jc w:val="center"/>
              <w:textDirection w:val="lrTb"/>
              <w:textAlignment w:val="auto"/>
              <w:outlineLvl w:val="9"/>
              <w:rPr>
                <w:rFonts w:ascii="Times New Roman" w:hAnsi="Times New Roman"/>
                <w:b/>
                <w:bCs/>
                <w:position w:val="0"/>
                <w:sz w:val="24"/>
                <w:szCs w:val="24"/>
              </w:rPr>
            </w:pPr>
            <w:r w:rsidRPr="004A70F5">
              <w:rPr>
                <w:rFonts w:ascii="Times New Roman" w:hAnsi="Times New Roman"/>
                <w:b/>
                <w:bCs/>
                <w:position w:val="0"/>
                <w:sz w:val="24"/>
                <w:szCs w:val="24"/>
              </w:rPr>
              <w:t>No. of Patients</w:t>
            </w:r>
          </w:p>
          <w:p w14:paraId="274931C5" w14:textId="77777777" w:rsidR="007D2C4A" w:rsidRPr="004A70F5" w:rsidRDefault="007D2C4A">
            <w:pPr>
              <w:suppressAutoHyphens w:val="0"/>
              <w:ind w:leftChars="0" w:left="0" w:firstLineChars="0" w:firstLine="0"/>
              <w:jc w:val="center"/>
              <w:textDirection w:val="lrTb"/>
              <w:textAlignment w:val="auto"/>
              <w:outlineLvl w:val="9"/>
              <w:rPr>
                <w:rFonts w:ascii="Times New Roman" w:hAnsi="Times New Roman"/>
                <w:b/>
                <w:bCs/>
                <w:position w:val="0"/>
                <w:sz w:val="24"/>
                <w:szCs w:val="24"/>
              </w:rPr>
            </w:pPr>
            <w:r w:rsidRPr="004A70F5">
              <w:rPr>
                <w:rFonts w:ascii="Times New Roman" w:hAnsi="Times New Roman"/>
                <w:b/>
                <w:bCs/>
                <w:position w:val="0"/>
                <w:sz w:val="24"/>
                <w:szCs w:val="24"/>
              </w:rPr>
              <w:t>n (%)</w:t>
            </w:r>
          </w:p>
        </w:tc>
        <w:tc>
          <w:tcPr>
            <w:tcW w:w="856" w:type="pct"/>
            <w:tcBorders>
              <w:top w:val="single" w:sz="4" w:space="0" w:color="auto"/>
              <w:bottom w:val="single" w:sz="4" w:space="0" w:color="auto"/>
            </w:tcBorders>
          </w:tcPr>
          <w:p w14:paraId="3E0724C3" w14:textId="77777777" w:rsidR="007D2C4A" w:rsidRPr="004A70F5" w:rsidRDefault="007D2C4A">
            <w:pPr>
              <w:suppressAutoHyphens w:val="0"/>
              <w:ind w:leftChars="0" w:left="0" w:firstLineChars="0" w:firstLine="0"/>
              <w:jc w:val="center"/>
              <w:textDirection w:val="lrTb"/>
              <w:textAlignment w:val="auto"/>
              <w:outlineLvl w:val="9"/>
              <w:rPr>
                <w:rFonts w:ascii="Times New Roman" w:hAnsi="Times New Roman"/>
                <w:b/>
                <w:bCs/>
                <w:position w:val="0"/>
                <w:sz w:val="24"/>
                <w:szCs w:val="24"/>
              </w:rPr>
            </w:pPr>
            <w:r w:rsidRPr="004A70F5">
              <w:rPr>
                <w:rFonts w:ascii="Times New Roman" w:hAnsi="Times New Roman"/>
                <w:b/>
                <w:bCs/>
                <w:position w:val="0"/>
                <w:sz w:val="24"/>
                <w:szCs w:val="24"/>
              </w:rPr>
              <w:t>Expected Phenotype</w:t>
            </w:r>
          </w:p>
        </w:tc>
        <w:tc>
          <w:tcPr>
            <w:tcW w:w="1212" w:type="pct"/>
            <w:tcBorders>
              <w:top w:val="single" w:sz="4" w:space="0" w:color="auto"/>
              <w:bottom w:val="single" w:sz="4" w:space="0" w:color="auto"/>
            </w:tcBorders>
          </w:tcPr>
          <w:p w14:paraId="331A30A5" w14:textId="77777777" w:rsidR="007D2C4A" w:rsidRPr="004A70F5" w:rsidRDefault="007D2C4A">
            <w:pPr>
              <w:suppressAutoHyphens w:val="0"/>
              <w:ind w:leftChars="0" w:left="0" w:firstLineChars="0" w:firstLine="0"/>
              <w:jc w:val="center"/>
              <w:textDirection w:val="lrTb"/>
              <w:textAlignment w:val="auto"/>
              <w:outlineLvl w:val="9"/>
              <w:rPr>
                <w:rFonts w:ascii="Times New Roman" w:hAnsi="Times New Roman"/>
                <w:b/>
                <w:bCs/>
                <w:position w:val="0"/>
                <w:sz w:val="24"/>
                <w:szCs w:val="24"/>
              </w:rPr>
            </w:pPr>
            <w:r w:rsidRPr="004A70F5">
              <w:rPr>
                <w:rFonts w:ascii="Times New Roman" w:hAnsi="Times New Roman"/>
                <w:b/>
                <w:bCs/>
                <w:position w:val="0"/>
                <w:sz w:val="24"/>
                <w:szCs w:val="24"/>
              </w:rPr>
              <w:t>Expected Residual Enzymatic Activity</w:t>
            </w:r>
          </w:p>
        </w:tc>
      </w:tr>
      <w:tr w:rsidR="007D2C4A" w:rsidRPr="004A70F5" w14:paraId="5129E29A" w14:textId="77777777" w:rsidTr="004A70F5">
        <w:trPr>
          <w:jc w:val="center"/>
        </w:trPr>
        <w:tc>
          <w:tcPr>
            <w:tcW w:w="592" w:type="pct"/>
            <w:tcBorders>
              <w:top w:val="single" w:sz="4" w:space="0" w:color="auto"/>
            </w:tcBorders>
          </w:tcPr>
          <w:p w14:paraId="505264F3" w14:textId="77777777" w:rsidR="007D2C4A" w:rsidRPr="004A70F5" w:rsidRDefault="007D2C4A">
            <w:pPr>
              <w:suppressAutoHyphens w:val="0"/>
              <w:ind w:leftChars="0" w:left="0" w:firstLineChars="0" w:firstLine="0"/>
              <w:jc w:val="both"/>
              <w:textDirection w:val="lrTb"/>
              <w:textAlignment w:val="auto"/>
              <w:outlineLvl w:val="9"/>
              <w:rPr>
                <w:rFonts w:ascii="Times New Roman" w:hAnsi="Times New Roman"/>
                <w:position w:val="0"/>
                <w:sz w:val="24"/>
                <w:szCs w:val="24"/>
              </w:rPr>
            </w:pPr>
            <w:r w:rsidRPr="004A70F5">
              <w:rPr>
                <w:rFonts w:ascii="Times New Roman" w:hAnsi="Times New Roman"/>
                <w:position w:val="0"/>
                <w:sz w:val="24"/>
                <w:szCs w:val="24"/>
              </w:rPr>
              <w:t>Null</w:t>
            </w:r>
          </w:p>
        </w:tc>
        <w:tc>
          <w:tcPr>
            <w:tcW w:w="1217" w:type="pct"/>
            <w:tcBorders>
              <w:top w:val="single" w:sz="4" w:space="0" w:color="auto"/>
            </w:tcBorders>
          </w:tcPr>
          <w:p w14:paraId="03F797F8" w14:textId="77777777" w:rsidR="007D2C4A" w:rsidRPr="004A70F5" w:rsidRDefault="007D2C4A">
            <w:pPr>
              <w:suppressAutoHyphens w:val="0"/>
              <w:ind w:leftChars="0" w:left="0" w:firstLineChars="0" w:firstLine="0"/>
              <w:jc w:val="both"/>
              <w:textDirection w:val="lrTb"/>
              <w:textAlignment w:val="auto"/>
              <w:outlineLvl w:val="9"/>
              <w:rPr>
                <w:rFonts w:ascii="Times New Roman" w:hAnsi="Times New Roman"/>
                <w:position w:val="0"/>
                <w:sz w:val="24"/>
                <w:szCs w:val="24"/>
              </w:rPr>
            </w:pPr>
            <w:proofErr w:type="gramStart"/>
            <w:r w:rsidRPr="004A70F5">
              <w:rPr>
                <w:rFonts w:ascii="Times New Roman" w:hAnsi="Times New Roman"/>
                <w:position w:val="0"/>
                <w:sz w:val="24"/>
                <w:szCs w:val="24"/>
              </w:rPr>
              <w:t>p.Gln</w:t>
            </w:r>
            <w:proofErr w:type="gramEnd"/>
            <w:r w:rsidRPr="004A70F5">
              <w:rPr>
                <w:rFonts w:ascii="Times New Roman" w:hAnsi="Times New Roman"/>
                <w:position w:val="0"/>
                <w:sz w:val="24"/>
                <w:szCs w:val="24"/>
              </w:rPr>
              <w:t>318Ter</w:t>
            </w:r>
          </w:p>
        </w:tc>
        <w:tc>
          <w:tcPr>
            <w:tcW w:w="1123" w:type="pct"/>
            <w:tcBorders>
              <w:top w:val="single" w:sz="4" w:space="0" w:color="auto"/>
            </w:tcBorders>
          </w:tcPr>
          <w:p w14:paraId="4C8DC8D4" w14:textId="77777777" w:rsidR="007D2C4A" w:rsidRPr="004A70F5" w:rsidRDefault="007D2C4A">
            <w:pPr>
              <w:suppressAutoHyphens w:val="0"/>
              <w:ind w:leftChars="0" w:left="0" w:firstLineChars="0" w:firstLine="0"/>
              <w:jc w:val="center"/>
              <w:textDirection w:val="lrTb"/>
              <w:textAlignment w:val="auto"/>
              <w:outlineLvl w:val="9"/>
              <w:rPr>
                <w:rFonts w:ascii="Times New Roman" w:hAnsi="Times New Roman"/>
                <w:position w:val="0"/>
                <w:sz w:val="24"/>
                <w:szCs w:val="24"/>
              </w:rPr>
            </w:pPr>
            <w:r w:rsidRPr="004A70F5">
              <w:rPr>
                <w:rFonts w:ascii="Times New Roman" w:hAnsi="Times New Roman"/>
                <w:position w:val="0"/>
                <w:sz w:val="24"/>
                <w:szCs w:val="24"/>
              </w:rPr>
              <w:t>3 (6.1)</w:t>
            </w:r>
          </w:p>
        </w:tc>
        <w:tc>
          <w:tcPr>
            <w:tcW w:w="856" w:type="pct"/>
            <w:tcBorders>
              <w:top w:val="single" w:sz="4" w:space="0" w:color="auto"/>
            </w:tcBorders>
          </w:tcPr>
          <w:p w14:paraId="765E4EA5" w14:textId="77777777" w:rsidR="007D2C4A" w:rsidRPr="004A70F5" w:rsidRDefault="007D2C4A">
            <w:pPr>
              <w:suppressAutoHyphens w:val="0"/>
              <w:ind w:leftChars="0" w:left="0" w:firstLineChars="0" w:firstLine="0"/>
              <w:jc w:val="both"/>
              <w:textDirection w:val="lrTb"/>
              <w:textAlignment w:val="auto"/>
              <w:outlineLvl w:val="9"/>
              <w:rPr>
                <w:rFonts w:ascii="Times New Roman" w:hAnsi="Times New Roman"/>
                <w:position w:val="0"/>
                <w:sz w:val="24"/>
                <w:szCs w:val="24"/>
              </w:rPr>
            </w:pPr>
            <w:r w:rsidRPr="004A70F5">
              <w:rPr>
                <w:rFonts w:ascii="Times New Roman" w:hAnsi="Times New Roman"/>
                <w:position w:val="0"/>
                <w:sz w:val="24"/>
                <w:szCs w:val="24"/>
              </w:rPr>
              <w:t>SW</w:t>
            </w:r>
          </w:p>
        </w:tc>
        <w:tc>
          <w:tcPr>
            <w:tcW w:w="1212" w:type="pct"/>
            <w:tcBorders>
              <w:top w:val="single" w:sz="4" w:space="0" w:color="auto"/>
            </w:tcBorders>
          </w:tcPr>
          <w:p w14:paraId="1AFC03C8" w14:textId="77777777" w:rsidR="007D2C4A" w:rsidRPr="004A70F5" w:rsidRDefault="007D2C4A">
            <w:pPr>
              <w:suppressAutoHyphens w:val="0"/>
              <w:ind w:leftChars="0" w:left="0" w:firstLineChars="0" w:firstLine="0"/>
              <w:jc w:val="both"/>
              <w:textDirection w:val="lrTb"/>
              <w:textAlignment w:val="auto"/>
              <w:outlineLvl w:val="9"/>
              <w:rPr>
                <w:rFonts w:ascii="Times New Roman" w:hAnsi="Times New Roman"/>
                <w:position w:val="0"/>
                <w:sz w:val="24"/>
                <w:szCs w:val="24"/>
              </w:rPr>
            </w:pPr>
            <w:r w:rsidRPr="004A70F5">
              <w:rPr>
                <w:rFonts w:ascii="Times New Roman" w:hAnsi="Times New Roman"/>
                <w:position w:val="0"/>
                <w:sz w:val="24"/>
                <w:szCs w:val="24"/>
              </w:rPr>
              <w:t>0%</w:t>
            </w:r>
          </w:p>
        </w:tc>
      </w:tr>
      <w:tr w:rsidR="007D2C4A" w:rsidRPr="004A70F5" w14:paraId="6E27F76F" w14:textId="77777777" w:rsidTr="004A70F5">
        <w:trPr>
          <w:jc w:val="center"/>
        </w:trPr>
        <w:tc>
          <w:tcPr>
            <w:tcW w:w="592" w:type="pct"/>
          </w:tcPr>
          <w:p w14:paraId="4EE70AB5" w14:textId="77777777" w:rsidR="007D2C4A" w:rsidRPr="004A70F5" w:rsidRDefault="007D2C4A">
            <w:pPr>
              <w:suppressAutoHyphens w:val="0"/>
              <w:ind w:leftChars="0" w:left="0" w:firstLineChars="0" w:firstLine="0"/>
              <w:jc w:val="both"/>
              <w:textDirection w:val="lrTb"/>
              <w:textAlignment w:val="auto"/>
              <w:outlineLvl w:val="9"/>
              <w:rPr>
                <w:rFonts w:ascii="Times New Roman" w:hAnsi="Times New Roman"/>
                <w:position w:val="0"/>
                <w:sz w:val="24"/>
                <w:szCs w:val="24"/>
              </w:rPr>
            </w:pPr>
            <w:r w:rsidRPr="004A70F5">
              <w:rPr>
                <w:rFonts w:ascii="Times New Roman" w:hAnsi="Times New Roman"/>
                <w:position w:val="0"/>
                <w:sz w:val="24"/>
                <w:szCs w:val="24"/>
              </w:rPr>
              <w:t>A</w:t>
            </w:r>
          </w:p>
        </w:tc>
        <w:tc>
          <w:tcPr>
            <w:tcW w:w="1217" w:type="pct"/>
          </w:tcPr>
          <w:p w14:paraId="109296A7" w14:textId="77777777" w:rsidR="007D2C4A" w:rsidRPr="004A70F5" w:rsidRDefault="007D2C4A">
            <w:pPr>
              <w:suppressAutoHyphens w:val="0"/>
              <w:ind w:leftChars="0" w:left="0" w:firstLineChars="0" w:firstLine="0"/>
              <w:jc w:val="both"/>
              <w:textDirection w:val="lrTb"/>
              <w:textAlignment w:val="auto"/>
              <w:outlineLvl w:val="9"/>
              <w:rPr>
                <w:rFonts w:ascii="Times New Roman" w:hAnsi="Times New Roman"/>
                <w:position w:val="0"/>
                <w:sz w:val="24"/>
                <w:szCs w:val="24"/>
              </w:rPr>
            </w:pPr>
            <w:bookmarkStart w:id="2" w:name="_Hlk172483738"/>
            <w:r w:rsidRPr="004A70F5">
              <w:rPr>
                <w:rFonts w:ascii="Times New Roman" w:hAnsi="Times New Roman"/>
                <w:position w:val="0"/>
                <w:sz w:val="24"/>
                <w:szCs w:val="24"/>
              </w:rPr>
              <w:t>IVS2-13A/C&gt;G</w:t>
            </w:r>
            <w:bookmarkEnd w:id="2"/>
          </w:p>
        </w:tc>
        <w:tc>
          <w:tcPr>
            <w:tcW w:w="1123" w:type="pct"/>
          </w:tcPr>
          <w:p w14:paraId="62AA306D" w14:textId="77777777" w:rsidR="007D2C4A" w:rsidRPr="004A70F5" w:rsidRDefault="007D2C4A">
            <w:pPr>
              <w:suppressAutoHyphens w:val="0"/>
              <w:ind w:leftChars="0" w:left="0" w:firstLineChars="0" w:firstLine="0"/>
              <w:jc w:val="center"/>
              <w:textDirection w:val="lrTb"/>
              <w:textAlignment w:val="auto"/>
              <w:outlineLvl w:val="9"/>
              <w:rPr>
                <w:rFonts w:ascii="Times New Roman" w:hAnsi="Times New Roman"/>
                <w:position w:val="0"/>
                <w:sz w:val="24"/>
                <w:szCs w:val="24"/>
              </w:rPr>
            </w:pPr>
            <w:r w:rsidRPr="004A70F5">
              <w:rPr>
                <w:rFonts w:ascii="Times New Roman" w:hAnsi="Times New Roman"/>
                <w:position w:val="0"/>
                <w:sz w:val="24"/>
                <w:szCs w:val="24"/>
              </w:rPr>
              <w:t>26 (96.3)</w:t>
            </w:r>
          </w:p>
        </w:tc>
        <w:tc>
          <w:tcPr>
            <w:tcW w:w="856" w:type="pct"/>
          </w:tcPr>
          <w:p w14:paraId="3610A26F" w14:textId="77777777" w:rsidR="007D2C4A" w:rsidRPr="004A70F5" w:rsidRDefault="007D2C4A">
            <w:pPr>
              <w:suppressAutoHyphens w:val="0"/>
              <w:ind w:leftChars="0" w:left="0" w:firstLineChars="0" w:firstLine="0"/>
              <w:jc w:val="both"/>
              <w:textDirection w:val="lrTb"/>
              <w:textAlignment w:val="auto"/>
              <w:outlineLvl w:val="9"/>
              <w:rPr>
                <w:rFonts w:ascii="Times New Roman" w:hAnsi="Times New Roman"/>
                <w:position w:val="0"/>
                <w:sz w:val="24"/>
                <w:szCs w:val="24"/>
              </w:rPr>
            </w:pPr>
            <w:r w:rsidRPr="004A70F5">
              <w:rPr>
                <w:rFonts w:ascii="Times New Roman" w:hAnsi="Times New Roman"/>
                <w:position w:val="0"/>
                <w:sz w:val="24"/>
                <w:szCs w:val="24"/>
              </w:rPr>
              <w:t>SW or SV</w:t>
            </w:r>
          </w:p>
        </w:tc>
        <w:tc>
          <w:tcPr>
            <w:tcW w:w="1212" w:type="pct"/>
          </w:tcPr>
          <w:p w14:paraId="37345830" w14:textId="77777777" w:rsidR="007D2C4A" w:rsidRPr="004A70F5" w:rsidRDefault="007D2C4A">
            <w:pPr>
              <w:suppressAutoHyphens w:val="0"/>
              <w:ind w:leftChars="0" w:left="0" w:firstLineChars="0" w:firstLine="0"/>
              <w:jc w:val="both"/>
              <w:textDirection w:val="lrTb"/>
              <w:textAlignment w:val="auto"/>
              <w:outlineLvl w:val="9"/>
              <w:rPr>
                <w:rFonts w:ascii="Times New Roman" w:hAnsi="Times New Roman"/>
                <w:position w:val="0"/>
                <w:sz w:val="24"/>
                <w:szCs w:val="24"/>
              </w:rPr>
            </w:pPr>
            <w:r w:rsidRPr="004A70F5">
              <w:rPr>
                <w:rFonts w:ascii="Times New Roman" w:hAnsi="Times New Roman"/>
                <w:position w:val="0"/>
                <w:sz w:val="24"/>
                <w:szCs w:val="24"/>
              </w:rPr>
              <w:t>0-1%</w:t>
            </w:r>
          </w:p>
        </w:tc>
      </w:tr>
      <w:tr w:rsidR="007D2C4A" w:rsidRPr="004A70F5" w14:paraId="417971C6" w14:textId="77777777" w:rsidTr="004A70F5">
        <w:trPr>
          <w:jc w:val="center"/>
        </w:trPr>
        <w:tc>
          <w:tcPr>
            <w:tcW w:w="592" w:type="pct"/>
          </w:tcPr>
          <w:p w14:paraId="0E4C60E7" w14:textId="77777777" w:rsidR="007D2C4A" w:rsidRPr="004A70F5" w:rsidRDefault="007D2C4A">
            <w:pPr>
              <w:suppressAutoHyphens w:val="0"/>
              <w:ind w:leftChars="0" w:left="0" w:firstLineChars="0" w:firstLine="0"/>
              <w:jc w:val="both"/>
              <w:textDirection w:val="lrTb"/>
              <w:textAlignment w:val="auto"/>
              <w:outlineLvl w:val="9"/>
              <w:rPr>
                <w:rFonts w:ascii="Times New Roman" w:hAnsi="Times New Roman"/>
                <w:position w:val="0"/>
                <w:sz w:val="24"/>
                <w:szCs w:val="24"/>
              </w:rPr>
            </w:pPr>
            <w:r w:rsidRPr="004A70F5">
              <w:rPr>
                <w:rFonts w:ascii="Times New Roman" w:hAnsi="Times New Roman"/>
                <w:position w:val="0"/>
                <w:sz w:val="24"/>
                <w:szCs w:val="24"/>
              </w:rPr>
              <w:t>B</w:t>
            </w:r>
          </w:p>
        </w:tc>
        <w:tc>
          <w:tcPr>
            <w:tcW w:w="1217" w:type="pct"/>
          </w:tcPr>
          <w:p w14:paraId="232E2FE6" w14:textId="77777777" w:rsidR="007D2C4A" w:rsidRPr="004A70F5" w:rsidRDefault="007D2C4A">
            <w:pPr>
              <w:suppressAutoHyphens w:val="0"/>
              <w:ind w:leftChars="0" w:left="0" w:firstLineChars="0" w:firstLine="0"/>
              <w:jc w:val="both"/>
              <w:textDirection w:val="lrTb"/>
              <w:textAlignment w:val="auto"/>
              <w:outlineLvl w:val="9"/>
              <w:rPr>
                <w:rFonts w:ascii="Times New Roman" w:hAnsi="Times New Roman"/>
                <w:position w:val="0"/>
                <w:sz w:val="24"/>
                <w:szCs w:val="24"/>
              </w:rPr>
            </w:pPr>
            <w:r w:rsidRPr="004A70F5">
              <w:rPr>
                <w:rFonts w:ascii="Times New Roman" w:hAnsi="Times New Roman"/>
                <w:position w:val="0"/>
                <w:sz w:val="24"/>
                <w:szCs w:val="24"/>
              </w:rPr>
              <w:t>N/A</w:t>
            </w:r>
          </w:p>
        </w:tc>
        <w:tc>
          <w:tcPr>
            <w:tcW w:w="1123" w:type="pct"/>
          </w:tcPr>
          <w:p w14:paraId="3DF043F3" w14:textId="77777777" w:rsidR="007D2C4A" w:rsidRPr="004A70F5" w:rsidRDefault="007D2C4A">
            <w:pPr>
              <w:suppressAutoHyphens w:val="0"/>
              <w:ind w:leftChars="0" w:left="0" w:firstLineChars="0" w:firstLine="0"/>
              <w:jc w:val="center"/>
              <w:textDirection w:val="lrTb"/>
              <w:textAlignment w:val="auto"/>
              <w:outlineLvl w:val="9"/>
              <w:rPr>
                <w:rFonts w:ascii="Times New Roman" w:hAnsi="Times New Roman"/>
                <w:position w:val="0"/>
                <w:sz w:val="24"/>
                <w:szCs w:val="24"/>
              </w:rPr>
            </w:pPr>
            <w:r w:rsidRPr="004A70F5">
              <w:rPr>
                <w:rFonts w:ascii="Times New Roman" w:hAnsi="Times New Roman"/>
                <w:position w:val="0"/>
                <w:sz w:val="24"/>
                <w:szCs w:val="24"/>
              </w:rPr>
              <w:t>0</w:t>
            </w:r>
          </w:p>
        </w:tc>
        <w:tc>
          <w:tcPr>
            <w:tcW w:w="856" w:type="pct"/>
          </w:tcPr>
          <w:p w14:paraId="456BA05D" w14:textId="77777777" w:rsidR="007D2C4A" w:rsidRPr="004A70F5" w:rsidRDefault="007D2C4A">
            <w:pPr>
              <w:suppressAutoHyphens w:val="0"/>
              <w:ind w:leftChars="0" w:left="0" w:firstLineChars="0" w:firstLine="0"/>
              <w:jc w:val="both"/>
              <w:textDirection w:val="lrTb"/>
              <w:textAlignment w:val="auto"/>
              <w:outlineLvl w:val="9"/>
              <w:rPr>
                <w:rFonts w:ascii="Times New Roman" w:hAnsi="Times New Roman"/>
                <w:position w:val="0"/>
                <w:sz w:val="24"/>
                <w:szCs w:val="24"/>
              </w:rPr>
            </w:pPr>
            <w:r w:rsidRPr="004A70F5">
              <w:rPr>
                <w:rFonts w:ascii="Times New Roman" w:hAnsi="Times New Roman"/>
                <w:position w:val="0"/>
                <w:sz w:val="24"/>
                <w:szCs w:val="24"/>
              </w:rPr>
              <w:t>N/A</w:t>
            </w:r>
          </w:p>
        </w:tc>
        <w:tc>
          <w:tcPr>
            <w:tcW w:w="1212" w:type="pct"/>
          </w:tcPr>
          <w:p w14:paraId="4CF3D684" w14:textId="77777777" w:rsidR="007D2C4A" w:rsidRPr="004A70F5" w:rsidRDefault="007D2C4A">
            <w:pPr>
              <w:suppressAutoHyphens w:val="0"/>
              <w:ind w:leftChars="0" w:left="0" w:firstLineChars="0" w:firstLine="0"/>
              <w:jc w:val="both"/>
              <w:textDirection w:val="lrTb"/>
              <w:textAlignment w:val="auto"/>
              <w:outlineLvl w:val="9"/>
              <w:rPr>
                <w:rFonts w:ascii="Times New Roman" w:hAnsi="Times New Roman"/>
                <w:position w:val="0"/>
                <w:sz w:val="24"/>
                <w:szCs w:val="24"/>
              </w:rPr>
            </w:pPr>
            <w:r w:rsidRPr="004A70F5">
              <w:rPr>
                <w:rFonts w:ascii="Times New Roman" w:hAnsi="Times New Roman"/>
                <w:position w:val="0"/>
                <w:sz w:val="24"/>
                <w:szCs w:val="24"/>
              </w:rPr>
              <w:t>N/A</w:t>
            </w:r>
          </w:p>
        </w:tc>
      </w:tr>
      <w:tr w:rsidR="007D2C4A" w:rsidRPr="004A70F5" w14:paraId="1DB9D6B9" w14:textId="77777777" w:rsidTr="004A70F5">
        <w:trPr>
          <w:jc w:val="center"/>
        </w:trPr>
        <w:tc>
          <w:tcPr>
            <w:tcW w:w="592" w:type="pct"/>
          </w:tcPr>
          <w:p w14:paraId="6B0EA161" w14:textId="77777777" w:rsidR="007D2C4A" w:rsidRPr="004A70F5" w:rsidRDefault="007D2C4A">
            <w:pPr>
              <w:suppressAutoHyphens w:val="0"/>
              <w:ind w:leftChars="0" w:left="0" w:firstLineChars="0" w:firstLine="0"/>
              <w:jc w:val="both"/>
              <w:textDirection w:val="lrTb"/>
              <w:textAlignment w:val="auto"/>
              <w:outlineLvl w:val="9"/>
              <w:rPr>
                <w:rFonts w:ascii="Times New Roman" w:hAnsi="Times New Roman"/>
                <w:position w:val="0"/>
                <w:sz w:val="24"/>
                <w:szCs w:val="24"/>
              </w:rPr>
            </w:pPr>
            <w:r w:rsidRPr="004A70F5">
              <w:rPr>
                <w:rFonts w:ascii="Times New Roman" w:hAnsi="Times New Roman"/>
                <w:position w:val="0"/>
                <w:sz w:val="24"/>
                <w:szCs w:val="24"/>
              </w:rPr>
              <w:t>C</w:t>
            </w:r>
          </w:p>
        </w:tc>
        <w:tc>
          <w:tcPr>
            <w:tcW w:w="1217" w:type="pct"/>
          </w:tcPr>
          <w:p w14:paraId="2B51E805" w14:textId="77777777" w:rsidR="007D2C4A" w:rsidRPr="004A70F5" w:rsidRDefault="007D2C4A">
            <w:pPr>
              <w:suppressAutoHyphens w:val="0"/>
              <w:ind w:leftChars="0" w:left="0" w:firstLineChars="0" w:firstLine="0"/>
              <w:jc w:val="both"/>
              <w:textDirection w:val="lrTb"/>
              <w:textAlignment w:val="auto"/>
              <w:outlineLvl w:val="9"/>
              <w:rPr>
                <w:rFonts w:ascii="Times New Roman" w:hAnsi="Times New Roman"/>
                <w:position w:val="0"/>
                <w:sz w:val="24"/>
                <w:szCs w:val="24"/>
              </w:rPr>
            </w:pPr>
            <w:r w:rsidRPr="004A70F5">
              <w:rPr>
                <w:rFonts w:ascii="Times New Roman" w:hAnsi="Times New Roman"/>
                <w:position w:val="0"/>
                <w:sz w:val="24"/>
                <w:szCs w:val="24"/>
              </w:rPr>
              <w:t>N/A</w:t>
            </w:r>
          </w:p>
        </w:tc>
        <w:tc>
          <w:tcPr>
            <w:tcW w:w="1123" w:type="pct"/>
          </w:tcPr>
          <w:p w14:paraId="003EE34F" w14:textId="77777777" w:rsidR="007D2C4A" w:rsidRPr="004A70F5" w:rsidRDefault="007D2C4A">
            <w:pPr>
              <w:suppressAutoHyphens w:val="0"/>
              <w:ind w:leftChars="0" w:left="0" w:firstLineChars="0" w:firstLine="0"/>
              <w:jc w:val="center"/>
              <w:textDirection w:val="lrTb"/>
              <w:textAlignment w:val="auto"/>
              <w:outlineLvl w:val="9"/>
              <w:rPr>
                <w:rFonts w:ascii="Times New Roman" w:hAnsi="Times New Roman"/>
                <w:position w:val="0"/>
                <w:sz w:val="24"/>
                <w:szCs w:val="24"/>
              </w:rPr>
            </w:pPr>
            <w:r w:rsidRPr="004A70F5">
              <w:rPr>
                <w:rFonts w:ascii="Times New Roman" w:hAnsi="Times New Roman"/>
                <w:position w:val="0"/>
                <w:sz w:val="24"/>
                <w:szCs w:val="24"/>
              </w:rPr>
              <w:t>0</w:t>
            </w:r>
          </w:p>
        </w:tc>
        <w:tc>
          <w:tcPr>
            <w:tcW w:w="856" w:type="pct"/>
          </w:tcPr>
          <w:p w14:paraId="07A2F8DD" w14:textId="77777777" w:rsidR="007D2C4A" w:rsidRPr="004A70F5" w:rsidRDefault="007D2C4A">
            <w:pPr>
              <w:suppressAutoHyphens w:val="0"/>
              <w:ind w:leftChars="0" w:left="0" w:firstLineChars="0" w:firstLine="0"/>
              <w:jc w:val="both"/>
              <w:textDirection w:val="lrTb"/>
              <w:textAlignment w:val="auto"/>
              <w:outlineLvl w:val="9"/>
              <w:rPr>
                <w:rFonts w:ascii="Times New Roman" w:hAnsi="Times New Roman"/>
                <w:position w:val="0"/>
                <w:sz w:val="24"/>
                <w:szCs w:val="24"/>
              </w:rPr>
            </w:pPr>
            <w:r w:rsidRPr="004A70F5">
              <w:rPr>
                <w:rFonts w:ascii="Times New Roman" w:hAnsi="Times New Roman"/>
                <w:position w:val="0"/>
                <w:sz w:val="24"/>
                <w:szCs w:val="24"/>
              </w:rPr>
              <w:t>N/A</w:t>
            </w:r>
          </w:p>
        </w:tc>
        <w:tc>
          <w:tcPr>
            <w:tcW w:w="1212" w:type="pct"/>
          </w:tcPr>
          <w:p w14:paraId="1231DB61" w14:textId="77777777" w:rsidR="007D2C4A" w:rsidRPr="004A70F5" w:rsidRDefault="007D2C4A">
            <w:pPr>
              <w:suppressAutoHyphens w:val="0"/>
              <w:ind w:leftChars="0" w:left="0" w:firstLineChars="0" w:firstLine="0"/>
              <w:jc w:val="both"/>
              <w:textDirection w:val="lrTb"/>
              <w:textAlignment w:val="auto"/>
              <w:outlineLvl w:val="9"/>
              <w:rPr>
                <w:rFonts w:ascii="Times New Roman" w:hAnsi="Times New Roman"/>
                <w:position w:val="0"/>
                <w:sz w:val="24"/>
                <w:szCs w:val="24"/>
              </w:rPr>
            </w:pPr>
            <w:r w:rsidRPr="004A70F5">
              <w:rPr>
                <w:rFonts w:ascii="Times New Roman" w:hAnsi="Times New Roman"/>
                <w:position w:val="0"/>
                <w:sz w:val="24"/>
                <w:szCs w:val="24"/>
              </w:rPr>
              <w:t>N/A</w:t>
            </w:r>
          </w:p>
        </w:tc>
      </w:tr>
    </w:tbl>
    <w:p w14:paraId="7D6F2E2A" w14:textId="682B8BD8" w:rsidR="007D2C4A" w:rsidRPr="00AF6B93" w:rsidRDefault="00012C19" w:rsidP="007D2C4A">
      <w:pPr>
        <w:suppressAutoHyphens w:val="0"/>
        <w:spacing w:after="160" w:line="360" w:lineRule="auto"/>
        <w:ind w:leftChars="0" w:left="0" w:firstLineChars="0" w:firstLine="0"/>
        <w:jc w:val="both"/>
        <w:textDirection w:val="lrTb"/>
        <w:textAlignment w:val="auto"/>
        <w:outlineLvl w:val="9"/>
        <w:rPr>
          <w:rFonts w:ascii="Times New Roman" w:hAnsi="Times New Roman" w:cs="Times New Roman"/>
          <w:position w:val="0"/>
          <w:sz w:val="20"/>
          <w:szCs w:val="20"/>
        </w:rPr>
      </w:pPr>
      <w:r>
        <w:rPr>
          <w:rFonts w:ascii="Times New Roman" w:hAnsi="Times New Roman" w:cs="Times New Roman"/>
          <w:position w:val="0"/>
          <w:sz w:val="20"/>
          <w:szCs w:val="20"/>
        </w:rPr>
        <w:t xml:space="preserve">SW: salt wasting; SV: simple virilizing; </w:t>
      </w:r>
      <w:r w:rsidR="007D2C4A" w:rsidRPr="00AF6B93">
        <w:rPr>
          <w:rFonts w:ascii="Times New Roman" w:hAnsi="Times New Roman" w:cs="Times New Roman"/>
          <w:position w:val="0"/>
          <w:sz w:val="20"/>
          <w:szCs w:val="20"/>
        </w:rPr>
        <w:t>N/A: Not applicable</w:t>
      </w:r>
    </w:p>
    <w:sectPr w:rsidR="007D2C4A" w:rsidRPr="00AF6B93" w:rsidSect="00425D82">
      <w:pgSz w:w="11907" w:h="16839"/>
      <w:pgMar w:top="1843" w:right="1701" w:bottom="1560" w:left="1701" w:header="568" w:footer="847" w:gutter="0"/>
      <w:lnNumType w:countBy="1" w:restart="continuous"/>
      <w:pgNumType w:start="1"/>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CA89CF9" w16cex:dateUtc="2025-11-05T09:23:00Z"/>
  <w16cex:commentExtensible w16cex:durableId="5682E556" w16cex:dateUtc="2025-11-05T11:03:00Z"/>
  <w16cex:commentExtensible w16cex:durableId="4E0BC594" w16cex:dateUtc="2025-11-05T09:27:00Z"/>
  <w16cex:commentExtensible w16cex:durableId="10FAE7FD" w16cex:dateUtc="2025-11-05T10:3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D94A0" w14:textId="77777777" w:rsidR="00F6387E" w:rsidRDefault="00F6387E">
      <w:pPr>
        <w:spacing w:after="0" w:line="240" w:lineRule="auto"/>
        <w:ind w:left="0" w:hanging="2"/>
      </w:pPr>
      <w:r>
        <w:separator/>
      </w:r>
    </w:p>
  </w:endnote>
  <w:endnote w:type="continuationSeparator" w:id="0">
    <w:p w14:paraId="49768631" w14:textId="77777777" w:rsidR="00F6387E" w:rsidRDefault="00F6387E">
      <w:pPr>
        <w:spacing w:after="0" w:line="240" w:lineRule="auto"/>
        <w:ind w:left="0" w:hanging="2"/>
      </w:pPr>
      <w:r>
        <w:continuationSeparator/>
      </w:r>
    </w:p>
  </w:endnote>
  <w:endnote w:type="continuationNotice" w:id="1">
    <w:p w14:paraId="175A23CD" w14:textId="77777777" w:rsidR="00F6387E" w:rsidRDefault="00F6387E">
      <w:pPr>
        <w:spacing w:after="0" w:line="240" w:lineRule="auto"/>
        <w:ind w:left="0" w:hanging="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embedRegular r:id="rId1" w:fontKey="{DC29FA3E-413D-4AFE-8244-C20858DBFC59}"/>
    <w:embedBold r:id="rId2" w:fontKey="{B7A2E1BE-5AF3-44ED-B780-5A3277812BC8}"/>
    <w:embedItalic r:id="rId3" w:fontKey="{D1B895C0-4754-4BC2-9EF1-38338A0E29D6}"/>
    <w:embedBoldItalic r:id="rId4" w:fontKey="{B7556711-A2E4-4299-9D52-0B977C1DBCF1}"/>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29AFED41-FF30-4678-95D2-7500918876EC}"/>
    <w:embedBold r:id="rId6" w:fontKey="{F2F0CA3F-CDB6-4762-B4FF-1A898A842D89}"/>
  </w:font>
  <w:font w:name="Angsana New">
    <w:panose1 w:val="02020603050405020304"/>
    <w:charset w:val="DE"/>
    <w:family w:val="roman"/>
    <w:pitch w:val="variable"/>
    <w:sig w:usb0="81000003" w:usb1="00000000" w:usb2="00000000" w:usb3="00000000" w:csb0="00010001" w:csb1="00000000"/>
    <w:embedRegular r:id="rId7" w:fontKey="{3EF686BF-E2C0-4F25-B884-C63C99066D5E}"/>
    <w:embedBold r:id="rId8" w:fontKey="{B0FA9A2A-4C0D-421D-BD73-66917C8CC706}"/>
  </w:font>
  <w:font w:name="Tahoma">
    <w:panose1 w:val="020B0604030504040204"/>
    <w:charset w:val="00"/>
    <w:family w:val="swiss"/>
    <w:pitch w:val="variable"/>
    <w:sig w:usb0="E1002EFF" w:usb1="C000605B" w:usb2="00000029" w:usb3="00000000" w:csb0="000101FF" w:csb1="00000000"/>
    <w:embedRegular r:id="rId9" w:fontKey="{00D7D4B6-F67C-4ECD-BD52-DEE23CC06F92}"/>
  </w:font>
  <w:font w:name="Arial Narrow">
    <w:panose1 w:val="020B0606020202030204"/>
    <w:charset w:val="00"/>
    <w:family w:val="swiss"/>
    <w:pitch w:val="variable"/>
    <w:sig w:usb0="00000287" w:usb1="00000800" w:usb2="00000000" w:usb3="00000000" w:csb0="0000009F" w:csb1="00000000"/>
    <w:embedRegular r:id="rId10" w:fontKey="{17794824-F8C3-4E99-8C37-6D5A2FDA4749}"/>
  </w:font>
  <w:font w:name="Times">
    <w:panose1 w:val="02020603050405020304"/>
    <w:charset w:val="00"/>
    <w:family w:val="roman"/>
    <w:pitch w:val="variable"/>
    <w:sig w:usb0="E0002EFF" w:usb1="C000785B" w:usb2="00000009" w:usb3="00000000" w:csb0="000001FF" w:csb1="00000000"/>
    <w:embedRegular r:id="rId11" w:fontKey="{37A34CD5-E7EA-401B-ADFD-329E54F0FA90}"/>
  </w:font>
  <w:font w:name="BatangChe">
    <w:charset w:val="81"/>
    <w:family w:val="modern"/>
    <w:pitch w:val="fixed"/>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embedRegular r:id="rId12" w:fontKey="{86FF6F4D-B71C-45F5-9E19-F128FAEA8EBA}"/>
    <w:embedItalic r:id="rId13" w:fontKey="{93C8337B-6FEE-401C-8290-DF93F46CF47A}"/>
  </w:font>
  <w:font w:name="Cambria Math">
    <w:panose1 w:val="02040503050406030204"/>
    <w:charset w:val="00"/>
    <w:family w:val="roman"/>
    <w:pitch w:val="variable"/>
    <w:sig w:usb0="E00006FF" w:usb1="420024FF" w:usb2="02000000" w:usb3="00000000" w:csb0="0000019F" w:csb1="00000000"/>
    <w:embedRegular r:id="rId14" w:fontKey="{6FED977C-84C6-4F3C-A469-3E19A7806FA7}"/>
  </w:font>
  <w:font w:name="Quattrocento Sans">
    <w:charset w:val="00"/>
    <w:family w:val="swiss"/>
    <w:pitch w:val="variable"/>
    <w:sig w:usb0="800000BF" w:usb1="4000005B" w:usb2="00000000" w:usb3="00000000" w:csb0="00000001" w:csb1="00000000"/>
    <w:embedRegular r:id="rId15" w:fontKey="{BFB7A4EC-D703-40C6-AEF7-CB3072F2B3E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8A992" w14:textId="77777777" w:rsidR="008E6C80" w:rsidRDefault="005D3AC0">
    <w:pPr>
      <w:pBdr>
        <w:top w:val="nil"/>
        <w:left w:val="nil"/>
        <w:bottom w:val="nil"/>
        <w:right w:val="nil"/>
        <w:between w:val="nil"/>
      </w:pBdr>
      <w:tabs>
        <w:tab w:val="center" w:pos="4513"/>
        <w:tab w:val="right" w:pos="9026"/>
      </w:tabs>
      <w:ind w:left="0" w:hanging="2"/>
      <w:rPr>
        <w:color w:val="000000"/>
      </w:rPr>
    </w:pPr>
    <w:r>
      <w:rPr>
        <w:rFonts w:ascii="Times New Roman" w:eastAsia="Times New Roman" w:hAnsi="Times New Roman" w:cs="Times New Roman"/>
        <w:color w:val="000000"/>
        <w:sz w:val="18"/>
        <w:szCs w:val="18"/>
      </w:rPr>
      <w:t xml:space="preserve">For complete information author guidelines please check: </w:t>
    </w:r>
    <w:hyperlink r:id="rId1" w:anchor="authorGuidelines">
      <w:r>
        <w:rPr>
          <w:rFonts w:ascii="Times New Roman" w:eastAsia="Times New Roman" w:hAnsi="Times New Roman" w:cs="Times New Roman"/>
          <w:color w:val="0000FF"/>
          <w:sz w:val="18"/>
          <w:szCs w:val="18"/>
          <w:u w:val="single"/>
        </w:rPr>
        <w:t>http://ejournal2.undip.ac.id/index.php/jbtr/about/submissions#authorGuidelines</w:t>
      </w:r>
    </w:hyperlink>
    <w:r>
      <w:rPr>
        <w:rFonts w:ascii="Times New Roman" w:eastAsia="Times New Roman" w:hAnsi="Times New Roman" w:cs="Times New Roman"/>
        <w:color w:val="000000"/>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8A995" w14:textId="77777777" w:rsidR="008E6C80" w:rsidRDefault="005D3AC0">
    <w:pPr>
      <w:pBdr>
        <w:top w:val="nil"/>
        <w:left w:val="nil"/>
        <w:bottom w:val="nil"/>
        <w:right w:val="nil"/>
        <w:between w:val="nil"/>
      </w:pBdr>
      <w:tabs>
        <w:tab w:val="center" w:pos="4513"/>
        <w:tab w:val="right" w:pos="9026"/>
      </w:tabs>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For complete information author guidelines please check </w:t>
    </w:r>
    <w:hyperlink r:id="rId1">
      <w:r>
        <w:rPr>
          <w:rFonts w:ascii="Times New Roman" w:eastAsia="Times New Roman" w:hAnsi="Times New Roman" w:cs="Times New Roman"/>
          <w:color w:val="0000FF"/>
          <w:sz w:val="18"/>
          <w:szCs w:val="18"/>
          <w:u w:val="single"/>
        </w:rPr>
        <w:t>http://ejournal.undip.ac.id/index.php/medianers/about/submissions#authorGuidelines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34C180" w14:textId="77777777" w:rsidR="00F6387E" w:rsidRDefault="00F6387E">
      <w:pPr>
        <w:spacing w:after="0" w:line="240" w:lineRule="auto"/>
        <w:ind w:left="0" w:hanging="2"/>
      </w:pPr>
      <w:r>
        <w:separator/>
      </w:r>
    </w:p>
  </w:footnote>
  <w:footnote w:type="continuationSeparator" w:id="0">
    <w:p w14:paraId="3885D4F6" w14:textId="77777777" w:rsidR="00F6387E" w:rsidRDefault="00F6387E">
      <w:pPr>
        <w:spacing w:after="0" w:line="240" w:lineRule="auto"/>
        <w:ind w:left="0" w:hanging="2"/>
      </w:pPr>
      <w:r>
        <w:continuationSeparator/>
      </w:r>
    </w:p>
  </w:footnote>
  <w:footnote w:type="continuationNotice" w:id="1">
    <w:p w14:paraId="3436DC58" w14:textId="77777777" w:rsidR="00F6387E" w:rsidRDefault="00F6387E">
      <w:pPr>
        <w:spacing w:after="0" w:line="240" w:lineRule="auto"/>
        <w:ind w:left="0" w:hanging="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8A98F" w14:textId="77777777" w:rsidR="008E6C80" w:rsidRDefault="005D3AC0">
    <w:pPr>
      <w:pStyle w:val="Title"/>
      <w:ind w:left="1" w:hanging="3"/>
      <w:rPr>
        <w:color w:val="0070C0"/>
        <w:sz w:val="32"/>
        <w:szCs w:val="32"/>
      </w:rPr>
    </w:pPr>
    <w:r>
      <w:rPr>
        <w:b/>
        <w:color w:val="0070C0"/>
        <w:sz w:val="32"/>
        <w:szCs w:val="32"/>
      </w:rPr>
      <w:t>‍Submissions Template for Authors</w:t>
    </w:r>
  </w:p>
  <w:p w14:paraId="3298A990" w14:textId="77777777" w:rsidR="008E6C80" w:rsidRDefault="005D3AC0">
    <w:pPr>
      <w:spacing w:after="0"/>
      <w:ind w:left="0" w:hanging="2"/>
      <w:rPr>
        <w:color w:val="0070C0"/>
      </w:rPr>
    </w:pPr>
    <w:r>
      <w:rPr>
        <w:b/>
        <w:color w:val="0070C0"/>
      </w:rPr>
      <w:t>Original Research Article</w:t>
    </w:r>
  </w:p>
  <w:p w14:paraId="3298A991" w14:textId="77777777" w:rsidR="008E6C80" w:rsidRDefault="005D3AC0">
    <w:pPr>
      <w:spacing w:after="0"/>
      <w:ind w:left="0" w:hanging="2"/>
      <w:rPr>
        <w:rFonts w:ascii="Quattrocento Sans" w:eastAsia="Quattrocento Sans" w:hAnsi="Quattrocento Sans" w:cs="Quattrocento Sans"/>
        <w:sz w:val="16"/>
        <w:szCs w:val="16"/>
      </w:rPr>
    </w:pPr>
    <w:r>
      <w:rPr>
        <w:rFonts w:ascii="Quattrocento Sans" w:eastAsia="Quattrocento Sans" w:hAnsi="Quattrocento Sans" w:cs="Quattrocento Sans"/>
        <w:sz w:val="16"/>
        <w:szCs w:val="16"/>
      </w:rPr>
      <w:t>Instructions/Template for Preparing Manuscript for Journal of Biomedicine and Translational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8A993" w14:textId="77777777" w:rsidR="008E6C80" w:rsidRDefault="005D3AC0">
    <w:pPr>
      <w:pStyle w:val="Title"/>
      <w:ind w:left="3" w:hanging="5"/>
      <w:rPr>
        <w:color w:val="00B0F0"/>
      </w:rPr>
    </w:pPr>
    <w:r>
      <w:rPr>
        <w:color w:val="00B0F0"/>
      </w:rPr>
      <w:t>‍</w:t>
    </w:r>
    <w:r>
      <w:rPr>
        <w:color w:val="00B0F0"/>
        <w:sz w:val="44"/>
        <w:szCs w:val="44"/>
      </w:rPr>
      <w:t>Submission Template for Authors</w:t>
    </w:r>
  </w:p>
  <w:p w14:paraId="3298A994" w14:textId="77777777" w:rsidR="008E6C80" w:rsidRDefault="005D3AC0">
    <w:pPr>
      <w:ind w:left="0" w:hanging="2"/>
      <w:rPr>
        <w:sz w:val="18"/>
        <w:szCs w:val="18"/>
      </w:rPr>
    </w:pPr>
    <w:r>
      <w:rPr>
        <w:sz w:val="18"/>
        <w:szCs w:val="18"/>
      </w:rPr>
      <w:t xml:space="preserve">Instructions/Template for Preparing Manuscript for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embedTrueTypeFont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C80"/>
    <w:rsid w:val="00000872"/>
    <w:rsid w:val="0000498B"/>
    <w:rsid w:val="0000555B"/>
    <w:rsid w:val="00011AB0"/>
    <w:rsid w:val="00012C19"/>
    <w:rsid w:val="00014E9A"/>
    <w:rsid w:val="00015D2E"/>
    <w:rsid w:val="00016D3A"/>
    <w:rsid w:val="0002277A"/>
    <w:rsid w:val="00025938"/>
    <w:rsid w:val="00033197"/>
    <w:rsid w:val="0003466D"/>
    <w:rsid w:val="0004381A"/>
    <w:rsid w:val="0004412A"/>
    <w:rsid w:val="00044B0C"/>
    <w:rsid w:val="00047D0C"/>
    <w:rsid w:val="00057805"/>
    <w:rsid w:val="00060438"/>
    <w:rsid w:val="00060A7F"/>
    <w:rsid w:val="00060CFD"/>
    <w:rsid w:val="000661CC"/>
    <w:rsid w:val="00066EEA"/>
    <w:rsid w:val="000670F2"/>
    <w:rsid w:val="00067800"/>
    <w:rsid w:val="000773BE"/>
    <w:rsid w:val="0008521A"/>
    <w:rsid w:val="00086C52"/>
    <w:rsid w:val="000923B6"/>
    <w:rsid w:val="000A5C9B"/>
    <w:rsid w:val="000B2872"/>
    <w:rsid w:val="000B5201"/>
    <w:rsid w:val="000C4679"/>
    <w:rsid w:val="000C606E"/>
    <w:rsid w:val="000D2B64"/>
    <w:rsid w:val="000D4496"/>
    <w:rsid w:val="000D5FA7"/>
    <w:rsid w:val="000D6016"/>
    <w:rsid w:val="000E18EA"/>
    <w:rsid w:val="000E2F00"/>
    <w:rsid w:val="000E5004"/>
    <w:rsid w:val="000E69AF"/>
    <w:rsid w:val="000F0074"/>
    <w:rsid w:val="000F02B5"/>
    <w:rsid w:val="000F0A4A"/>
    <w:rsid w:val="000F7251"/>
    <w:rsid w:val="00100786"/>
    <w:rsid w:val="00105132"/>
    <w:rsid w:val="001119B4"/>
    <w:rsid w:val="00127604"/>
    <w:rsid w:val="00130BC6"/>
    <w:rsid w:val="00141C9A"/>
    <w:rsid w:val="00153C2F"/>
    <w:rsid w:val="0016345C"/>
    <w:rsid w:val="00172C9B"/>
    <w:rsid w:val="001740B7"/>
    <w:rsid w:val="00175901"/>
    <w:rsid w:val="00181165"/>
    <w:rsid w:val="00186E31"/>
    <w:rsid w:val="00196E1B"/>
    <w:rsid w:val="001A5CA5"/>
    <w:rsid w:val="001A5D1C"/>
    <w:rsid w:val="001A5EC9"/>
    <w:rsid w:val="001C016B"/>
    <w:rsid w:val="001C4097"/>
    <w:rsid w:val="001C4AE3"/>
    <w:rsid w:val="001C5998"/>
    <w:rsid w:val="001C7AD2"/>
    <w:rsid w:val="001C7E1A"/>
    <w:rsid w:val="001D1FAB"/>
    <w:rsid w:val="001E5407"/>
    <w:rsid w:val="001E5F26"/>
    <w:rsid w:val="001F2464"/>
    <w:rsid w:val="00201903"/>
    <w:rsid w:val="002105E8"/>
    <w:rsid w:val="00213299"/>
    <w:rsid w:val="00231614"/>
    <w:rsid w:val="002406F3"/>
    <w:rsid w:val="0024687C"/>
    <w:rsid w:val="00246C61"/>
    <w:rsid w:val="00247C52"/>
    <w:rsid w:val="0025071E"/>
    <w:rsid w:val="00253D83"/>
    <w:rsid w:val="002629CA"/>
    <w:rsid w:val="0026775D"/>
    <w:rsid w:val="002738E8"/>
    <w:rsid w:val="00276B4B"/>
    <w:rsid w:val="00277E0B"/>
    <w:rsid w:val="0028238A"/>
    <w:rsid w:val="00291466"/>
    <w:rsid w:val="002956DD"/>
    <w:rsid w:val="00297AB9"/>
    <w:rsid w:val="002A5D02"/>
    <w:rsid w:val="002B08A2"/>
    <w:rsid w:val="002B5461"/>
    <w:rsid w:val="002C03FC"/>
    <w:rsid w:val="002C259F"/>
    <w:rsid w:val="002C341A"/>
    <w:rsid w:val="002C6F07"/>
    <w:rsid w:val="002C7A7E"/>
    <w:rsid w:val="002D7397"/>
    <w:rsid w:val="002E6727"/>
    <w:rsid w:val="00304DC3"/>
    <w:rsid w:val="00310890"/>
    <w:rsid w:val="00313DC7"/>
    <w:rsid w:val="00321BAD"/>
    <w:rsid w:val="00322FB7"/>
    <w:rsid w:val="003261A3"/>
    <w:rsid w:val="00326744"/>
    <w:rsid w:val="003306E4"/>
    <w:rsid w:val="003355A5"/>
    <w:rsid w:val="00336665"/>
    <w:rsid w:val="00347674"/>
    <w:rsid w:val="003635D5"/>
    <w:rsid w:val="00363D62"/>
    <w:rsid w:val="00366875"/>
    <w:rsid w:val="00367029"/>
    <w:rsid w:val="00370F1B"/>
    <w:rsid w:val="0037386D"/>
    <w:rsid w:val="00382CAA"/>
    <w:rsid w:val="00390837"/>
    <w:rsid w:val="00393678"/>
    <w:rsid w:val="00397996"/>
    <w:rsid w:val="003A0721"/>
    <w:rsid w:val="003A3670"/>
    <w:rsid w:val="003B7507"/>
    <w:rsid w:val="003C3555"/>
    <w:rsid w:val="003D0C0D"/>
    <w:rsid w:val="003D26F9"/>
    <w:rsid w:val="003D4130"/>
    <w:rsid w:val="003D6F40"/>
    <w:rsid w:val="003E6F5B"/>
    <w:rsid w:val="003F2867"/>
    <w:rsid w:val="003F3F3E"/>
    <w:rsid w:val="003F4F41"/>
    <w:rsid w:val="003F5627"/>
    <w:rsid w:val="003F7116"/>
    <w:rsid w:val="00406136"/>
    <w:rsid w:val="0041373F"/>
    <w:rsid w:val="004137C4"/>
    <w:rsid w:val="00417DFF"/>
    <w:rsid w:val="004221DF"/>
    <w:rsid w:val="00425D82"/>
    <w:rsid w:val="0043473A"/>
    <w:rsid w:val="00436E0E"/>
    <w:rsid w:val="004444B3"/>
    <w:rsid w:val="00447F51"/>
    <w:rsid w:val="004511F8"/>
    <w:rsid w:val="004836FF"/>
    <w:rsid w:val="00483A6F"/>
    <w:rsid w:val="0049122F"/>
    <w:rsid w:val="00494994"/>
    <w:rsid w:val="004A1F8A"/>
    <w:rsid w:val="004A70F5"/>
    <w:rsid w:val="004A7709"/>
    <w:rsid w:val="004A7985"/>
    <w:rsid w:val="004B033B"/>
    <w:rsid w:val="004B2C2B"/>
    <w:rsid w:val="004B3461"/>
    <w:rsid w:val="004C1AEB"/>
    <w:rsid w:val="004C2802"/>
    <w:rsid w:val="004C2CEE"/>
    <w:rsid w:val="004C66FB"/>
    <w:rsid w:val="004C7184"/>
    <w:rsid w:val="004D2D8E"/>
    <w:rsid w:val="004E3BF9"/>
    <w:rsid w:val="004E4116"/>
    <w:rsid w:val="004F2C36"/>
    <w:rsid w:val="004F30F6"/>
    <w:rsid w:val="00502D26"/>
    <w:rsid w:val="00503176"/>
    <w:rsid w:val="005049BE"/>
    <w:rsid w:val="00507006"/>
    <w:rsid w:val="0051587B"/>
    <w:rsid w:val="0052089A"/>
    <w:rsid w:val="00525030"/>
    <w:rsid w:val="00525D43"/>
    <w:rsid w:val="00527BC1"/>
    <w:rsid w:val="00532634"/>
    <w:rsid w:val="00533B15"/>
    <w:rsid w:val="005374F9"/>
    <w:rsid w:val="00537754"/>
    <w:rsid w:val="00542076"/>
    <w:rsid w:val="00550947"/>
    <w:rsid w:val="00553CDA"/>
    <w:rsid w:val="005552F3"/>
    <w:rsid w:val="00565989"/>
    <w:rsid w:val="00566070"/>
    <w:rsid w:val="00571C1E"/>
    <w:rsid w:val="00576B84"/>
    <w:rsid w:val="0058104D"/>
    <w:rsid w:val="0058358D"/>
    <w:rsid w:val="00584F4F"/>
    <w:rsid w:val="00587905"/>
    <w:rsid w:val="00587D60"/>
    <w:rsid w:val="00594F52"/>
    <w:rsid w:val="005A1BE7"/>
    <w:rsid w:val="005A5717"/>
    <w:rsid w:val="005B13C2"/>
    <w:rsid w:val="005B4DC9"/>
    <w:rsid w:val="005B68A0"/>
    <w:rsid w:val="005C1B5F"/>
    <w:rsid w:val="005C4223"/>
    <w:rsid w:val="005C4CBF"/>
    <w:rsid w:val="005C5D4B"/>
    <w:rsid w:val="005D318C"/>
    <w:rsid w:val="005D3AC0"/>
    <w:rsid w:val="005E575C"/>
    <w:rsid w:val="005E6982"/>
    <w:rsid w:val="005E7693"/>
    <w:rsid w:val="005F4323"/>
    <w:rsid w:val="00600062"/>
    <w:rsid w:val="00602D6C"/>
    <w:rsid w:val="006101FB"/>
    <w:rsid w:val="00634202"/>
    <w:rsid w:val="00643779"/>
    <w:rsid w:val="00646A7E"/>
    <w:rsid w:val="00664538"/>
    <w:rsid w:val="00674C03"/>
    <w:rsid w:val="00675992"/>
    <w:rsid w:val="00675DDC"/>
    <w:rsid w:val="00676145"/>
    <w:rsid w:val="00676271"/>
    <w:rsid w:val="006862B5"/>
    <w:rsid w:val="00694CEF"/>
    <w:rsid w:val="00697B28"/>
    <w:rsid w:val="006A2CFB"/>
    <w:rsid w:val="006B0B22"/>
    <w:rsid w:val="006B0FB0"/>
    <w:rsid w:val="006C2C02"/>
    <w:rsid w:val="006C5938"/>
    <w:rsid w:val="006D5E68"/>
    <w:rsid w:val="006D665C"/>
    <w:rsid w:val="006E005F"/>
    <w:rsid w:val="006E30F0"/>
    <w:rsid w:val="006F19E3"/>
    <w:rsid w:val="006F2988"/>
    <w:rsid w:val="006F50FA"/>
    <w:rsid w:val="006F5FE4"/>
    <w:rsid w:val="006F7D91"/>
    <w:rsid w:val="00705CA3"/>
    <w:rsid w:val="00712596"/>
    <w:rsid w:val="00713368"/>
    <w:rsid w:val="0071648C"/>
    <w:rsid w:val="00724357"/>
    <w:rsid w:val="00724B21"/>
    <w:rsid w:val="007251A4"/>
    <w:rsid w:val="00725812"/>
    <w:rsid w:val="007413EF"/>
    <w:rsid w:val="00743A14"/>
    <w:rsid w:val="00755A21"/>
    <w:rsid w:val="00760CCA"/>
    <w:rsid w:val="00764739"/>
    <w:rsid w:val="00765BF3"/>
    <w:rsid w:val="00771883"/>
    <w:rsid w:val="007719E3"/>
    <w:rsid w:val="007726A5"/>
    <w:rsid w:val="00773888"/>
    <w:rsid w:val="007738FE"/>
    <w:rsid w:val="00774F3B"/>
    <w:rsid w:val="007756E6"/>
    <w:rsid w:val="00777E6F"/>
    <w:rsid w:val="007931C9"/>
    <w:rsid w:val="007964C1"/>
    <w:rsid w:val="007A29D6"/>
    <w:rsid w:val="007B7A86"/>
    <w:rsid w:val="007C264D"/>
    <w:rsid w:val="007D2C4A"/>
    <w:rsid w:val="007D4F1E"/>
    <w:rsid w:val="007E1D07"/>
    <w:rsid w:val="007E240C"/>
    <w:rsid w:val="007F15B9"/>
    <w:rsid w:val="00802A15"/>
    <w:rsid w:val="008042C7"/>
    <w:rsid w:val="0080761A"/>
    <w:rsid w:val="00813E58"/>
    <w:rsid w:val="00814320"/>
    <w:rsid w:val="0081537B"/>
    <w:rsid w:val="00815ED0"/>
    <w:rsid w:val="0082050F"/>
    <w:rsid w:val="0083321A"/>
    <w:rsid w:val="00834F37"/>
    <w:rsid w:val="00835CD1"/>
    <w:rsid w:val="008449E7"/>
    <w:rsid w:val="00851A5F"/>
    <w:rsid w:val="00854D79"/>
    <w:rsid w:val="0086148C"/>
    <w:rsid w:val="00867395"/>
    <w:rsid w:val="00871E73"/>
    <w:rsid w:val="0087242B"/>
    <w:rsid w:val="0087605B"/>
    <w:rsid w:val="00881889"/>
    <w:rsid w:val="008847F5"/>
    <w:rsid w:val="00887E15"/>
    <w:rsid w:val="008A0F00"/>
    <w:rsid w:val="008A1D05"/>
    <w:rsid w:val="008A29F5"/>
    <w:rsid w:val="008A5BE2"/>
    <w:rsid w:val="008A5BEA"/>
    <w:rsid w:val="008B3021"/>
    <w:rsid w:val="008B7A2B"/>
    <w:rsid w:val="008C1508"/>
    <w:rsid w:val="008C172F"/>
    <w:rsid w:val="008C272C"/>
    <w:rsid w:val="008C51B6"/>
    <w:rsid w:val="008D184A"/>
    <w:rsid w:val="008D7034"/>
    <w:rsid w:val="008E1D93"/>
    <w:rsid w:val="008E2FB9"/>
    <w:rsid w:val="008E6C80"/>
    <w:rsid w:val="008F3169"/>
    <w:rsid w:val="00913AFA"/>
    <w:rsid w:val="00920813"/>
    <w:rsid w:val="00920FA6"/>
    <w:rsid w:val="009259B9"/>
    <w:rsid w:val="00926A3D"/>
    <w:rsid w:val="00933A3A"/>
    <w:rsid w:val="0093533F"/>
    <w:rsid w:val="009372E9"/>
    <w:rsid w:val="00945C14"/>
    <w:rsid w:val="00963373"/>
    <w:rsid w:val="00963719"/>
    <w:rsid w:val="0097323A"/>
    <w:rsid w:val="00973602"/>
    <w:rsid w:val="009748D7"/>
    <w:rsid w:val="00975957"/>
    <w:rsid w:val="0098155A"/>
    <w:rsid w:val="00983AD7"/>
    <w:rsid w:val="00984C64"/>
    <w:rsid w:val="009874E3"/>
    <w:rsid w:val="009A1B33"/>
    <w:rsid w:val="009A53A1"/>
    <w:rsid w:val="009B2031"/>
    <w:rsid w:val="009B2520"/>
    <w:rsid w:val="009B4EE3"/>
    <w:rsid w:val="009C3BDC"/>
    <w:rsid w:val="009D34A2"/>
    <w:rsid w:val="009E49E7"/>
    <w:rsid w:val="009E6B48"/>
    <w:rsid w:val="009F0784"/>
    <w:rsid w:val="009F3982"/>
    <w:rsid w:val="009F55D8"/>
    <w:rsid w:val="00A1097A"/>
    <w:rsid w:val="00A148C5"/>
    <w:rsid w:val="00A2245F"/>
    <w:rsid w:val="00A25021"/>
    <w:rsid w:val="00A316CF"/>
    <w:rsid w:val="00A35CB0"/>
    <w:rsid w:val="00A4639E"/>
    <w:rsid w:val="00A52959"/>
    <w:rsid w:val="00A5295B"/>
    <w:rsid w:val="00A52DF6"/>
    <w:rsid w:val="00A57544"/>
    <w:rsid w:val="00A607BF"/>
    <w:rsid w:val="00A60BC8"/>
    <w:rsid w:val="00A6384E"/>
    <w:rsid w:val="00A6454B"/>
    <w:rsid w:val="00A650AF"/>
    <w:rsid w:val="00A6651A"/>
    <w:rsid w:val="00A732D3"/>
    <w:rsid w:val="00A73FF9"/>
    <w:rsid w:val="00A835EC"/>
    <w:rsid w:val="00A8497F"/>
    <w:rsid w:val="00A94642"/>
    <w:rsid w:val="00A94B6F"/>
    <w:rsid w:val="00A95FE0"/>
    <w:rsid w:val="00A9601F"/>
    <w:rsid w:val="00AA287F"/>
    <w:rsid w:val="00AA52FC"/>
    <w:rsid w:val="00AB4822"/>
    <w:rsid w:val="00AC019D"/>
    <w:rsid w:val="00AC143B"/>
    <w:rsid w:val="00AC23D0"/>
    <w:rsid w:val="00AC42F9"/>
    <w:rsid w:val="00AD0661"/>
    <w:rsid w:val="00AD28C4"/>
    <w:rsid w:val="00AD7E30"/>
    <w:rsid w:val="00AE205C"/>
    <w:rsid w:val="00AE77FC"/>
    <w:rsid w:val="00AF6B93"/>
    <w:rsid w:val="00B04B57"/>
    <w:rsid w:val="00B04C32"/>
    <w:rsid w:val="00B07690"/>
    <w:rsid w:val="00B10999"/>
    <w:rsid w:val="00B11437"/>
    <w:rsid w:val="00B136DC"/>
    <w:rsid w:val="00B1374B"/>
    <w:rsid w:val="00B13C9E"/>
    <w:rsid w:val="00B1540C"/>
    <w:rsid w:val="00B16E72"/>
    <w:rsid w:val="00B20BC9"/>
    <w:rsid w:val="00B2593C"/>
    <w:rsid w:val="00B271CF"/>
    <w:rsid w:val="00B27FBD"/>
    <w:rsid w:val="00B37375"/>
    <w:rsid w:val="00B40A1F"/>
    <w:rsid w:val="00B50321"/>
    <w:rsid w:val="00B55E65"/>
    <w:rsid w:val="00B56C9A"/>
    <w:rsid w:val="00B63967"/>
    <w:rsid w:val="00B67654"/>
    <w:rsid w:val="00B67690"/>
    <w:rsid w:val="00B71E00"/>
    <w:rsid w:val="00B737FA"/>
    <w:rsid w:val="00B90A17"/>
    <w:rsid w:val="00B93BE3"/>
    <w:rsid w:val="00B95432"/>
    <w:rsid w:val="00B9684C"/>
    <w:rsid w:val="00BA14DD"/>
    <w:rsid w:val="00BA674B"/>
    <w:rsid w:val="00BA7B09"/>
    <w:rsid w:val="00BB655C"/>
    <w:rsid w:val="00BC13FF"/>
    <w:rsid w:val="00BC2C3E"/>
    <w:rsid w:val="00BC2F6C"/>
    <w:rsid w:val="00BC3F9A"/>
    <w:rsid w:val="00BC4A61"/>
    <w:rsid w:val="00BC5FF2"/>
    <w:rsid w:val="00BC6F23"/>
    <w:rsid w:val="00BD1A5C"/>
    <w:rsid w:val="00BD3C31"/>
    <w:rsid w:val="00BD575C"/>
    <w:rsid w:val="00BD5D1E"/>
    <w:rsid w:val="00BE0025"/>
    <w:rsid w:val="00BE2F92"/>
    <w:rsid w:val="00BE619F"/>
    <w:rsid w:val="00BF57A8"/>
    <w:rsid w:val="00C00F26"/>
    <w:rsid w:val="00C047B3"/>
    <w:rsid w:val="00C05CB6"/>
    <w:rsid w:val="00C17C93"/>
    <w:rsid w:val="00C2195E"/>
    <w:rsid w:val="00C247BD"/>
    <w:rsid w:val="00C2622D"/>
    <w:rsid w:val="00C36762"/>
    <w:rsid w:val="00C36DA4"/>
    <w:rsid w:val="00C474F6"/>
    <w:rsid w:val="00C523AB"/>
    <w:rsid w:val="00C603B4"/>
    <w:rsid w:val="00C61D27"/>
    <w:rsid w:val="00C70194"/>
    <w:rsid w:val="00C710C0"/>
    <w:rsid w:val="00C71809"/>
    <w:rsid w:val="00C74E3E"/>
    <w:rsid w:val="00C8092E"/>
    <w:rsid w:val="00C8650C"/>
    <w:rsid w:val="00CA46E3"/>
    <w:rsid w:val="00CA5A1C"/>
    <w:rsid w:val="00CB733E"/>
    <w:rsid w:val="00CC1D21"/>
    <w:rsid w:val="00CC51E0"/>
    <w:rsid w:val="00CC5CAF"/>
    <w:rsid w:val="00CC6D35"/>
    <w:rsid w:val="00CC74B5"/>
    <w:rsid w:val="00CD1E48"/>
    <w:rsid w:val="00CE29B8"/>
    <w:rsid w:val="00CE4CC0"/>
    <w:rsid w:val="00CE602A"/>
    <w:rsid w:val="00CE68A2"/>
    <w:rsid w:val="00CF0FBE"/>
    <w:rsid w:val="00CF26D7"/>
    <w:rsid w:val="00CF2999"/>
    <w:rsid w:val="00CF2E12"/>
    <w:rsid w:val="00CF5CE1"/>
    <w:rsid w:val="00D063A5"/>
    <w:rsid w:val="00D147E9"/>
    <w:rsid w:val="00D14C89"/>
    <w:rsid w:val="00D151DA"/>
    <w:rsid w:val="00D204A7"/>
    <w:rsid w:val="00D22D53"/>
    <w:rsid w:val="00D2346E"/>
    <w:rsid w:val="00D26BF2"/>
    <w:rsid w:val="00D43F32"/>
    <w:rsid w:val="00D46A18"/>
    <w:rsid w:val="00D5104E"/>
    <w:rsid w:val="00D57CF7"/>
    <w:rsid w:val="00D6057A"/>
    <w:rsid w:val="00D61CA4"/>
    <w:rsid w:val="00D649F1"/>
    <w:rsid w:val="00D66388"/>
    <w:rsid w:val="00D67147"/>
    <w:rsid w:val="00D709B9"/>
    <w:rsid w:val="00D75C30"/>
    <w:rsid w:val="00D81309"/>
    <w:rsid w:val="00D834DE"/>
    <w:rsid w:val="00D91474"/>
    <w:rsid w:val="00D966A2"/>
    <w:rsid w:val="00D969A7"/>
    <w:rsid w:val="00DA343D"/>
    <w:rsid w:val="00DA5A84"/>
    <w:rsid w:val="00DA6CB8"/>
    <w:rsid w:val="00DB1A4F"/>
    <w:rsid w:val="00DC7C79"/>
    <w:rsid w:val="00DD4568"/>
    <w:rsid w:val="00DD6C18"/>
    <w:rsid w:val="00DE008B"/>
    <w:rsid w:val="00DE580C"/>
    <w:rsid w:val="00DF7333"/>
    <w:rsid w:val="00E009A9"/>
    <w:rsid w:val="00E01858"/>
    <w:rsid w:val="00E04F58"/>
    <w:rsid w:val="00E12144"/>
    <w:rsid w:val="00E21635"/>
    <w:rsid w:val="00E45B3E"/>
    <w:rsid w:val="00E52126"/>
    <w:rsid w:val="00E55419"/>
    <w:rsid w:val="00E60A5D"/>
    <w:rsid w:val="00E65C95"/>
    <w:rsid w:val="00E70292"/>
    <w:rsid w:val="00E72B97"/>
    <w:rsid w:val="00E744F3"/>
    <w:rsid w:val="00E77A07"/>
    <w:rsid w:val="00E8113C"/>
    <w:rsid w:val="00E82295"/>
    <w:rsid w:val="00E91FB7"/>
    <w:rsid w:val="00E962DD"/>
    <w:rsid w:val="00EA0885"/>
    <w:rsid w:val="00EB2C73"/>
    <w:rsid w:val="00EB3C9C"/>
    <w:rsid w:val="00EB5C1F"/>
    <w:rsid w:val="00ED3AF3"/>
    <w:rsid w:val="00EE0495"/>
    <w:rsid w:val="00EE7538"/>
    <w:rsid w:val="00F0086D"/>
    <w:rsid w:val="00F10E57"/>
    <w:rsid w:val="00F164CF"/>
    <w:rsid w:val="00F21680"/>
    <w:rsid w:val="00F23E00"/>
    <w:rsid w:val="00F27082"/>
    <w:rsid w:val="00F332C2"/>
    <w:rsid w:val="00F339A0"/>
    <w:rsid w:val="00F34C43"/>
    <w:rsid w:val="00F4001A"/>
    <w:rsid w:val="00F474F9"/>
    <w:rsid w:val="00F51456"/>
    <w:rsid w:val="00F60002"/>
    <w:rsid w:val="00F6032F"/>
    <w:rsid w:val="00F608F4"/>
    <w:rsid w:val="00F62542"/>
    <w:rsid w:val="00F62E96"/>
    <w:rsid w:val="00F6387E"/>
    <w:rsid w:val="00F7490C"/>
    <w:rsid w:val="00F77C2B"/>
    <w:rsid w:val="00F8471C"/>
    <w:rsid w:val="00F85962"/>
    <w:rsid w:val="00F97358"/>
    <w:rsid w:val="00FA0D77"/>
    <w:rsid w:val="00FA37E4"/>
    <w:rsid w:val="00FD080B"/>
    <w:rsid w:val="00FD2551"/>
    <w:rsid w:val="00FD5541"/>
    <w:rsid w:val="00FD7207"/>
    <w:rsid w:val="00FD7B5A"/>
    <w:rsid w:val="00FD7E5F"/>
    <w:rsid w:val="00FE252D"/>
    <w:rsid w:val="00FE7089"/>
    <w:rsid w:val="00FF2752"/>
    <w:rsid w:val="00FF612E"/>
    <w:rsid w:val="00FF6C36"/>
    <w:rsid w:val="00FF6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98A8C0"/>
  <w15:docId w15:val="{49A979C5-7B4D-4825-A825-68BAE622B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rPr>
  </w:style>
  <w:style w:type="paragraph" w:styleId="Heading1">
    <w:name w:val="heading 1"/>
    <w:basedOn w:val="Normal"/>
    <w:uiPriority w:val="9"/>
    <w:qFormat/>
    <w:rsid w:val="00CA46E3"/>
    <w:pPr>
      <w:spacing w:before="240" w:after="60" w:line="240" w:lineRule="auto"/>
      <w:ind w:left="0" w:hanging="2"/>
      <w:jc w:val="both"/>
    </w:pPr>
    <w:rPr>
      <w:rFonts w:ascii="Times New Roman" w:eastAsia="Times New Roman" w:hAnsi="Times New Roman" w:cs="Times New Roman"/>
      <w:b/>
      <w:sz w:val="24"/>
      <w:szCs w:val="24"/>
    </w:rPr>
  </w:style>
  <w:style w:type="paragraph" w:styleId="Heading2">
    <w:name w:val="heading 2"/>
    <w:basedOn w:val="Normal"/>
    <w:next w:val="Normal"/>
    <w:uiPriority w:val="9"/>
    <w:unhideWhenUsed/>
    <w:qFormat/>
    <w:rsid w:val="000E69AF"/>
    <w:pPr>
      <w:keepNext/>
      <w:keepLines/>
      <w:spacing w:before="120" w:after="60"/>
      <w:ind w:left="0" w:hanging="2"/>
      <w:outlineLvl w:val="1"/>
    </w:pPr>
    <w:rPr>
      <w:rFonts w:ascii="Times New Roman" w:eastAsia="Times New Roman" w:hAnsi="Times New Roman" w:cs="Times New Roman"/>
      <w:b/>
      <w:bCs/>
      <w:sz w:val="24"/>
      <w:szCs w:val="24"/>
      <w:lang w:bidi="th-TH"/>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pBdr>
        <w:bottom w:val="single" w:sz="12" w:space="4" w:color="39A5B7"/>
      </w:pBdr>
      <w:spacing w:after="120" w:line="240" w:lineRule="auto"/>
      <w:contextualSpacing/>
    </w:pPr>
    <w:rPr>
      <w:rFonts w:ascii="Cambria" w:eastAsia="Times New Roman" w:hAnsi="Cambria" w:cs="Times New Roman"/>
      <w:color w:val="39A5B7"/>
      <w:kern w:val="28"/>
      <w:sz w:val="52"/>
      <w:szCs w:val="20"/>
      <w:lang w:eastAsia="ja-JP"/>
    </w:rPr>
  </w:style>
  <w:style w:type="table" w:customStyle="1" w:styleId="TableNormal2">
    <w:name w:val="Table Normal2"/>
    <w:next w:val="TableNormal1"/>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character" w:customStyle="1" w:styleId="Heading1Char">
    <w:name w:val="Heading 1 Char"/>
    <w:rPr>
      <w:rFonts w:ascii="Times New Roman" w:eastAsia="Times New Roman" w:hAnsi="Times New Roman"/>
      <w:b/>
      <w:bCs/>
      <w:w w:val="100"/>
      <w:kern w:val="36"/>
      <w:position w:val="-1"/>
      <w:sz w:val="48"/>
      <w:szCs w:val="48"/>
      <w:effect w:val="none"/>
      <w:vertAlign w:val="baseline"/>
      <w:cs w:val="0"/>
      <w:em w:val="none"/>
      <w:lang w:val="en-US" w:bidi="th-TH"/>
    </w:rPr>
  </w:style>
  <w:style w:type="character" w:customStyle="1" w:styleId="Heading2Char">
    <w:name w:val="Heading 2 Char"/>
    <w:rPr>
      <w:rFonts w:ascii="Cambria" w:eastAsia="Times New Roman" w:hAnsi="Cambria" w:cs="Angsana New"/>
      <w:b/>
      <w:bCs/>
      <w:color w:val="4F81BD"/>
      <w:w w:val="100"/>
      <w:position w:val="-1"/>
      <w:sz w:val="26"/>
      <w:szCs w:val="26"/>
      <w:effect w:val="none"/>
      <w:vertAlign w:val="baseline"/>
      <w:cs w:val="0"/>
      <w:em w:val="none"/>
      <w:lang w:val="en-US" w:eastAsia="en-US" w:bidi="th-TH"/>
    </w:rPr>
  </w:style>
  <w:style w:type="table" w:styleId="TableGrid">
    <w:name w:val="Table Grid"/>
    <w:basedOn w:val="TableNormal2"/>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qFormat/>
    <w:rPr>
      <w:color w:val="0000FF"/>
      <w:w w:val="100"/>
      <w:position w:val="-1"/>
      <w:u w:val="single"/>
      <w:effect w:val="none"/>
      <w:vertAlign w:val="baseline"/>
      <w:cs w:val="0"/>
      <w:em w:val="none"/>
    </w:rPr>
  </w:style>
  <w:style w:type="paragraph" w:styleId="Header">
    <w:name w:val="header"/>
    <w:basedOn w:val="Normal"/>
    <w:qFormat/>
    <w:pPr>
      <w:tabs>
        <w:tab w:val="center" w:pos="4513"/>
        <w:tab w:val="right" w:pos="9026"/>
      </w:tabs>
    </w:pPr>
  </w:style>
  <w:style w:type="character" w:customStyle="1" w:styleId="HeaderChar">
    <w:name w:val="Header Char"/>
    <w:rPr>
      <w:w w:val="100"/>
      <w:position w:val="-1"/>
      <w:sz w:val="22"/>
      <w:szCs w:val="22"/>
      <w:effect w:val="none"/>
      <w:vertAlign w:val="baseline"/>
      <w:cs w:val="0"/>
      <w:em w:val="none"/>
      <w:lang w:val="en-US" w:eastAsia="en-US"/>
    </w:rPr>
  </w:style>
  <w:style w:type="paragraph" w:styleId="Footer">
    <w:name w:val="footer"/>
    <w:basedOn w:val="Normal"/>
    <w:qFormat/>
    <w:pPr>
      <w:tabs>
        <w:tab w:val="center" w:pos="4513"/>
        <w:tab w:val="right" w:pos="9026"/>
      </w:tabs>
    </w:pPr>
  </w:style>
  <w:style w:type="character" w:customStyle="1" w:styleId="FooterChar">
    <w:name w:val="Footer Char"/>
    <w:rPr>
      <w:w w:val="100"/>
      <w:position w:val="-1"/>
      <w:sz w:val="22"/>
      <w:szCs w:val="22"/>
      <w:effect w:val="none"/>
      <w:vertAlign w:val="baseline"/>
      <w:cs w:val="0"/>
      <w:em w:val="none"/>
      <w:lang w:val="en-US" w:eastAsia="en-US"/>
    </w:rPr>
  </w:style>
  <w:style w:type="paragraph" w:styleId="BalloonText">
    <w:name w:val="Balloon Text"/>
    <w:basedOn w:val="Normal"/>
    <w:qFormat/>
    <w:pPr>
      <w:spacing w:after="0" w:line="240" w:lineRule="auto"/>
    </w:pPr>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eastAsia="en-US"/>
    </w:rPr>
  </w:style>
  <w:style w:type="character" w:customStyle="1" w:styleId="hps">
    <w:name w:val="hps"/>
    <w:rPr>
      <w:w w:val="100"/>
      <w:position w:val="-1"/>
      <w:effect w:val="none"/>
      <w:vertAlign w:val="baseline"/>
      <w:cs w:val="0"/>
      <w:em w:val="none"/>
    </w:rPr>
  </w:style>
  <w:style w:type="paragraph" w:styleId="Bibliography">
    <w:name w:val="Bibliography"/>
    <w:basedOn w:val="Normal"/>
    <w:next w:val="Normal"/>
    <w:pPr>
      <w:tabs>
        <w:tab w:val="left" w:pos="384"/>
      </w:tabs>
      <w:spacing w:after="240" w:line="240" w:lineRule="auto"/>
      <w:ind w:left="384" w:hanging="384"/>
    </w:p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lang w:bidi="th-TH"/>
    </w:rPr>
  </w:style>
  <w:style w:type="paragraph" w:styleId="ListParagraph">
    <w:name w:val="List Paragraph"/>
    <w:basedOn w:val="Normal"/>
    <w:uiPriority w:val="34"/>
    <w:qFormat/>
    <w:pPr>
      <w:spacing w:after="0" w:line="240" w:lineRule="auto"/>
      <w:ind w:left="720"/>
      <w:contextualSpacing/>
    </w:pPr>
    <w:rPr>
      <w:rFonts w:ascii="Times New Roman" w:eastAsia="Times New Roman" w:hAnsi="Times New Roman" w:cs="Angsana New"/>
      <w:sz w:val="24"/>
      <w:szCs w:val="30"/>
      <w:lang w:bidi="th-TH"/>
    </w:rPr>
  </w:style>
  <w:style w:type="character" w:customStyle="1" w:styleId="apple-converted-space">
    <w:name w:val="apple-converted-space"/>
    <w:basedOn w:val="DefaultParagraphFont"/>
    <w:rPr>
      <w:w w:val="100"/>
      <w:position w:val="-1"/>
      <w:effect w:val="none"/>
      <w:vertAlign w:val="baseline"/>
      <w:cs w:val="0"/>
      <w:em w:val="none"/>
    </w:rPr>
  </w:style>
  <w:style w:type="character" w:customStyle="1" w:styleId="A5">
    <w:name w:val="A5"/>
    <w:rPr>
      <w:b/>
      <w:bCs/>
      <w:color w:val="000000"/>
      <w:w w:val="100"/>
      <w:position w:val="-1"/>
      <w:sz w:val="20"/>
      <w:szCs w:val="20"/>
      <w:effect w:val="none"/>
      <w:vertAlign w:val="baseline"/>
      <w:cs w:val="0"/>
      <w:em w:val="none"/>
    </w:rPr>
  </w:style>
  <w:style w:type="paragraph" w:customStyle="1" w:styleId="authors">
    <w:name w:val="authors"/>
    <w:basedOn w:val="Normal"/>
    <w:pPr>
      <w:spacing w:before="100" w:beforeAutospacing="1" w:after="100" w:afterAutospacing="1" w:line="240" w:lineRule="auto"/>
    </w:pPr>
    <w:rPr>
      <w:rFonts w:ascii="Times New Roman" w:eastAsia="Times New Roman" w:hAnsi="Times New Roman"/>
      <w:sz w:val="24"/>
      <w:szCs w:val="24"/>
      <w:lang w:eastAsia="id-ID" w:bidi="th-TH"/>
    </w:rPr>
  </w:style>
  <w:style w:type="character" w:styleId="Strong">
    <w:name w:val="Strong"/>
    <w:rPr>
      <w:b/>
      <w:bCs/>
      <w:w w:val="100"/>
      <w:position w:val="-1"/>
      <w:effect w:val="none"/>
      <w:vertAlign w:val="baseline"/>
      <w:cs w:val="0"/>
      <w:em w:val="none"/>
    </w:rPr>
  </w:style>
  <w:style w:type="character" w:customStyle="1" w:styleId="CommentTextChar">
    <w:name w:val="Comment Text Char"/>
    <w:rPr>
      <w:w w:val="100"/>
      <w:position w:val="-1"/>
      <w:szCs w:val="25"/>
      <w:effect w:val="none"/>
      <w:vertAlign w:val="baseline"/>
      <w:cs w:val="0"/>
      <w:em w:val="none"/>
      <w:lang w:val="en-US" w:eastAsia="en-US" w:bidi="th-TH"/>
    </w:rPr>
  </w:style>
  <w:style w:type="paragraph" w:customStyle="1" w:styleId="CommentText1">
    <w:name w:val="Comment Text1"/>
    <w:basedOn w:val="Normal"/>
    <w:qFormat/>
    <w:pPr>
      <w:spacing w:line="240" w:lineRule="auto"/>
    </w:pPr>
    <w:rPr>
      <w:sz w:val="20"/>
      <w:szCs w:val="25"/>
      <w:lang w:bidi="th-TH"/>
    </w:rPr>
  </w:style>
  <w:style w:type="character" w:customStyle="1" w:styleId="CommentSubjectChar">
    <w:name w:val="Comment Subject Char"/>
    <w:rPr>
      <w:b/>
      <w:bCs/>
      <w:w w:val="100"/>
      <w:position w:val="-1"/>
      <w:szCs w:val="25"/>
      <w:effect w:val="none"/>
      <w:vertAlign w:val="baseline"/>
      <w:cs w:val="0"/>
      <w:em w:val="none"/>
      <w:lang w:val="en-US" w:eastAsia="en-US" w:bidi="th-TH"/>
    </w:rPr>
  </w:style>
  <w:style w:type="paragraph" w:customStyle="1" w:styleId="CommentSubject1">
    <w:name w:val="Comment Subject1"/>
    <w:basedOn w:val="CommentText1"/>
    <w:next w:val="CommentText1"/>
    <w:qFormat/>
    <w:rPr>
      <w:b/>
      <w:bCs/>
    </w:rPr>
  </w:style>
  <w:style w:type="paragraph" w:styleId="BodyText">
    <w:name w:val="Body Text"/>
    <w:basedOn w:val="Normal"/>
    <w:pPr>
      <w:spacing w:after="0" w:line="240" w:lineRule="auto"/>
    </w:pPr>
    <w:rPr>
      <w:rFonts w:ascii="Arial Narrow" w:eastAsia="Times" w:hAnsi="Arial Narrow"/>
      <w:sz w:val="20"/>
      <w:szCs w:val="20"/>
    </w:rPr>
  </w:style>
  <w:style w:type="character" w:customStyle="1" w:styleId="BodyTextChar">
    <w:name w:val="Body Text Char"/>
    <w:rPr>
      <w:rFonts w:ascii="Arial Narrow" w:eastAsia="Times" w:hAnsi="Arial Narrow"/>
      <w:w w:val="100"/>
      <w:position w:val="-1"/>
      <w:effect w:val="none"/>
      <w:vertAlign w:val="baseline"/>
      <w:cs w:val="0"/>
      <w:em w:val="none"/>
    </w:rPr>
  </w:style>
  <w:style w:type="character" w:customStyle="1" w:styleId="exldetailsdisplayval">
    <w:name w:val="exldetailsdisplayval"/>
    <w:rPr>
      <w:w w:val="100"/>
      <w:position w:val="-1"/>
      <w:effect w:val="none"/>
      <w:vertAlign w:val="baseline"/>
      <w:cs w:val="0"/>
      <w:em w:val="none"/>
    </w:rPr>
  </w:style>
  <w:style w:type="character" w:customStyle="1" w:styleId="alt-edited">
    <w:name w:val="alt-edited"/>
    <w:basedOn w:val="DefaultParagraphFont"/>
    <w:rPr>
      <w:w w:val="100"/>
      <w:position w:val="-1"/>
      <w:effect w:val="none"/>
      <w:vertAlign w:val="baseline"/>
      <w:cs w:val="0"/>
      <w:em w:val="none"/>
    </w:rPr>
  </w:style>
  <w:style w:type="paragraph" w:customStyle="1" w:styleId="Body">
    <w:name w:val="Body"/>
    <w:basedOn w:val="Normal"/>
    <w:pPr>
      <w:widowControl w:val="0"/>
      <w:autoSpaceDE w:val="0"/>
      <w:autoSpaceDN w:val="0"/>
      <w:adjustRightInd w:val="0"/>
      <w:spacing w:after="0" w:line="360" w:lineRule="auto"/>
      <w:ind w:firstLine="340"/>
      <w:jc w:val="both"/>
      <w:textAlignment w:val="baseline"/>
    </w:pPr>
    <w:rPr>
      <w:rFonts w:ascii="Times New Roman" w:eastAsia="BatangChe" w:hAnsi="Times New Roman"/>
      <w:sz w:val="24"/>
      <w:szCs w:val="20"/>
      <w:lang w:eastAsia="ko-KR"/>
    </w:rPr>
  </w:style>
  <w:style w:type="character" w:customStyle="1" w:styleId="TitleChar">
    <w:name w:val="Title Char"/>
    <w:rPr>
      <w:rFonts w:ascii="Cambria" w:eastAsia="Times New Roman" w:hAnsi="Cambria"/>
      <w:color w:val="39A5B7"/>
      <w:w w:val="100"/>
      <w:kern w:val="28"/>
      <w:position w:val="-1"/>
      <w:sz w:val="52"/>
      <w:effect w:val="none"/>
      <w:vertAlign w:val="baseline"/>
      <w:cs w:val="0"/>
      <w:em w:val="none"/>
      <w:lang w:eastAsia="ja-JP"/>
    </w:rPr>
  </w:style>
  <w:style w:type="paragraph" w:customStyle="1" w:styleId="Subsection">
    <w:name w:val="Subsection"/>
    <w:basedOn w:val="Normal"/>
    <w:pPr>
      <w:spacing w:before="280" w:after="120" w:line="240" w:lineRule="auto"/>
    </w:pPr>
    <w:rPr>
      <w:rFonts w:ascii="Cambria" w:eastAsia="Cambria" w:hAnsi="Cambria" w:cs="Times New Roman"/>
      <w:b/>
      <w:bCs/>
      <w:caps/>
      <w:color w:val="262626"/>
      <w:sz w:val="18"/>
      <w:szCs w:val="20"/>
      <w:lang w:eastAsia="ja-JP"/>
    </w:rPr>
  </w:style>
  <w:style w:type="paragraph" w:customStyle="1" w:styleId="Tabletitle">
    <w:name w:val="Tabletitle"/>
    <w:basedOn w:val="Body"/>
    <w:pPr>
      <w:spacing w:before="240" w:after="120"/>
      <w:jc w:val="center"/>
    </w:pPr>
    <w:rPr>
      <w:i/>
    </w:rPr>
  </w:style>
  <w:style w:type="paragraph" w:customStyle="1" w:styleId="FigureTitle">
    <w:name w:val="FigureTitle"/>
    <w:basedOn w:val="Body"/>
    <w:pPr>
      <w:spacing w:after="120"/>
      <w:jc w:val="center"/>
    </w:pPr>
    <w:rPr>
      <w:i/>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Pr>
  </w:style>
  <w:style w:type="paragraph" w:styleId="Caption">
    <w:name w:val="caption"/>
    <w:basedOn w:val="Normal"/>
    <w:next w:val="Normal"/>
    <w:uiPriority w:val="35"/>
    <w:unhideWhenUsed/>
    <w:qFormat/>
    <w:rsid w:val="00011AB0"/>
    <w:pPr>
      <w:spacing w:line="240" w:lineRule="auto"/>
      <w:ind w:left="0" w:hanging="2"/>
    </w:pPr>
    <w:rPr>
      <w:rFonts w:ascii="Times New Roman" w:hAnsi="Times New Roman" w:cs="Times New Roman"/>
      <w:b/>
      <w:bCs/>
      <w:sz w:val="24"/>
      <w:szCs w:val="24"/>
    </w:rPr>
  </w:style>
  <w:style w:type="table" w:customStyle="1" w:styleId="Tabelraster1">
    <w:name w:val="Tabelraster1"/>
    <w:basedOn w:val="TableNormal"/>
    <w:next w:val="TableGrid"/>
    <w:uiPriority w:val="39"/>
    <w:rsid w:val="00D151DA"/>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TableNormal"/>
    <w:next w:val="TableGrid"/>
    <w:uiPriority w:val="39"/>
    <w:rsid w:val="00AF6B9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E602A"/>
    <w:rPr>
      <w:sz w:val="16"/>
      <w:szCs w:val="16"/>
    </w:rPr>
  </w:style>
  <w:style w:type="paragraph" w:styleId="CommentText">
    <w:name w:val="annotation text"/>
    <w:basedOn w:val="Normal"/>
    <w:link w:val="CommentTextChar1"/>
    <w:uiPriority w:val="99"/>
    <w:unhideWhenUsed/>
    <w:rsid w:val="00CE602A"/>
    <w:pPr>
      <w:spacing w:line="240" w:lineRule="auto"/>
    </w:pPr>
    <w:rPr>
      <w:sz w:val="20"/>
      <w:szCs w:val="20"/>
    </w:rPr>
  </w:style>
  <w:style w:type="character" w:customStyle="1" w:styleId="CommentTextChar1">
    <w:name w:val="Comment Text Char1"/>
    <w:basedOn w:val="DefaultParagraphFont"/>
    <w:link w:val="CommentText"/>
    <w:uiPriority w:val="99"/>
    <w:rsid w:val="00CE602A"/>
    <w:rPr>
      <w:position w:val="-1"/>
      <w:sz w:val="20"/>
      <w:szCs w:val="20"/>
    </w:rPr>
  </w:style>
  <w:style w:type="paragraph" w:styleId="CommentSubject">
    <w:name w:val="annotation subject"/>
    <w:basedOn w:val="CommentText"/>
    <w:next w:val="CommentText"/>
    <w:link w:val="CommentSubjectChar1"/>
    <w:uiPriority w:val="99"/>
    <w:semiHidden/>
    <w:unhideWhenUsed/>
    <w:rsid w:val="00CE602A"/>
    <w:rPr>
      <w:b/>
      <w:bCs/>
    </w:rPr>
  </w:style>
  <w:style w:type="character" w:customStyle="1" w:styleId="CommentSubjectChar1">
    <w:name w:val="Comment Subject Char1"/>
    <w:basedOn w:val="CommentTextChar1"/>
    <w:link w:val="CommentSubject"/>
    <w:uiPriority w:val="99"/>
    <w:semiHidden/>
    <w:rsid w:val="00CE602A"/>
    <w:rPr>
      <w:b/>
      <w:bCs/>
      <w:position w:val="-1"/>
      <w:sz w:val="20"/>
      <w:szCs w:val="20"/>
    </w:rPr>
  </w:style>
  <w:style w:type="character" w:styleId="UnresolvedMention">
    <w:name w:val="Unresolved Mention"/>
    <w:basedOn w:val="DefaultParagraphFont"/>
    <w:uiPriority w:val="99"/>
    <w:semiHidden/>
    <w:unhideWhenUsed/>
    <w:rsid w:val="000F0A4A"/>
    <w:rPr>
      <w:color w:val="605E5C"/>
      <w:shd w:val="clear" w:color="auto" w:fill="E1DFDD"/>
    </w:rPr>
  </w:style>
  <w:style w:type="paragraph" w:styleId="Revision">
    <w:name w:val="Revision"/>
    <w:hidden/>
    <w:uiPriority w:val="99"/>
    <w:semiHidden/>
    <w:rsid w:val="00025938"/>
    <w:pPr>
      <w:spacing w:after="0" w:line="240" w:lineRule="auto"/>
    </w:pPr>
    <w:rPr>
      <w:position w:val="-1"/>
    </w:rPr>
  </w:style>
  <w:style w:type="character" w:styleId="LineNumber">
    <w:name w:val="line number"/>
    <w:basedOn w:val="DefaultParagraphFont"/>
    <w:uiPriority w:val="99"/>
    <w:semiHidden/>
    <w:unhideWhenUsed/>
    <w:rsid w:val="00326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eader" Target="header2.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hyperlink" Target="http://ejournal2.undip.ac.id/index.php/jbtr/about/submission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ejournal.undip.ac.id/index.php/medianers/about/submissions%23author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VYcf3reh+vdcAtDNCoonY+MZZw==">CgMxLjA4AHIhMVR5bUNtUlBIUmIzN2V4aUZnMC1pMVU1UG12SVFSZWdt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443AE95-5DB2-4D17-8444-27AA7CC74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14</Pages>
  <Words>18868</Words>
  <Characters>107549</Characters>
  <Application>Microsoft Office Word</Application>
  <DocSecurity>0</DocSecurity>
  <Lines>896</Lines>
  <Paragraphs>252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126165</CharactersWithSpaces>
  <SharedDoc>false</SharedDoc>
  <HLinks>
    <vt:vector size="12" baseType="variant">
      <vt:variant>
        <vt:i4>23</vt:i4>
      </vt:variant>
      <vt:variant>
        <vt:i4>3</vt:i4>
      </vt:variant>
      <vt:variant>
        <vt:i4>0</vt:i4>
      </vt:variant>
      <vt:variant>
        <vt:i4>5</vt:i4>
      </vt:variant>
      <vt:variant>
        <vt:lpwstr>http://ejournal.undip.ac.id/index.php/medianers/about/submissions%23authorGuidelines</vt:lpwstr>
      </vt:variant>
      <vt:variant>
        <vt:lpwstr/>
      </vt:variant>
      <vt:variant>
        <vt:i4>5570631</vt:i4>
      </vt:variant>
      <vt:variant>
        <vt:i4>0</vt:i4>
      </vt:variant>
      <vt:variant>
        <vt:i4>0</vt:i4>
      </vt:variant>
      <vt:variant>
        <vt:i4>5</vt:i4>
      </vt:variant>
      <vt:variant>
        <vt:lpwstr>http://ejournal2.undip.ac.id/index.php/jbtr/about/submissions</vt:lpwstr>
      </vt:variant>
      <vt:variant>
        <vt:lpwstr>authorGuidelines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Keperawatan Medikal Bedah</dc:creator>
  <cp:keywords/>
  <cp:lastModifiedBy>Tri Indah Winarni</cp:lastModifiedBy>
  <cp:revision>7</cp:revision>
  <dcterms:created xsi:type="dcterms:W3CDTF">2025-11-05T18:23:00Z</dcterms:created>
  <dcterms:modified xsi:type="dcterms:W3CDTF">2025-11-11T23:17:00Z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niken.dyan@gmail.com@www.mendeley.com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afbcfde7-8003-485e-88aa-a16d3523473a</vt:lpwstr>
  </property>
  <property fmtid="{D5CDD505-2E9C-101B-9397-08002B2CF9AE}" pid="26" name="ZOTERO_PREF_1">
    <vt:lpwstr>&lt;data data-version="3" zotero-version="7.0.24"&gt;&lt;session id="o9onmwVT"/&gt;&lt;style id="http://www.zotero.org/styles/american-medical-association" hasBibliography="1" bibliographyStyleHasBeenSet="1"/&gt;&lt;prefs&gt;&lt;pref name="fieldType" value="Field"/&gt;&lt;pref name="auto</vt:lpwstr>
  </property>
  <property fmtid="{D5CDD505-2E9C-101B-9397-08002B2CF9AE}" pid="27" name="ZOTERO_PREF_2">
    <vt:lpwstr>maticJournalAbbreviations" value="true"/&gt;&lt;/prefs&gt;&lt;/data&gt;</vt:lpwstr>
  </property>
</Properties>
</file>