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F7E7" w14:textId="7897FC6C" w:rsidR="00573E5B" w:rsidRDefault="00573E5B" w:rsidP="00573E5B">
      <w:pPr>
        <w:pStyle w:val="Caption"/>
        <w:keepNext/>
        <w:spacing w:after="0"/>
        <w:ind w:left="-2" w:firstLine="0"/>
        <w:jc w:val="center"/>
        <w:rPr>
          <w:lang w:val="en-US"/>
        </w:rPr>
      </w:pPr>
      <w:r w:rsidRPr="0042428D">
        <w:rPr>
          <w:b/>
          <w:bCs w:val="0"/>
          <w:lang w:val="en-US"/>
        </w:rPr>
        <w:t>Table 1.</w:t>
      </w:r>
      <w:r>
        <w:rPr>
          <w:lang w:val="en-US"/>
        </w:rPr>
        <w:t xml:space="preserve"> </w:t>
      </w:r>
      <w:r w:rsidRPr="0042428D">
        <w:rPr>
          <w:lang w:val="en-US"/>
        </w:rPr>
        <w:t xml:space="preserve">The genotype distribution of MTHFR A1298C and C677T </w:t>
      </w:r>
    </w:p>
    <w:p w14:paraId="014A268C" w14:textId="77777777" w:rsidR="00573E5B" w:rsidRDefault="00573E5B" w:rsidP="00573E5B">
      <w:pPr>
        <w:pStyle w:val="Caption"/>
        <w:keepNext/>
        <w:spacing w:after="0"/>
        <w:ind w:left="-2" w:firstLine="0"/>
        <w:jc w:val="center"/>
      </w:pPr>
      <w:r w:rsidRPr="0042428D">
        <w:rPr>
          <w:lang w:val="en-US"/>
        </w:rPr>
        <w:t>in the case and control groups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3900"/>
        <w:gridCol w:w="2840"/>
        <w:gridCol w:w="2300"/>
      </w:tblGrid>
      <w:tr w:rsidR="00573E5B" w:rsidRPr="0042428D" w14:paraId="3AE3E815" w14:textId="77777777" w:rsidTr="00A3467D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4B5833B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b/>
                <w:bCs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b/>
                <w:bCs/>
                <w:color w:val="000000"/>
                <w:position w:val="0"/>
              </w:rPr>
              <w:t>Genotype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783505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b/>
                <w:bCs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b/>
                <w:bCs/>
                <w:color w:val="000000"/>
                <w:position w:val="0"/>
              </w:rPr>
              <w:t>Case Group n (%)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96C3D7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b/>
                <w:bCs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b/>
                <w:bCs/>
                <w:color w:val="000000"/>
                <w:position w:val="0"/>
              </w:rPr>
              <w:t>Control Group n (%)</w:t>
            </w:r>
          </w:p>
        </w:tc>
      </w:tr>
      <w:tr w:rsidR="00573E5B" w:rsidRPr="0042428D" w14:paraId="19486279" w14:textId="77777777" w:rsidTr="00A3467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4F12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MTHFR A1298C - AA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5B2D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39 (55.71%)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ADED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41 (58.57%)</w:t>
            </w:r>
          </w:p>
        </w:tc>
      </w:tr>
      <w:tr w:rsidR="00573E5B" w:rsidRPr="0042428D" w14:paraId="336C8219" w14:textId="77777777" w:rsidTr="00A3467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7BBA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MTHFR A1298C - Polymorphism (AC, CC)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31C9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31 (44.29%)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D418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29 (41.43%)</w:t>
            </w:r>
          </w:p>
        </w:tc>
      </w:tr>
      <w:tr w:rsidR="00573E5B" w:rsidRPr="0042428D" w14:paraId="3DB63145" w14:textId="77777777" w:rsidTr="00A3467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C9B4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MTHFR C677T - CC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E950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43 (61.43%)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839E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50 (71.43%)</w:t>
            </w:r>
          </w:p>
        </w:tc>
      </w:tr>
      <w:tr w:rsidR="00573E5B" w:rsidRPr="0042428D" w14:paraId="7D2F896C" w14:textId="77777777" w:rsidTr="00A3467D">
        <w:trPr>
          <w:trHeight w:val="300"/>
        </w:trPr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CFB10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MTHFR C677T - Polymorphism (CT, TT)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8843DE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27 (38.57%)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0782F" w14:textId="77777777" w:rsidR="00573E5B" w:rsidRPr="0042428D" w:rsidRDefault="00573E5B" w:rsidP="00A3467D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Garamond" w:eastAsia="Times New Roman" w:hAnsi="Garamond"/>
                <w:color w:val="000000"/>
                <w:position w:val="0"/>
              </w:rPr>
            </w:pPr>
            <w:r w:rsidRPr="0042428D">
              <w:rPr>
                <w:rFonts w:ascii="Garamond" w:eastAsia="Times New Roman" w:hAnsi="Garamond"/>
                <w:color w:val="000000"/>
                <w:position w:val="0"/>
              </w:rPr>
              <w:t>20 (28.57%)</w:t>
            </w:r>
          </w:p>
        </w:tc>
      </w:tr>
    </w:tbl>
    <w:p w14:paraId="23B7F916" w14:textId="77777777" w:rsidR="00573E5B" w:rsidRDefault="00573E5B" w:rsidP="00573E5B">
      <w:pPr>
        <w:pStyle w:val="Heading1"/>
        <w:spacing w:before="280" w:after="280"/>
        <w:ind w:leftChars="0" w:left="0" w:firstLineChars="0" w:firstLine="0"/>
        <w:rPr>
          <w:sz w:val="24"/>
          <w:szCs w:val="24"/>
        </w:rPr>
      </w:pPr>
    </w:p>
    <w:p w14:paraId="63DB766A" w14:textId="77777777" w:rsidR="00573E5B" w:rsidRPr="005A62B6" w:rsidRDefault="00573E5B" w:rsidP="00573E5B">
      <w:pPr>
        <w:pStyle w:val="Caption"/>
        <w:keepNext/>
        <w:spacing w:after="0"/>
        <w:ind w:hanging="2"/>
        <w:jc w:val="center"/>
        <w:rPr>
          <w:lang w:val="en-ID"/>
        </w:rPr>
      </w:pPr>
      <w:r w:rsidRPr="005A62B6">
        <w:rPr>
          <w:b/>
          <w:bCs w:val="0"/>
          <w:lang w:val="en-ID"/>
        </w:rPr>
        <w:t>Table 2.</w:t>
      </w:r>
      <w:r w:rsidRPr="005A62B6">
        <w:rPr>
          <w:lang w:val="en-ID"/>
        </w:rPr>
        <w:t xml:space="preserve"> Statistical analysis of </w:t>
      </w:r>
      <w:proofErr w:type="spellStart"/>
      <w:r w:rsidRPr="005A62B6">
        <w:rPr>
          <w:lang w:val="en-ID"/>
        </w:rPr>
        <w:t>GPx</w:t>
      </w:r>
      <w:proofErr w:type="spellEnd"/>
      <w:r w:rsidRPr="005A62B6">
        <w:rPr>
          <w:lang w:val="en-ID"/>
        </w:rPr>
        <w:t xml:space="preserve">, </w:t>
      </w:r>
      <w:proofErr w:type="spellStart"/>
      <w:r w:rsidRPr="005A62B6">
        <w:rPr>
          <w:lang w:val="en-ID"/>
        </w:rPr>
        <w:t>sEng</w:t>
      </w:r>
      <w:proofErr w:type="spellEnd"/>
      <w:r w:rsidRPr="005A62B6">
        <w:rPr>
          <w:lang w:val="en-ID"/>
        </w:rPr>
        <w:t xml:space="preserve">, and MTHFR Gene Polymorphisms </w:t>
      </w:r>
    </w:p>
    <w:p w14:paraId="755AADE6" w14:textId="77777777" w:rsidR="00573E5B" w:rsidRDefault="00573E5B" w:rsidP="00573E5B">
      <w:pPr>
        <w:pStyle w:val="Caption"/>
        <w:keepNext/>
        <w:spacing w:after="0"/>
        <w:ind w:hanging="2"/>
        <w:jc w:val="center"/>
        <w:rPr>
          <w:lang w:val="da-DK"/>
        </w:rPr>
      </w:pPr>
      <w:r w:rsidRPr="00A31900">
        <w:rPr>
          <w:lang w:val="da-DK"/>
        </w:rPr>
        <w:t>in Case</w:t>
      </w:r>
      <w:r>
        <w:rPr>
          <w:lang w:val="da-DK"/>
        </w:rPr>
        <w:t xml:space="preserve"> </w:t>
      </w:r>
      <w:r w:rsidRPr="00A31900">
        <w:rPr>
          <w:lang w:val="da-DK"/>
        </w:rPr>
        <w:t>and</w:t>
      </w:r>
      <w:r>
        <w:rPr>
          <w:lang w:val="da-DK"/>
        </w:rPr>
        <w:t xml:space="preserve"> </w:t>
      </w:r>
      <w:r w:rsidRPr="00A31900">
        <w:rPr>
          <w:lang w:val="da-DK"/>
        </w:rPr>
        <w:t>Control Groups</w:t>
      </w:r>
    </w:p>
    <w:tbl>
      <w:tblPr>
        <w:tblStyle w:val="TableGrid1"/>
        <w:tblW w:w="9586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2684"/>
        <w:gridCol w:w="2127"/>
        <w:gridCol w:w="2216"/>
        <w:gridCol w:w="1685"/>
      </w:tblGrid>
      <w:tr w:rsidR="00573E5B" w:rsidRPr="00B4587B" w14:paraId="52DDB8BE" w14:textId="77777777" w:rsidTr="00A3467D">
        <w:tc>
          <w:tcPr>
            <w:tcW w:w="846" w:type="dxa"/>
            <w:vAlign w:val="center"/>
          </w:tcPr>
          <w:p w14:paraId="32CE584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No</w:t>
            </w:r>
          </w:p>
        </w:tc>
        <w:tc>
          <w:tcPr>
            <w:tcW w:w="2691" w:type="dxa"/>
            <w:vAlign w:val="center"/>
          </w:tcPr>
          <w:p w14:paraId="311C674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Variable</w:t>
            </w:r>
          </w:p>
        </w:tc>
        <w:tc>
          <w:tcPr>
            <w:tcW w:w="2133" w:type="dxa"/>
            <w:vAlign w:val="center"/>
          </w:tcPr>
          <w:p w14:paraId="29B36C2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Case</w:t>
            </w:r>
          </w:p>
          <w:p w14:paraId="63481D8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(n=70)</w:t>
            </w:r>
          </w:p>
        </w:tc>
        <w:tc>
          <w:tcPr>
            <w:tcW w:w="2224" w:type="dxa"/>
            <w:vAlign w:val="center"/>
          </w:tcPr>
          <w:p w14:paraId="60A2BC2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Control</w:t>
            </w:r>
          </w:p>
          <w:p w14:paraId="5E1A2A9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(n=70)</w:t>
            </w:r>
          </w:p>
        </w:tc>
        <w:tc>
          <w:tcPr>
            <w:tcW w:w="1692" w:type="dxa"/>
          </w:tcPr>
          <w:p w14:paraId="2CE1DD8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i/>
                <w:i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i/>
                <w:iCs/>
                <w:position w:val="0"/>
              </w:rPr>
              <w:t>p values</w:t>
            </w:r>
          </w:p>
          <w:p w14:paraId="6FFCF7C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i/>
                <w:iCs/>
                <w:position w:val="0"/>
              </w:rPr>
            </w:pPr>
          </w:p>
          <w:p w14:paraId="56BAAF2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</w:tr>
      <w:tr w:rsidR="00573E5B" w:rsidRPr="00B4587B" w14:paraId="2D6CB89C" w14:textId="77777777" w:rsidTr="00A3467D">
        <w:tc>
          <w:tcPr>
            <w:tcW w:w="846" w:type="dxa"/>
          </w:tcPr>
          <w:p w14:paraId="1F05218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</w:t>
            </w:r>
          </w:p>
        </w:tc>
        <w:tc>
          <w:tcPr>
            <w:tcW w:w="2691" w:type="dxa"/>
            <w:vAlign w:val="center"/>
          </w:tcPr>
          <w:p w14:paraId="22E2E220" w14:textId="77777777" w:rsidR="00573E5B" w:rsidRPr="00B4587B" w:rsidRDefault="00573E5B" w:rsidP="00A3467D">
            <w:pPr>
              <w:suppressAutoHyphens w:val="0"/>
              <w:ind w:leftChars="0" w:left="116" w:firstLineChars="0" w:hanging="16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        Glutathione peroxidase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GPx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7509A90F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 xml:space="preserve">Mean </w:t>
            </w:r>
            <w:r w:rsidRPr="00B4587B">
              <w:rPr>
                <w:kern w:val="2"/>
                <w:position w:val="0"/>
                <w:u w:val="single"/>
                <w:lang w:eastAsia="zh-CN"/>
              </w:rPr>
              <w:t>+</w:t>
            </w:r>
            <w:r w:rsidRPr="00B4587B">
              <w:rPr>
                <w:kern w:val="2"/>
                <w:position w:val="0"/>
                <w:lang w:eastAsia="zh-CN"/>
              </w:rPr>
              <w:t xml:space="preserve"> SD</w:t>
            </w:r>
          </w:p>
          <w:p w14:paraId="0EA79093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Median (min - max)</w:t>
            </w:r>
          </w:p>
        </w:tc>
        <w:tc>
          <w:tcPr>
            <w:tcW w:w="2133" w:type="dxa"/>
            <w:vAlign w:val="center"/>
          </w:tcPr>
          <w:p w14:paraId="4D620F1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5E9242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  <w:u w:val="single"/>
              </w:rPr>
            </w:pPr>
            <w:r w:rsidRPr="00B4587B">
              <w:rPr>
                <w:rFonts w:ascii="Garamond" w:hAnsi="Garamond"/>
                <w:position w:val="0"/>
              </w:rPr>
              <w:t>87,5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>47,55</w:t>
            </w:r>
          </w:p>
          <w:p w14:paraId="1C1D5E6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76,45(46,7-309,6)</w:t>
            </w:r>
          </w:p>
        </w:tc>
        <w:tc>
          <w:tcPr>
            <w:tcW w:w="2224" w:type="dxa"/>
            <w:vAlign w:val="center"/>
          </w:tcPr>
          <w:p w14:paraId="2DBBC55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178ED40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82,2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>30,7</w:t>
            </w:r>
          </w:p>
          <w:p w14:paraId="5D69E611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78,45(8,5-190,6)</w:t>
            </w:r>
          </w:p>
        </w:tc>
        <w:tc>
          <w:tcPr>
            <w:tcW w:w="1692" w:type="dxa"/>
          </w:tcPr>
          <w:p w14:paraId="42ABF0D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5944548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0,782</w:t>
            </w:r>
          </w:p>
        </w:tc>
      </w:tr>
      <w:tr w:rsidR="00573E5B" w:rsidRPr="00B4587B" w14:paraId="30DAC8D7" w14:textId="77777777" w:rsidTr="00A3467D">
        <w:tc>
          <w:tcPr>
            <w:tcW w:w="846" w:type="dxa"/>
          </w:tcPr>
          <w:p w14:paraId="3EF2F72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2</w:t>
            </w:r>
          </w:p>
        </w:tc>
        <w:tc>
          <w:tcPr>
            <w:tcW w:w="2691" w:type="dxa"/>
            <w:vAlign w:val="center"/>
          </w:tcPr>
          <w:p w14:paraId="0A00CC7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Soluble endoglin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sEng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5BB0D2A3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 xml:space="preserve">Mean </w:t>
            </w:r>
            <w:r w:rsidRPr="00B4587B">
              <w:rPr>
                <w:kern w:val="2"/>
                <w:position w:val="0"/>
                <w:u w:val="single"/>
                <w:lang w:eastAsia="zh-CN"/>
              </w:rPr>
              <w:t>+</w:t>
            </w:r>
            <w:r w:rsidRPr="00B4587B">
              <w:rPr>
                <w:kern w:val="2"/>
                <w:position w:val="0"/>
                <w:lang w:eastAsia="zh-CN"/>
              </w:rPr>
              <w:t xml:space="preserve"> SD</w:t>
            </w:r>
          </w:p>
          <w:p w14:paraId="298D9627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Median (min - max)</w:t>
            </w:r>
          </w:p>
        </w:tc>
        <w:tc>
          <w:tcPr>
            <w:tcW w:w="2133" w:type="dxa"/>
            <w:vAlign w:val="center"/>
          </w:tcPr>
          <w:p w14:paraId="37C60EF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438E76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 xml:space="preserve">11,0 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 xml:space="preserve"> 5,22</w:t>
            </w:r>
          </w:p>
          <w:p w14:paraId="56134EA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10,70 (2,5-23,9)</w:t>
            </w:r>
          </w:p>
        </w:tc>
        <w:tc>
          <w:tcPr>
            <w:tcW w:w="2224" w:type="dxa"/>
            <w:vAlign w:val="center"/>
          </w:tcPr>
          <w:p w14:paraId="3DBD923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2C9F4C9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8,1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 xml:space="preserve"> 5,31</w:t>
            </w:r>
          </w:p>
          <w:p w14:paraId="764A9D1D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 (1,3-25)</w:t>
            </w:r>
          </w:p>
        </w:tc>
        <w:tc>
          <w:tcPr>
            <w:tcW w:w="1692" w:type="dxa"/>
          </w:tcPr>
          <w:p w14:paraId="277A5454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1B01D87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0,001</w:t>
            </w:r>
          </w:p>
        </w:tc>
      </w:tr>
      <w:tr w:rsidR="00573E5B" w:rsidRPr="00B4587B" w14:paraId="5BDFCB9F" w14:textId="77777777" w:rsidTr="00A3467D">
        <w:tc>
          <w:tcPr>
            <w:tcW w:w="846" w:type="dxa"/>
          </w:tcPr>
          <w:p w14:paraId="5457B7F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3</w:t>
            </w:r>
          </w:p>
        </w:tc>
        <w:tc>
          <w:tcPr>
            <w:tcW w:w="2691" w:type="dxa"/>
            <w:vAlign w:val="center"/>
          </w:tcPr>
          <w:p w14:paraId="443A8DF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MTHFR C677T Gene</w:t>
            </w:r>
          </w:p>
          <w:p w14:paraId="156474BA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proofErr w:type="spellStart"/>
            <w:r w:rsidRPr="00B4587B">
              <w:rPr>
                <w:kern w:val="2"/>
                <w:position w:val="0"/>
                <w:lang w:eastAsia="zh-CN"/>
              </w:rPr>
              <w:t>Polimorfisme</w:t>
            </w:r>
            <w:proofErr w:type="spellEnd"/>
            <w:r w:rsidRPr="00B4587B">
              <w:rPr>
                <w:kern w:val="2"/>
                <w:position w:val="0"/>
                <w:lang w:eastAsia="zh-CN"/>
              </w:rPr>
              <w:t xml:space="preserve"> (</w:t>
            </w:r>
            <w:proofErr w:type="gramStart"/>
            <w:r w:rsidRPr="00B4587B">
              <w:rPr>
                <w:kern w:val="2"/>
                <w:position w:val="0"/>
                <w:lang w:eastAsia="zh-CN"/>
              </w:rPr>
              <w:t>CT,TT</w:t>
            </w:r>
            <w:proofErr w:type="gramEnd"/>
            <w:r w:rsidRPr="00B4587B">
              <w:rPr>
                <w:kern w:val="2"/>
                <w:position w:val="0"/>
                <w:lang w:eastAsia="zh-CN"/>
              </w:rPr>
              <w:t>)</w:t>
            </w:r>
          </w:p>
          <w:p w14:paraId="49DEC80E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i/>
                <w:iCs/>
                <w:kern w:val="2"/>
                <w:position w:val="0"/>
                <w:lang w:eastAsia="zh-CN"/>
              </w:rPr>
            </w:pPr>
            <w:r w:rsidRPr="00B4587B">
              <w:rPr>
                <w:i/>
                <w:iCs/>
                <w:kern w:val="2"/>
                <w:position w:val="0"/>
                <w:lang w:eastAsia="zh-CN"/>
              </w:rPr>
              <w:t xml:space="preserve">Wildtype </w:t>
            </w:r>
            <w:r w:rsidRPr="00B4587B">
              <w:rPr>
                <w:kern w:val="2"/>
                <w:position w:val="0"/>
                <w:lang w:eastAsia="zh-CN"/>
              </w:rPr>
              <w:t>(CC)</w:t>
            </w:r>
          </w:p>
        </w:tc>
        <w:tc>
          <w:tcPr>
            <w:tcW w:w="2133" w:type="dxa"/>
            <w:vAlign w:val="center"/>
          </w:tcPr>
          <w:p w14:paraId="02AD9BA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593A067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27 (38,57%)</w:t>
            </w:r>
          </w:p>
          <w:p w14:paraId="22174CD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43 (61,43%)</w:t>
            </w:r>
          </w:p>
        </w:tc>
        <w:tc>
          <w:tcPr>
            <w:tcW w:w="2224" w:type="dxa"/>
            <w:vAlign w:val="center"/>
          </w:tcPr>
          <w:p w14:paraId="72ECA34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7B40072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20 (28,57%)</w:t>
            </w:r>
          </w:p>
          <w:p w14:paraId="626007E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50 (71,43%)</w:t>
            </w:r>
          </w:p>
        </w:tc>
        <w:tc>
          <w:tcPr>
            <w:tcW w:w="1692" w:type="dxa"/>
          </w:tcPr>
          <w:p w14:paraId="191C694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71FEED3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0,283</w:t>
            </w:r>
          </w:p>
        </w:tc>
      </w:tr>
      <w:tr w:rsidR="00573E5B" w:rsidRPr="00B4587B" w14:paraId="6126CF19" w14:textId="77777777" w:rsidTr="00A3467D">
        <w:tc>
          <w:tcPr>
            <w:tcW w:w="846" w:type="dxa"/>
          </w:tcPr>
          <w:p w14:paraId="33936ED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4</w:t>
            </w:r>
          </w:p>
        </w:tc>
        <w:tc>
          <w:tcPr>
            <w:tcW w:w="2691" w:type="dxa"/>
            <w:vAlign w:val="center"/>
          </w:tcPr>
          <w:p w14:paraId="3A105DBD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MTHFR A1298C Gene</w:t>
            </w:r>
          </w:p>
          <w:p w14:paraId="20E8EC83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proofErr w:type="spellStart"/>
            <w:r w:rsidRPr="00B4587B">
              <w:rPr>
                <w:kern w:val="2"/>
                <w:position w:val="0"/>
                <w:lang w:eastAsia="zh-CN"/>
              </w:rPr>
              <w:t>Polimorfisme</w:t>
            </w:r>
            <w:proofErr w:type="spellEnd"/>
            <w:r w:rsidRPr="00B4587B">
              <w:rPr>
                <w:kern w:val="2"/>
                <w:position w:val="0"/>
                <w:lang w:eastAsia="zh-CN"/>
              </w:rPr>
              <w:t xml:space="preserve"> (</w:t>
            </w:r>
            <w:proofErr w:type="gramStart"/>
            <w:r w:rsidRPr="00B4587B">
              <w:rPr>
                <w:kern w:val="2"/>
                <w:position w:val="0"/>
                <w:lang w:eastAsia="zh-CN"/>
              </w:rPr>
              <w:t>AC,CC</w:t>
            </w:r>
            <w:proofErr w:type="gramEnd"/>
            <w:r w:rsidRPr="00B4587B">
              <w:rPr>
                <w:kern w:val="2"/>
                <w:position w:val="0"/>
                <w:lang w:eastAsia="zh-CN"/>
              </w:rPr>
              <w:t>)</w:t>
            </w:r>
          </w:p>
          <w:p w14:paraId="22C610B1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i/>
                <w:iCs/>
                <w:kern w:val="2"/>
                <w:position w:val="0"/>
                <w:lang w:eastAsia="zh-CN"/>
              </w:rPr>
              <w:t xml:space="preserve">Wildtype </w:t>
            </w:r>
            <w:r w:rsidRPr="00B4587B">
              <w:rPr>
                <w:kern w:val="2"/>
                <w:position w:val="0"/>
                <w:lang w:eastAsia="zh-CN"/>
              </w:rPr>
              <w:t>(AA)</w:t>
            </w:r>
          </w:p>
        </w:tc>
        <w:tc>
          <w:tcPr>
            <w:tcW w:w="2133" w:type="dxa"/>
            <w:vAlign w:val="center"/>
          </w:tcPr>
          <w:p w14:paraId="237B2B7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7406EC5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31 (44,29%)</w:t>
            </w:r>
          </w:p>
          <w:p w14:paraId="0DE647E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39 (55,71%)</w:t>
            </w:r>
          </w:p>
        </w:tc>
        <w:tc>
          <w:tcPr>
            <w:tcW w:w="2224" w:type="dxa"/>
            <w:vAlign w:val="center"/>
          </w:tcPr>
          <w:p w14:paraId="5661DFB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03D0EF3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29 (41,43%)</w:t>
            </w:r>
          </w:p>
          <w:p w14:paraId="0175C22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41 (58,57%)</w:t>
            </w:r>
          </w:p>
        </w:tc>
        <w:tc>
          <w:tcPr>
            <w:tcW w:w="1692" w:type="dxa"/>
          </w:tcPr>
          <w:p w14:paraId="1DA5723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6F1A5B2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0,864</w:t>
            </w:r>
          </w:p>
        </w:tc>
      </w:tr>
    </w:tbl>
    <w:p w14:paraId="28E3ED0B" w14:textId="77777777" w:rsidR="00573E5B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</w:pPr>
      <w:bookmarkStart w:id="0" w:name="_Toc154872507"/>
    </w:p>
    <w:p w14:paraId="4B09753E" w14:textId="77777777" w:rsidR="00573E5B" w:rsidRPr="005A62B6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</w:pPr>
      <w:r w:rsidRPr="00B4587B"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  <w:t>Tabl</w:t>
      </w:r>
      <w:r w:rsidRPr="00B4587B">
        <w:rPr>
          <w:rFonts w:ascii="Times New Roman" w:hAnsi="Times New Roman" w:cs="Times New Roman"/>
          <w:b/>
          <w:positio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position w:val="0"/>
          <w:sz w:val="24"/>
          <w:szCs w:val="24"/>
        </w:rPr>
        <w:t>3</w:t>
      </w:r>
      <w:r w:rsidRPr="005A62B6">
        <w:rPr>
          <w:rFonts w:ascii="Times New Roman" w:hAnsi="Times New Roman" w:cs="Times New Roman"/>
          <w:b/>
          <w:position w:val="0"/>
          <w:sz w:val="24"/>
          <w:szCs w:val="24"/>
          <w:lang w:val="en-ID"/>
        </w:rPr>
        <w:t>.</w:t>
      </w:r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Association analysis between </w:t>
      </w:r>
      <w:proofErr w:type="spellStart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>GPx</w:t>
      </w:r>
      <w:proofErr w:type="spellEnd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and </w:t>
      </w:r>
      <w:proofErr w:type="spellStart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>sEng</w:t>
      </w:r>
      <w:proofErr w:type="spellEnd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levels with </w:t>
      </w:r>
    </w:p>
    <w:p w14:paraId="44E3B8D8" w14:textId="77777777" w:rsidR="00573E5B" w:rsidRPr="005A62B6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</w:pPr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>MTHFR A1298C gene polymorphism in preeclampsia</w:t>
      </w:r>
      <w:bookmarkEnd w:id="0"/>
    </w:p>
    <w:p w14:paraId="6F3710D4" w14:textId="77777777" w:rsidR="00573E5B" w:rsidRPr="005A62B6" w:rsidRDefault="00573E5B" w:rsidP="00573E5B">
      <w:pPr>
        <w:suppressAutoHyphens w:val="0"/>
        <w:spacing w:after="0" w:line="240" w:lineRule="auto"/>
        <w:ind w:leftChars="0" w:left="0" w:firstLineChars="0" w:firstLine="357"/>
        <w:jc w:val="both"/>
        <w:textDirection w:val="lrTb"/>
        <w:textAlignment w:val="auto"/>
        <w:outlineLvl w:val="9"/>
        <w:rPr>
          <w:rFonts w:ascii="Garamond" w:eastAsia="SimSun" w:hAnsi="Garamond" w:cs="Times New Roman"/>
          <w:position w:val="0"/>
          <w:sz w:val="24"/>
          <w:szCs w:val="24"/>
          <w:lang w:val="en-ID"/>
        </w:rPr>
      </w:pPr>
    </w:p>
    <w:tbl>
      <w:tblPr>
        <w:tblStyle w:val="TableGrid2"/>
        <w:tblW w:w="8374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2606"/>
        <w:gridCol w:w="1942"/>
        <w:gridCol w:w="1918"/>
        <w:gridCol w:w="1034"/>
      </w:tblGrid>
      <w:tr w:rsidR="00573E5B" w:rsidRPr="00B4587B" w14:paraId="16B0E86A" w14:textId="77777777" w:rsidTr="00A3467D">
        <w:trPr>
          <w:trHeight w:val="467"/>
        </w:trPr>
        <w:tc>
          <w:tcPr>
            <w:tcW w:w="846" w:type="dxa"/>
            <w:vMerge w:val="restart"/>
            <w:vAlign w:val="center"/>
          </w:tcPr>
          <w:p w14:paraId="2E8D977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bookmarkStart w:id="1" w:name="_Hlk154859695"/>
            <w:r w:rsidRPr="00B4587B">
              <w:rPr>
                <w:rFonts w:ascii="Garamond" w:hAnsi="Garamond"/>
                <w:b/>
                <w:bCs/>
                <w:position w:val="0"/>
              </w:rPr>
              <w:t>No</w:t>
            </w:r>
          </w:p>
        </w:tc>
        <w:tc>
          <w:tcPr>
            <w:tcW w:w="2649" w:type="dxa"/>
            <w:vMerge w:val="restart"/>
            <w:vAlign w:val="center"/>
          </w:tcPr>
          <w:p w14:paraId="08F8933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Variable</w:t>
            </w:r>
          </w:p>
        </w:tc>
        <w:tc>
          <w:tcPr>
            <w:tcW w:w="3876" w:type="dxa"/>
            <w:gridSpan w:val="2"/>
            <w:vAlign w:val="center"/>
          </w:tcPr>
          <w:p w14:paraId="4334566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MTHFR A1298C gene</w:t>
            </w:r>
          </w:p>
        </w:tc>
        <w:tc>
          <w:tcPr>
            <w:tcW w:w="1003" w:type="dxa"/>
            <w:vMerge w:val="restart"/>
          </w:tcPr>
          <w:p w14:paraId="49E4B5A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  <w:p w14:paraId="661A36B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i/>
                <w:iCs/>
                <w:position w:val="0"/>
              </w:rPr>
              <w:t>p values</w:t>
            </w:r>
          </w:p>
        </w:tc>
      </w:tr>
      <w:tr w:rsidR="00573E5B" w:rsidRPr="00B4587B" w14:paraId="1C598C9F" w14:textId="77777777" w:rsidTr="00A3467D">
        <w:trPr>
          <w:trHeight w:val="559"/>
        </w:trPr>
        <w:tc>
          <w:tcPr>
            <w:tcW w:w="846" w:type="dxa"/>
            <w:vMerge/>
            <w:vAlign w:val="center"/>
          </w:tcPr>
          <w:p w14:paraId="1BD0E24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  <w:tc>
          <w:tcPr>
            <w:tcW w:w="2649" w:type="dxa"/>
            <w:vMerge/>
            <w:vAlign w:val="center"/>
          </w:tcPr>
          <w:p w14:paraId="3784B6D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  <w:tc>
          <w:tcPr>
            <w:tcW w:w="1941" w:type="dxa"/>
            <w:vAlign w:val="center"/>
          </w:tcPr>
          <w:p w14:paraId="7967777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Polymorphism</w:t>
            </w:r>
          </w:p>
          <w:p w14:paraId="11604D15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</w:t>
            </w:r>
            <w:proofErr w:type="gramStart"/>
            <w:r w:rsidRPr="00B4587B">
              <w:rPr>
                <w:rFonts w:ascii="Garamond" w:hAnsi="Garamond"/>
                <w:b/>
                <w:bCs/>
                <w:position w:val="0"/>
              </w:rPr>
              <w:t>AC,CC</w:t>
            </w:r>
            <w:proofErr w:type="gramEnd"/>
            <w:r w:rsidRPr="00B4587B">
              <w:rPr>
                <w:rFonts w:ascii="Garamond" w:hAnsi="Garamond"/>
                <w:b/>
                <w:bCs/>
                <w:position w:val="0"/>
              </w:rPr>
              <w:t>)</w:t>
            </w:r>
          </w:p>
          <w:p w14:paraId="3679E18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lastRenderedPageBreak/>
              <w:t>n=31</w:t>
            </w:r>
          </w:p>
        </w:tc>
        <w:tc>
          <w:tcPr>
            <w:tcW w:w="1935" w:type="dxa"/>
            <w:vAlign w:val="center"/>
          </w:tcPr>
          <w:p w14:paraId="7CCE4CD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lastRenderedPageBreak/>
              <w:t>Normal</w:t>
            </w:r>
          </w:p>
          <w:p w14:paraId="1166A88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(AA)</w:t>
            </w:r>
          </w:p>
          <w:p w14:paraId="2A5CF7F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lastRenderedPageBreak/>
              <w:t>n=39</w:t>
            </w:r>
          </w:p>
        </w:tc>
        <w:tc>
          <w:tcPr>
            <w:tcW w:w="1003" w:type="dxa"/>
            <w:vMerge/>
          </w:tcPr>
          <w:p w14:paraId="4BA1E1A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</w:tr>
      <w:tr w:rsidR="00573E5B" w:rsidRPr="00B4587B" w14:paraId="081A2DBE" w14:textId="77777777" w:rsidTr="00A3467D">
        <w:tc>
          <w:tcPr>
            <w:tcW w:w="846" w:type="dxa"/>
          </w:tcPr>
          <w:p w14:paraId="32746CE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</w:t>
            </w:r>
          </w:p>
        </w:tc>
        <w:tc>
          <w:tcPr>
            <w:tcW w:w="2649" w:type="dxa"/>
            <w:vAlign w:val="center"/>
          </w:tcPr>
          <w:p w14:paraId="3782BC26" w14:textId="77777777" w:rsidR="00573E5B" w:rsidRPr="00B4587B" w:rsidRDefault="00573E5B" w:rsidP="00A3467D">
            <w:pPr>
              <w:suppressAutoHyphens w:val="0"/>
              <w:ind w:leftChars="0" w:left="116" w:firstLineChars="0" w:hanging="16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Glutathione peroxidase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GPx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2D78DCAA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 xml:space="preserve">Mean </w:t>
            </w:r>
            <w:r w:rsidRPr="00B4587B">
              <w:rPr>
                <w:kern w:val="2"/>
                <w:position w:val="0"/>
                <w:u w:val="single"/>
                <w:lang w:eastAsia="zh-CN"/>
              </w:rPr>
              <w:t>+</w:t>
            </w:r>
            <w:r w:rsidRPr="00B4587B">
              <w:rPr>
                <w:kern w:val="2"/>
                <w:position w:val="0"/>
                <w:lang w:eastAsia="zh-CN"/>
              </w:rPr>
              <w:t xml:space="preserve"> SD</w:t>
            </w:r>
          </w:p>
          <w:p w14:paraId="10B63DF4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Median (min - max)</w:t>
            </w:r>
          </w:p>
        </w:tc>
        <w:tc>
          <w:tcPr>
            <w:tcW w:w="1941" w:type="dxa"/>
            <w:vAlign w:val="center"/>
          </w:tcPr>
          <w:p w14:paraId="3A73651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77FA576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  <w:u w:val="single"/>
              </w:rPr>
            </w:pPr>
            <w:r w:rsidRPr="00B4587B">
              <w:rPr>
                <w:rFonts w:ascii="Garamond" w:hAnsi="Garamond"/>
                <w:position w:val="0"/>
              </w:rPr>
              <w:t>89,8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>55,85</w:t>
            </w:r>
          </w:p>
          <w:p w14:paraId="59F81D2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76,60(46,7-309,6)</w:t>
            </w:r>
          </w:p>
        </w:tc>
        <w:tc>
          <w:tcPr>
            <w:tcW w:w="1935" w:type="dxa"/>
            <w:vAlign w:val="center"/>
          </w:tcPr>
          <w:p w14:paraId="1E8247A4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07033174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85,7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>40,43</w:t>
            </w:r>
          </w:p>
          <w:p w14:paraId="208CDE9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76,30(49,9-286,7)</w:t>
            </w:r>
          </w:p>
        </w:tc>
        <w:tc>
          <w:tcPr>
            <w:tcW w:w="1003" w:type="dxa"/>
          </w:tcPr>
          <w:p w14:paraId="5743600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EC8CAD5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0,887</w:t>
            </w:r>
          </w:p>
        </w:tc>
      </w:tr>
      <w:tr w:rsidR="00573E5B" w:rsidRPr="00B4587B" w14:paraId="6E509641" w14:textId="77777777" w:rsidTr="00A3467D">
        <w:tc>
          <w:tcPr>
            <w:tcW w:w="846" w:type="dxa"/>
          </w:tcPr>
          <w:p w14:paraId="6F5975C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2</w:t>
            </w:r>
          </w:p>
        </w:tc>
        <w:tc>
          <w:tcPr>
            <w:tcW w:w="2649" w:type="dxa"/>
            <w:vAlign w:val="center"/>
          </w:tcPr>
          <w:p w14:paraId="5607AC54" w14:textId="77777777" w:rsidR="00573E5B" w:rsidRPr="00B4587B" w:rsidRDefault="00573E5B" w:rsidP="00A3467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Soluble endoglin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sEng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7F6B0155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 xml:space="preserve">Mean </w:t>
            </w:r>
            <w:r w:rsidRPr="00B4587B">
              <w:rPr>
                <w:kern w:val="2"/>
                <w:position w:val="0"/>
                <w:u w:val="single"/>
                <w:lang w:eastAsia="zh-CN"/>
              </w:rPr>
              <w:t>+</w:t>
            </w:r>
            <w:r w:rsidRPr="00B4587B">
              <w:rPr>
                <w:kern w:val="2"/>
                <w:position w:val="0"/>
                <w:lang w:eastAsia="zh-CN"/>
              </w:rPr>
              <w:t xml:space="preserve"> SD</w:t>
            </w:r>
          </w:p>
          <w:p w14:paraId="471F0C85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Median (min - max)</w:t>
            </w:r>
          </w:p>
        </w:tc>
        <w:tc>
          <w:tcPr>
            <w:tcW w:w="1941" w:type="dxa"/>
            <w:vAlign w:val="center"/>
          </w:tcPr>
          <w:p w14:paraId="0D3020DD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0A6969E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 xml:space="preserve">9,3 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 xml:space="preserve"> 5,11</w:t>
            </w:r>
          </w:p>
          <w:p w14:paraId="0910451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8 (2,5-17,5)</w:t>
            </w:r>
          </w:p>
        </w:tc>
        <w:tc>
          <w:tcPr>
            <w:tcW w:w="1935" w:type="dxa"/>
            <w:vAlign w:val="center"/>
          </w:tcPr>
          <w:p w14:paraId="5037677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7888E71D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12,4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 xml:space="preserve"> 4,95</w:t>
            </w:r>
          </w:p>
          <w:p w14:paraId="37174E2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12 (2,8-23,9)</w:t>
            </w:r>
          </w:p>
        </w:tc>
        <w:tc>
          <w:tcPr>
            <w:tcW w:w="1003" w:type="dxa"/>
          </w:tcPr>
          <w:p w14:paraId="141E098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5F5F83C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0,013</w:t>
            </w:r>
          </w:p>
        </w:tc>
      </w:tr>
      <w:bookmarkEnd w:id="1"/>
    </w:tbl>
    <w:p w14:paraId="24A137B2" w14:textId="77777777" w:rsidR="00573E5B" w:rsidRPr="00B4587B" w:rsidRDefault="00573E5B" w:rsidP="00573E5B">
      <w:pPr>
        <w:suppressAutoHyphens w:val="0"/>
        <w:spacing w:after="0" w:line="48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eastAsia="SimSun" w:hAnsi="Garamond" w:cs="Times New Roman"/>
          <w:position w:val="0"/>
          <w:sz w:val="24"/>
          <w:szCs w:val="24"/>
          <w:highlight w:val="yellow"/>
          <w:lang w:val="en-MY"/>
        </w:rPr>
      </w:pPr>
    </w:p>
    <w:p w14:paraId="57E279B6" w14:textId="77777777" w:rsidR="00573E5B" w:rsidRPr="005A62B6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</w:pPr>
      <w:bookmarkStart w:id="2" w:name="_Toc154872506"/>
      <w:r w:rsidRPr="00B4587B"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  <w:t>Tabl</w:t>
      </w:r>
      <w:r w:rsidRPr="00B4587B">
        <w:rPr>
          <w:rFonts w:ascii="Times New Roman" w:hAnsi="Times New Roman" w:cs="Times New Roman"/>
          <w:b/>
          <w:position w:val="0"/>
          <w:sz w:val="24"/>
          <w:szCs w:val="24"/>
        </w:rPr>
        <w:t>e</w:t>
      </w:r>
      <w:r w:rsidRPr="00B4587B"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position w:val="0"/>
          <w:sz w:val="24"/>
          <w:szCs w:val="24"/>
        </w:rPr>
        <w:t>4</w:t>
      </w:r>
      <w:r w:rsidRPr="005A62B6">
        <w:rPr>
          <w:rFonts w:ascii="Times New Roman" w:hAnsi="Times New Roman" w:cs="Times New Roman"/>
          <w:b/>
          <w:position w:val="0"/>
          <w:sz w:val="24"/>
          <w:szCs w:val="24"/>
          <w:lang w:val="en-ID"/>
        </w:rPr>
        <w:t>.</w:t>
      </w:r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</w:t>
      </w:r>
      <w:bookmarkEnd w:id="2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Association analysis between </w:t>
      </w:r>
      <w:proofErr w:type="spellStart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>GPx</w:t>
      </w:r>
      <w:proofErr w:type="spellEnd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and </w:t>
      </w:r>
      <w:proofErr w:type="spellStart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>sEng</w:t>
      </w:r>
      <w:proofErr w:type="spellEnd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levels with </w:t>
      </w:r>
    </w:p>
    <w:p w14:paraId="266410FD" w14:textId="77777777" w:rsidR="00573E5B" w:rsidRPr="00B4587B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4"/>
          <w:szCs w:val="24"/>
          <w:lang w:val="da-DK"/>
        </w:rPr>
      </w:pPr>
      <w:r w:rsidRPr="00B4587B">
        <w:rPr>
          <w:rFonts w:ascii="Times New Roman" w:hAnsi="Times New Roman" w:cs="Times New Roman"/>
          <w:bCs/>
          <w:position w:val="0"/>
          <w:sz w:val="24"/>
          <w:szCs w:val="24"/>
          <w:lang w:val="da-DK"/>
        </w:rPr>
        <w:t>MTHFR C677T genepolymorphism in preeclampsia</w:t>
      </w:r>
    </w:p>
    <w:p w14:paraId="67EC7387" w14:textId="77777777" w:rsidR="00573E5B" w:rsidRPr="00B4587B" w:rsidRDefault="00573E5B" w:rsidP="00573E5B">
      <w:pPr>
        <w:suppressAutoHyphens w:val="0"/>
        <w:spacing w:after="0" w:line="240" w:lineRule="auto"/>
        <w:ind w:leftChars="0" w:left="0" w:firstLineChars="0" w:firstLine="357"/>
        <w:jc w:val="center"/>
        <w:textDirection w:val="lrTb"/>
        <w:textAlignment w:val="auto"/>
        <w:outlineLvl w:val="9"/>
        <w:rPr>
          <w:rFonts w:ascii="Garamond" w:eastAsia="SimSun" w:hAnsi="Garamond" w:cs="Times New Roman"/>
          <w:position w:val="0"/>
          <w:sz w:val="24"/>
          <w:szCs w:val="24"/>
          <w:lang w:val="da-DK"/>
        </w:rPr>
      </w:pPr>
    </w:p>
    <w:tbl>
      <w:tblPr>
        <w:tblStyle w:val="TableGrid2"/>
        <w:tblW w:w="8391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2638"/>
        <w:gridCol w:w="1942"/>
        <w:gridCol w:w="1903"/>
        <w:gridCol w:w="1034"/>
      </w:tblGrid>
      <w:tr w:rsidR="00573E5B" w:rsidRPr="00B4587B" w14:paraId="1330C387" w14:textId="77777777" w:rsidTr="00A3467D">
        <w:tc>
          <w:tcPr>
            <w:tcW w:w="846" w:type="dxa"/>
            <w:vMerge w:val="restart"/>
            <w:vAlign w:val="center"/>
          </w:tcPr>
          <w:p w14:paraId="7518F60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No</w:t>
            </w:r>
          </w:p>
        </w:tc>
        <w:tc>
          <w:tcPr>
            <w:tcW w:w="2698" w:type="dxa"/>
            <w:vMerge w:val="restart"/>
            <w:vAlign w:val="center"/>
          </w:tcPr>
          <w:p w14:paraId="59A371A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Variable</w:t>
            </w:r>
          </w:p>
        </w:tc>
        <w:tc>
          <w:tcPr>
            <w:tcW w:w="3844" w:type="dxa"/>
            <w:gridSpan w:val="2"/>
            <w:vAlign w:val="center"/>
          </w:tcPr>
          <w:p w14:paraId="6E4B673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MTHFR C677T gene</w:t>
            </w:r>
          </w:p>
        </w:tc>
        <w:tc>
          <w:tcPr>
            <w:tcW w:w="1003" w:type="dxa"/>
            <w:vMerge w:val="restart"/>
          </w:tcPr>
          <w:p w14:paraId="5DC44DA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  <w:p w14:paraId="4EE3C60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i/>
                <w:iCs/>
                <w:position w:val="0"/>
              </w:rPr>
              <w:t>p values</w:t>
            </w:r>
          </w:p>
        </w:tc>
      </w:tr>
      <w:tr w:rsidR="00573E5B" w:rsidRPr="00B4587B" w14:paraId="37989CB1" w14:textId="77777777" w:rsidTr="00A3467D">
        <w:tc>
          <w:tcPr>
            <w:tcW w:w="846" w:type="dxa"/>
            <w:vMerge/>
            <w:vAlign w:val="center"/>
          </w:tcPr>
          <w:p w14:paraId="50C9C25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  <w:tc>
          <w:tcPr>
            <w:tcW w:w="2698" w:type="dxa"/>
            <w:vMerge/>
            <w:vAlign w:val="center"/>
          </w:tcPr>
          <w:p w14:paraId="6732966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  <w:tc>
          <w:tcPr>
            <w:tcW w:w="1919" w:type="dxa"/>
            <w:vAlign w:val="center"/>
          </w:tcPr>
          <w:p w14:paraId="1AC173E5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Polymorphism</w:t>
            </w:r>
          </w:p>
          <w:p w14:paraId="0A87D6A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</w:t>
            </w:r>
            <w:proofErr w:type="gramStart"/>
            <w:r w:rsidRPr="00B4587B">
              <w:rPr>
                <w:rFonts w:ascii="Garamond" w:hAnsi="Garamond"/>
                <w:b/>
                <w:bCs/>
                <w:position w:val="0"/>
              </w:rPr>
              <w:t>CT,TT</w:t>
            </w:r>
            <w:proofErr w:type="gramEnd"/>
            <w:r w:rsidRPr="00B4587B">
              <w:rPr>
                <w:rFonts w:ascii="Garamond" w:hAnsi="Garamond"/>
                <w:b/>
                <w:bCs/>
                <w:position w:val="0"/>
              </w:rPr>
              <w:t>)</w:t>
            </w:r>
          </w:p>
          <w:p w14:paraId="1843BDC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n=27</w:t>
            </w:r>
          </w:p>
        </w:tc>
        <w:tc>
          <w:tcPr>
            <w:tcW w:w="1925" w:type="dxa"/>
            <w:vAlign w:val="center"/>
          </w:tcPr>
          <w:p w14:paraId="79D4830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Normal</w:t>
            </w:r>
          </w:p>
          <w:p w14:paraId="68B4DBB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(CC)</w:t>
            </w:r>
          </w:p>
          <w:p w14:paraId="7D5F0D9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n=43</w:t>
            </w:r>
          </w:p>
        </w:tc>
        <w:tc>
          <w:tcPr>
            <w:tcW w:w="1003" w:type="dxa"/>
            <w:vMerge/>
          </w:tcPr>
          <w:p w14:paraId="429A616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</w:tr>
      <w:tr w:rsidR="00573E5B" w:rsidRPr="00B4587B" w14:paraId="22681CC6" w14:textId="77777777" w:rsidTr="00A3467D">
        <w:tc>
          <w:tcPr>
            <w:tcW w:w="846" w:type="dxa"/>
          </w:tcPr>
          <w:p w14:paraId="74C0031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</w:t>
            </w:r>
          </w:p>
        </w:tc>
        <w:tc>
          <w:tcPr>
            <w:tcW w:w="2698" w:type="dxa"/>
            <w:vAlign w:val="center"/>
          </w:tcPr>
          <w:p w14:paraId="0542C267" w14:textId="77777777" w:rsidR="00573E5B" w:rsidRPr="00B4587B" w:rsidRDefault="00573E5B" w:rsidP="00A3467D">
            <w:pPr>
              <w:suppressAutoHyphens w:val="0"/>
              <w:ind w:leftChars="0" w:left="116" w:firstLineChars="0" w:hanging="16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Glutathione peroxidase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GPx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6D289C71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 xml:space="preserve">Mean </w:t>
            </w:r>
            <w:r w:rsidRPr="00B4587B">
              <w:rPr>
                <w:kern w:val="2"/>
                <w:position w:val="0"/>
                <w:u w:val="single"/>
                <w:lang w:eastAsia="zh-CN"/>
              </w:rPr>
              <w:t>+</w:t>
            </w:r>
            <w:r w:rsidRPr="00B4587B">
              <w:rPr>
                <w:kern w:val="2"/>
                <w:position w:val="0"/>
                <w:lang w:eastAsia="zh-CN"/>
              </w:rPr>
              <w:t xml:space="preserve"> SD</w:t>
            </w:r>
          </w:p>
          <w:p w14:paraId="4A068FA4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Median (min - max)</w:t>
            </w:r>
          </w:p>
        </w:tc>
        <w:tc>
          <w:tcPr>
            <w:tcW w:w="1919" w:type="dxa"/>
            <w:vAlign w:val="center"/>
          </w:tcPr>
          <w:p w14:paraId="78C15254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2B8052D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  <w:u w:val="single"/>
              </w:rPr>
            </w:pPr>
            <w:r w:rsidRPr="00B4587B">
              <w:rPr>
                <w:rFonts w:ascii="Garamond" w:hAnsi="Garamond"/>
                <w:position w:val="0"/>
              </w:rPr>
              <w:t>88,6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>42,61</w:t>
            </w:r>
          </w:p>
          <w:p w14:paraId="74F77C9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82,3(49,9-286,7)</w:t>
            </w:r>
          </w:p>
        </w:tc>
        <w:tc>
          <w:tcPr>
            <w:tcW w:w="1925" w:type="dxa"/>
            <w:vAlign w:val="center"/>
          </w:tcPr>
          <w:p w14:paraId="55738F4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D4DBD9D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86,8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>50,88</w:t>
            </w:r>
          </w:p>
          <w:p w14:paraId="3A7009CD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74,3(46,7-309,6)</w:t>
            </w:r>
          </w:p>
        </w:tc>
        <w:tc>
          <w:tcPr>
            <w:tcW w:w="1003" w:type="dxa"/>
          </w:tcPr>
          <w:p w14:paraId="7734C82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3EF043D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0,136</w:t>
            </w:r>
          </w:p>
        </w:tc>
      </w:tr>
      <w:tr w:rsidR="00573E5B" w:rsidRPr="00B4587B" w14:paraId="269F7D3D" w14:textId="77777777" w:rsidTr="00A3467D">
        <w:tc>
          <w:tcPr>
            <w:tcW w:w="846" w:type="dxa"/>
          </w:tcPr>
          <w:p w14:paraId="0F24A735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2</w:t>
            </w:r>
          </w:p>
        </w:tc>
        <w:tc>
          <w:tcPr>
            <w:tcW w:w="2698" w:type="dxa"/>
            <w:vAlign w:val="center"/>
          </w:tcPr>
          <w:p w14:paraId="0C2F567A" w14:textId="77777777" w:rsidR="00573E5B" w:rsidRPr="00B4587B" w:rsidRDefault="00573E5B" w:rsidP="00A3467D">
            <w:pPr>
              <w:suppressAutoHyphens w:val="0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Soluble endoglin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sEng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0F153EF8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 xml:space="preserve">Mean </w:t>
            </w:r>
            <w:r w:rsidRPr="00B4587B">
              <w:rPr>
                <w:kern w:val="2"/>
                <w:position w:val="0"/>
                <w:u w:val="single"/>
                <w:lang w:eastAsia="zh-CN"/>
              </w:rPr>
              <w:t>+</w:t>
            </w:r>
            <w:r w:rsidRPr="00B4587B">
              <w:rPr>
                <w:kern w:val="2"/>
                <w:position w:val="0"/>
                <w:lang w:eastAsia="zh-CN"/>
              </w:rPr>
              <w:t xml:space="preserve"> SD</w:t>
            </w:r>
          </w:p>
          <w:p w14:paraId="3D1D6FDC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Median (min - max)</w:t>
            </w:r>
          </w:p>
        </w:tc>
        <w:tc>
          <w:tcPr>
            <w:tcW w:w="1919" w:type="dxa"/>
            <w:vAlign w:val="center"/>
          </w:tcPr>
          <w:p w14:paraId="2D591481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D745A93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 xml:space="preserve">11,7 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 xml:space="preserve"> 5,47</w:t>
            </w:r>
          </w:p>
          <w:p w14:paraId="03C39EB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11 (2,8-23,8)</w:t>
            </w:r>
          </w:p>
        </w:tc>
        <w:tc>
          <w:tcPr>
            <w:tcW w:w="1925" w:type="dxa"/>
            <w:vAlign w:val="center"/>
          </w:tcPr>
          <w:p w14:paraId="02AC4F6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276F37D4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10,6</w:t>
            </w:r>
            <w:r w:rsidRPr="00B4587B">
              <w:rPr>
                <w:rFonts w:ascii="Garamond" w:hAnsi="Garamond"/>
                <w:position w:val="0"/>
                <w:u w:val="single"/>
              </w:rPr>
              <w:t>+</w:t>
            </w:r>
            <w:r w:rsidRPr="00B4587B">
              <w:rPr>
                <w:rFonts w:ascii="Garamond" w:hAnsi="Garamond"/>
                <w:position w:val="0"/>
              </w:rPr>
              <w:t xml:space="preserve"> 5,07</w:t>
            </w:r>
          </w:p>
          <w:p w14:paraId="70BD7AD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10,2 (2,5-23,9)</w:t>
            </w:r>
          </w:p>
        </w:tc>
        <w:tc>
          <w:tcPr>
            <w:tcW w:w="1003" w:type="dxa"/>
          </w:tcPr>
          <w:p w14:paraId="301E44C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1441427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0,399</w:t>
            </w:r>
          </w:p>
        </w:tc>
      </w:tr>
    </w:tbl>
    <w:p w14:paraId="4F9454DE" w14:textId="77777777" w:rsidR="00573E5B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</w:pPr>
    </w:p>
    <w:p w14:paraId="08889BF9" w14:textId="77777777" w:rsidR="00573E5B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</w:pPr>
    </w:p>
    <w:p w14:paraId="7BD45254" w14:textId="77777777" w:rsidR="00573E5B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</w:pPr>
    </w:p>
    <w:p w14:paraId="1B676D89" w14:textId="77777777" w:rsidR="00573E5B" w:rsidRPr="005A62B6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</w:pPr>
      <w:r w:rsidRPr="00B4587B">
        <w:rPr>
          <w:rFonts w:ascii="Times New Roman" w:hAnsi="Times New Roman" w:cs="Times New Roman"/>
          <w:b/>
          <w:position w:val="0"/>
          <w:sz w:val="24"/>
          <w:szCs w:val="24"/>
          <w:lang w:val="id-ID"/>
        </w:rPr>
        <w:t>Tabl</w:t>
      </w:r>
      <w:r w:rsidRPr="00B4587B">
        <w:rPr>
          <w:rFonts w:ascii="Times New Roman" w:hAnsi="Times New Roman" w:cs="Times New Roman"/>
          <w:b/>
          <w:position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position w:val="0"/>
          <w:sz w:val="24"/>
          <w:szCs w:val="24"/>
        </w:rPr>
        <w:t>5</w:t>
      </w:r>
      <w:r w:rsidRPr="005A62B6">
        <w:rPr>
          <w:rFonts w:ascii="Times New Roman" w:hAnsi="Times New Roman" w:cs="Times New Roman"/>
          <w:b/>
          <w:position w:val="0"/>
          <w:sz w:val="24"/>
          <w:szCs w:val="24"/>
          <w:lang w:val="en-ID"/>
        </w:rPr>
        <w:t>.</w:t>
      </w:r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Chi-square test of </w:t>
      </w:r>
      <w:proofErr w:type="spellStart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>sEng</w:t>
      </w:r>
      <w:proofErr w:type="spellEnd"/>
      <w:r w:rsidRPr="005A62B6">
        <w:rPr>
          <w:rFonts w:ascii="Times New Roman" w:hAnsi="Times New Roman" w:cs="Times New Roman"/>
          <w:bCs/>
          <w:position w:val="0"/>
          <w:sz w:val="24"/>
          <w:szCs w:val="24"/>
          <w:lang w:val="en-ID"/>
        </w:rPr>
        <w:t xml:space="preserve"> level with MTHFR A1298C </w:t>
      </w:r>
    </w:p>
    <w:p w14:paraId="69E1CE8C" w14:textId="77777777" w:rsidR="00573E5B" w:rsidRPr="00B4587B" w:rsidRDefault="00573E5B" w:rsidP="00573E5B">
      <w:pPr>
        <w:keepNext/>
        <w:suppressAutoHyphens w:val="0"/>
        <w:spacing w:after="0" w:line="240" w:lineRule="auto"/>
        <w:ind w:leftChars="0" w:left="0" w:right="170" w:firstLineChars="0" w:firstLine="0"/>
        <w:jc w:val="center"/>
        <w:textDirection w:val="lrTb"/>
        <w:textAlignment w:val="auto"/>
        <w:outlineLvl w:val="9"/>
        <w:rPr>
          <w:rFonts w:ascii="Times New Roman" w:hAnsi="Times New Roman" w:cs="Times New Roman"/>
          <w:bCs/>
          <w:position w:val="0"/>
          <w:sz w:val="24"/>
          <w:szCs w:val="24"/>
          <w:lang w:val="da-DK"/>
        </w:rPr>
      </w:pPr>
      <w:r w:rsidRPr="00B4587B">
        <w:rPr>
          <w:rFonts w:ascii="Times New Roman" w:hAnsi="Times New Roman" w:cs="Times New Roman"/>
          <w:bCs/>
          <w:position w:val="0"/>
          <w:sz w:val="24"/>
          <w:szCs w:val="24"/>
          <w:lang w:val="da-DK"/>
        </w:rPr>
        <w:t>gene polymorphism in</w:t>
      </w:r>
      <w:r>
        <w:rPr>
          <w:rFonts w:ascii="Times New Roman" w:hAnsi="Times New Roman" w:cs="Times New Roman"/>
          <w:bCs/>
          <w:position w:val="0"/>
          <w:sz w:val="24"/>
          <w:szCs w:val="24"/>
          <w:lang w:val="da-DK"/>
        </w:rPr>
        <w:t xml:space="preserve"> </w:t>
      </w:r>
      <w:r w:rsidRPr="00B4587B">
        <w:rPr>
          <w:rFonts w:ascii="Times New Roman" w:hAnsi="Times New Roman" w:cs="Times New Roman"/>
          <w:bCs/>
          <w:position w:val="0"/>
          <w:sz w:val="24"/>
          <w:szCs w:val="24"/>
          <w:lang w:val="da-DK"/>
        </w:rPr>
        <w:t>preeclampsia</w:t>
      </w:r>
    </w:p>
    <w:p w14:paraId="16BDD064" w14:textId="77777777" w:rsidR="00573E5B" w:rsidRPr="00B4587B" w:rsidRDefault="00573E5B" w:rsidP="00573E5B">
      <w:pPr>
        <w:suppressAutoHyphens w:val="0"/>
        <w:spacing w:after="0" w:line="240" w:lineRule="auto"/>
        <w:ind w:leftChars="0" w:left="0" w:firstLineChars="0" w:firstLine="357"/>
        <w:jc w:val="both"/>
        <w:textDirection w:val="lrTb"/>
        <w:textAlignment w:val="auto"/>
        <w:outlineLvl w:val="9"/>
        <w:rPr>
          <w:rFonts w:ascii="Garamond" w:eastAsia="SimSun" w:hAnsi="Garamond" w:cs="Times New Roman"/>
          <w:position w:val="0"/>
          <w:sz w:val="24"/>
          <w:szCs w:val="24"/>
          <w:lang w:val="da-DK"/>
        </w:rPr>
      </w:pPr>
    </w:p>
    <w:tbl>
      <w:tblPr>
        <w:tblStyle w:val="TableGrid2"/>
        <w:tblW w:w="8692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957"/>
        <w:gridCol w:w="1664"/>
        <w:gridCol w:w="1527"/>
      </w:tblGrid>
      <w:tr w:rsidR="00573E5B" w:rsidRPr="00B4587B" w14:paraId="27CEB17F" w14:textId="77777777" w:rsidTr="00A3467D">
        <w:tc>
          <w:tcPr>
            <w:tcW w:w="851" w:type="dxa"/>
            <w:vMerge w:val="restart"/>
            <w:vAlign w:val="center"/>
          </w:tcPr>
          <w:p w14:paraId="0AF045A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No</w:t>
            </w:r>
          </w:p>
        </w:tc>
        <w:tc>
          <w:tcPr>
            <w:tcW w:w="2693" w:type="dxa"/>
            <w:vMerge w:val="restart"/>
            <w:vAlign w:val="center"/>
          </w:tcPr>
          <w:p w14:paraId="3EACC96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Variable</w:t>
            </w:r>
          </w:p>
        </w:tc>
        <w:tc>
          <w:tcPr>
            <w:tcW w:w="3621" w:type="dxa"/>
            <w:gridSpan w:val="2"/>
            <w:vAlign w:val="center"/>
          </w:tcPr>
          <w:p w14:paraId="05B7FF17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MTHFR A1298C Gene</w:t>
            </w:r>
          </w:p>
        </w:tc>
        <w:tc>
          <w:tcPr>
            <w:tcW w:w="1527" w:type="dxa"/>
            <w:vMerge w:val="restart"/>
          </w:tcPr>
          <w:p w14:paraId="7EC1DA7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  <w:p w14:paraId="6DE5E6A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i/>
                <w:iCs/>
                <w:position w:val="0"/>
              </w:rPr>
              <w:t>p value</w:t>
            </w:r>
          </w:p>
        </w:tc>
      </w:tr>
      <w:tr w:rsidR="00573E5B" w:rsidRPr="00B4587B" w14:paraId="2CC8205E" w14:textId="77777777" w:rsidTr="00A3467D">
        <w:tc>
          <w:tcPr>
            <w:tcW w:w="851" w:type="dxa"/>
            <w:vMerge/>
            <w:vAlign w:val="center"/>
          </w:tcPr>
          <w:p w14:paraId="3F7C0F5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  <w:tc>
          <w:tcPr>
            <w:tcW w:w="2693" w:type="dxa"/>
            <w:vMerge/>
            <w:vAlign w:val="center"/>
          </w:tcPr>
          <w:p w14:paraId="1565F51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  <w:tc>
          <w:tcPr>
            <w:tcW w:w="1957" w:type="dxa"/>
            <w:vAlign w:val="center"/>
          </w:tcPr>
          <w:p w14:paraId="0377734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Polymorphism</w:t>
            </w:r>
          </w:p>
          <w:p w14:paraId="188F40E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(n=31)</w:t>
            </w:r>
          </w:p>
        </w:tc>
        <w:tc>
          <w:tcPr>
            <w:tcW w:w="1664" w:type="dxa"/>
            <w:vAlign w:val="center"/>
          </w:tcPr>
          <w:p w14:paraId="4ABA3915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Normal</w:t>
            </w:r>
          </w:p>
          <w:p w14:paraId="652CBFEE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  <w:r w:rsidRPr="00B4587B">
              <w:rPr>
                <w:rFonts w:ascii="Garamond" w:hAnsi="Garamond"/>
                <w:b/>
                <w:bCs/>
                <w:position w:val="0"/>
              </w:rPr>
              <w:t>(n=39)</w:t>
            </w:r>
          </w:p>
        </w:tc>
        <w:tc>
          <w:tcPr>
            <w:tcW w:w="1527" w:type="dxa"/>
            <w:vMerge/>
          </w:tcPr>
          <w:p w14:paraId="00CBFD7C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b/>
                <w:bCs/>
                <w:position w:val="0"/>
              </w:rPr>
            </w:pPr>
          </w:p>
        </w:tc>
      </w:tr>
      <w:tr w:rsidR="00573E5B" w:rsidRPr="00B4587B" w14:paraId="03A87CF2" w14:textId="77777777" w:rsidTr="00A3467D">
        <w:tc>
          <w:tcPr>
            <w:tcW w:w="851" w:type="dxa"/>
          </w:tcPr>
          <w:p w14:paraId="148E70F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14:paraId="3790AFA0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i/>
                <w:iCs/>
                <w:position w:val="0"/>
              </w:rPr>
              <w:t xml:space="preserve">Soluble endoglin </w:t>
            </w:r>
            <w:r w:rsidRPr="00B4587B">
              <w:rPr>
                <w:rFonts w:ascii="Garamond" w:hAnsi="Garamond"/>
                <w:position w:val="0"/>
              </w:rPr>
              <w:t>(</w:t>
            </w:r>
            <w:proofErr w:type="spellStart"/>
            <w:r w:rsidRPr="00B4587B">
              <w:rPr>
                <w:rFonts w:ascii="Garamond" w:hAnsi="Garamond"/>
                <w:position w:val="0"/>
              </w:rPr>
              <w:t>sEng</w:t>
            </w:r>
            <w:proofErr w:type="spellEnd"/>
            <w:r w:rsidRPr="00B4587B">
              <w:rPr>
                <w:rFonts w:ascii="Garamond" w:hAnsi="Garamond"/>
                <w:position w:val="0"/>
              </w:rPr>
              <w:t>)</w:t>
            </w:r>
          </w:p>
          <w:p w14:paraId="44AE60EF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High (≥7,75)</w:t>
            </w:r>
          </w:p>
          <w:p w14:paraId="70C97DD9" w14:textId="77777777" w:rsidR="00573E5B" w:rsidRPr="00B4587B" w:rsidRDefault="00573E5B" w:rsidP="00A3467D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ind w:leftChars="0" w:firstLineChars="0"/>
              <w:contextualSpacing/>
              <w:textDirection w:val="lrTb"/>
              <w:textAlignment w:val="auto"/>
              <w:outlineLvl w:val="9"/>
              <w:rPr>
                <w:kern w:val="2"/>
                <w:position w:val="0"/>
                <w:lang w:eastAsia="zh-CN"/>
              </w:rPr>
            </w:pPr>
            <w:r w:rsidRPr="00B4587B">
              <w:rPr>
                <w:kern w:val="2"/>
                <w:position w:val="0"/>
                <w:lang w:eastAsia="zh-CN"/>
              </w:rPr>
              <w:t>Low (&lt;7,75)</w:t>
            </w:r>
          </w:p>
        </w:tc>
        <w:tc>
          <w:tcPr>
            <w:tcW w:w="1957" w:type="dxa"/>
            <w:vAlign w:val="center"/>
          </w:tcPr>
          <w:p w14:paraId="7CEDE38A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D3F331F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17 (54,8%)</w:t>
            </w:r>
          </w:p>
          <w:p w14:paraId="0C990E3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14 (45,2%)</w:t>
            </w:r>
          </w:p>
        </w:tc>
        <w:tc>
          <w:tcPr>
            <w:tcW w:w="1664" w:type="dxa"/>
            <w:vAlign w:val="center"/>
          </w:tcPr>
          <w:p w14:paraId="66C25726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4896357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32 (82,1%)</w:t>
            </w:r>
          </w:p>
          <w:p w14:paraId="458E8002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jc w:val="center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7 (17,9%)</w:t>
            </w:r>
          </w:p>
        </w:tc>
        <w:tc>
          <w:tcPr>
            <w:tcW w:w="1527" w:type="dxa"/>
          </w:tcPr>
          <w:p w14:paraId="06D19BC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</w:p>
          <w:p w14:paraId="3251ECF9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0,027</w:t>
            </w:r>
          </w:p>
          <w:p w14:paraId="0BFCD178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(OR:0,266;</w:t>
            </w:r>
          </w:p>
          <w:p w14:paraId="7CFCA73B" w14:textId="77777777" w:rsidR="00573E5B" w:rsidRPr="00B4587B" w:rsidRDefault="00573E5B" w:rsidP="00A3467D">
            <w:pPr>
              <w:suppressAutoHyphens w:val="0"/>
              <w:ind w:leftChars="0" w:left="0" w:firstLineChars="0" w:firstLine="357"/>
              <w:textDirection w:val="lrTb"/>
              <w:textAlignment w:val="auto"/>
              <w:outlineLvl w:val="9"/>
              <w:rPr>
                <w:rFonts w:ascii="Garamond" w:hAnsi="Garamond"/>
                <w:position w:val="0"/>
              </w:rPr>
            </w:pPr>
            <w:r w:rsidRPr="00B4587B">
              <w:rPr>
                <w:rFonts w:ascii="Garamond" w:hAnsi="Garamond"/>
                <w:position w:val="0"/>
              </w:rPr>
              <w:t>RR:0,520)</w:t>
            </w:r>
          </w:p>
        </w:tc>
      </w:tr>
    </w:tbl>
    <w:p w14:paraId="71CE02CA" w14:textId="77777777" w:rsidR="00573E5B" w:rsidRPr="001613E7" w:rsidRDefault="00573E5B" w:rsidP="00573E5B">
      <w:pPr>
        <w:ind w:leftChars="0" w:left="0" w:firstLineChars="0" w:firstLine="0"/>
        <w:rPr>
          <w:lang w:val="da-DK"/>
        </w:rPr>
      </w:pPr>
    </w:p>
    <w:p w14:paraId="074DE60A" w14:textId="77777777" w:rsidR="00573E5B" w:rsidRDefault="00573E5B" w:rsidP="00573E5B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27EBB6A" w14:textId="77777777" w:rsidR="00573E5B" w:rsidRPr="00B4587B" w:rsidRDefault="00573E5B" w:rsidP="00573E5B">
      <w:pPr>
        <w:suppressAutoHyphens w:val="0"/>
        <w:spacing w:after="0" w:line="48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eastAsia="SimSun" w:hAnsi="Garamond" w:cs="Times New Roman"/>
          <w:position w:val="0"/>
          <w:sz w:val="24"/>
          <w:szCs w:val="24"/>
          <w:highlight w:val="yellow"/>
          <w:lang w:val="en-MY"/>
        </w:rPr>
      </w:pPr>
      <w:r w:rsidRPr="00B4587B">
        <w:rPr>
          <w:rFonts w:ascii="Times New Roman" w:hAnsi="Times New Roman" w:cs="Times New Roman"/>
          <w:noProof/>
          <w:position w:val="0"/>
          <w:sz w:val="24"/>
          <w:szCs w:val="24"/>
          <w:lang w:val="en-ID"/>
        </w:rPr>
        <w:drawing>
          <wp:inline distT="0" distB="0" distL="0" distR="0" wp14:anchorId="12E8682C" wp14:editId="78F111BC">
            <wp:extent cx="4431447" cy="2606040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062" cy="261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AAAC" w14:textId="77777777" w:rsidR="00573E5B" w:rsidRPr="00B4587B" w:rsidRDefault="00573E5B" w:rsidP="00573E5B">
      <w:pPr>
        <w:suppressAutoHyphens w:val="0"/>
        <w:spacing w:after="0" w:line="48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SimSun" w:hAnsi="Times New Roman" w:cs="Times New Roman"/>
          <w:position w:val="0"/>
          <w:sz w:val="24"/>
          <w:szCs w:val="24"/>
          <w:lang w:val="en-MY"/>
        </w:rPr>
      </w:pPr>
      <w:r w:rsidRPr="00B4587B">
        <w:rPr>
          <w:rFonts w:ascii="Times New Roman" w:eastAsia="SimSun" w:hAnsi="Times New Roman" w:cs="Times New Roman"/>
          <w:b/>
          <w:position w:val="0"/>
          <w:sz w:val="24"/>
          <w:szCs w:val="24"/>
          <w:lang w:val="en-MY"/>
        </w:rPr>
        <w:t xml:space="preserve">Figure 1. </w:t>
      </w:r>
      <w:r w:rsidRPr="00B4587B">
        <w:rPr>
          <w:rFonts w:ascii="Times New Roman" w:eastAsia="SimSun" w:hAnsi="Times New Roman" w:cs="Times New Roman"/>
          <w:color w:val="202124"/>
          <w:position w:val="0"/>
          <w:sz w:val="24"/>
          <w:szCs w:val="24"/>
          <w:lang w:val="en"/>
        </w:rPr>
        <w:t xml:space="preserve">ROC curve for determining cut-off levels of </w:t>
      </w:r>
      <w:proofErr w:type="spellStart"/>
      <w:r w:rsidRPr="00B4587B">
        <w:rPr>
          <w:rFonts w:ascii="Times New Roman" w:eastAsia="SimSun" w:hAnsi="Times New Roman" w:cs="Times New Roman"/>
          <w:color w:val="202124"/>
          <w:position w:val="0"/>
          <w:sz w:val="24"/>
          <w:szCs w:val="24"/>
          <w:lang w:val="en"/>
        </w:rPr>
        <w:t>sEng</w:t>
      </w:r>
      <w:proofErr w:type="spellEnd"/>
      <w:r w:rsidRPr="00B4587B">
        <w:rPr>
          <w:rFonts w:ascii="Times New Roman" w:eastAsia="SimSun" w:hAnsi="Times New Roman" w:cs="Times New Roman"/>
          <w:color w:val="202124"/>
          <w:position w:val="0"/>
          <w:sz w:val="24"/>
          <w:szCs w:val="24"/>
          <w:lang w:val="en"/>
        </w:rPr>
        <w:t xml:space="preserve"> as predictor of preeclampsia</w:t>
      </w:r>
      <w:r w:rsidRPr="00B4587B">
        <w:rPr>
          <w:rFonts w:ascii="Times New Roman" w:eastAsia="SimSun" w:hAnsi="Times New Roman" w:cs="Times New Roman"/>
          <w:position w:val="0"/>
          <w:sz w:val="24"/>
          <w:szCs w:val="24"/>
          <w:lang w:val="en-MY"/>
        </w:rPr>
        <w:t xml:space="preserve"> </w:t>
      </w:r>
    </w:p>
    <w:p w14:paraId="73CE02E1" w14:textId="77777777" w:rsidR="00540C96" w:rsidRPr="00573E5B" w:rsidRDefault="00540C96">
      <w:pPr>
        <w:ind w:left="0" w:hanging="2"/>
        <w:rPr>
          <w:lang w:val="en-MY"/>
        </w:rPr>
      </w:pPr>
    </w:p>
    <w:sectPr w:rsidR="00540C96" w:rsidRPr="00573E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4F20"/>
    <w:multiLevelType w:val="hybridMultilevel"/>
    <w:tmpl w:val="532A0350"/>
    <w:lvl w:ilvl="0" w:tplc="39DAEF8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64AD8"/>
    <w:multiLevelType w:val="hybridMultilevel"/>
    <w:tmpl w:val="F342D03E"/>
    <w:lvl w:ilvl="0" w:tplc="92E83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991879">
    <w:abstractNumId w:val="0"/>
  </w:num>
  <w:num w:numId="2" w16cid:durableId="175586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5B"/>
    <w:rsid w:val="002127AD"/>
    <w:rsid w:val="00242FC2"/>
    <w:rsid w:val="00251A10"/>
    <w:rsid w:val="00267E2F"/>
    <w:rsid w:val="003C4F00"/>
    <w:rsid w:val="00500637"/>
    <w:rsid w:val="00540C96"/>
    <w:rsid w:val="00573E5B"/>
    <w:rsid w:val="00612F86"/>
    <w:rsid w:val="00637345"/>
    <w:rsid w:val="00895BCA"/>
    <w:rsid w:val="00895D9E"/>
    <w:rsid w:val="009D2F54"/>
    <w:rsid w:val="00A239E8"/>
    <w:rsid w:val="00A85AE1"/>
    <w:rsid w:val="00A87FB9"/>
    <w:rsid w:val="00A9567A"/>
    <w:rsid w:val="00C42388"/>
    <w:rsid w:val="00CE2157"/>
    <w:rsid w:val="00D57541"/>
    <w:rsid w:val="00DC1A9E"/>
    <w:rsid w:val="00E526B3"/>
    <w:rsid w:val="00E95270"/>
    <w:rsid w:val="00ED435F"/>
    <w:rsid w:val="00F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0A6A"/>
  <w15:chartTrackingRefBased/>
  <w15:docId w15:val="{9AD5935F-958B-4B99-A42B-1E61D17D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5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3E5B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E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E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E5B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E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E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E5B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573E5B"/>
    <w:pPr>
      <w:suppressAutoHyphens w:val="0"/>
      <w:spacing w:line="240" w:lineRule="auto"/>
      <w:ind w:leftChars="0" w:left="0" w:right="170" w:firstLineChars="0" w:firstLine="576"/>
      <w:jc w:val="both"/>
      <w:textDirection w:val="lrTb"/>
      <w:textAlignment w:val="auto"/>
      <w:outlineLvl w:val="9"/>
    </w:pPr>
    <w:rPr>
      <w:rFonts w:ascii="Times New Roman" w:hAnsi="Times New Roman" w:cs="Times New Roman"/>
      <w:bCs/>
      <w:position w:val="0"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39"/>
    <w:qFormat/>
    <w:rsid w:val="00573E5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val="en-MY" w:eastAsia="en-MY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573E5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val="en-MY" w:eastAsia="en-MY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5270"/>
    <w:rPr>
      <w:color w:val="0000FF"/>
      <w:u w:val="single"/>
    </w:rPr>
  </w:style>
  <w:style w:type="paragraph" w:customStyle="1" w:styleId="yiv2753671903msonormal">
    <w:name w:val="yiv2753671903msonormal"/>
    <w:basedOn w:val="Normal"/>
    <w:rsid w:val="00E95270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ja-JP"/>
    </w:rPr>
  </w:style>
  <w:style w:type="paragraph" w:customStyle="1" w:styleId="BadanA">
    <w:name w:val="Badan A"/>
    <w:rsid w:val="00E95270"/>
    <w:pPr>
      <w:spacing w:line="252" w:lineRule="auto"/>
    </w:pPr>
    <w:rPr>
      <w:rFonts w:ascii="Calibri" w:eastAsia="Times New Roman" w:hAnsi="Calibri" w:cs="Calibri"/>
      <w:color w:val="000000"/>
      <w:kern w:val="28"/>
      <w:sz w:val="22"/>
      <w:szCs w:val="22"/>
      <w:lang w:val="en-US" w:eastAsia="en-US"/>
      <w14:ligatures w14:val="standard"/>
      <w14:cntxtAlt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val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5270"/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y2iqfc">
    <w:name w:val="y2iqfc"/>
    <w:basedOn w:val="DefaultParagraphFont"/>
    <w:rsid w:val="00E95270"/>
  </w:style>
  <w:style w:type="character" w:styleId="UnresolvedMention">
    <w:name w:val="Unresolved Mention"/>
    <w:basedOn w:val="DefaultParagraphFont"/>
    <w:uiPriority w:val="99"/>
    <w:semiHidden/>
    <w:unhideWhenUsed/>
    <w:rsid w:val="00500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Albertus Johan Edy</dc:creator>
  <cp:keywords/>
  <dc:description/>
  <cp:lastModifiedBy>Albertus Johan Edy</cp:lastModifiedBy>
  <cp:revision>10</cp:revision>
  <dcterms:created xsi:type="dcterms:W3CDTF">2025-09-11T13:52:00Z</dcterms:created>
  <dcterms:modified xsi:type="dcterms:W3CDTF">2025-09-11T14:03:00Z</dcterms:modified>
</cp:coreProperties>
</file>