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EDD808D" w14:textId="77777777" w:rsidR="00DA26F4" w:rsidRDefault="00000000">
      <w:pPr>
        <w:spacing w:after="0"/>
        <w:ind w:left="1" w:hanging="3"/>
        <w:jc w:val="center"/>
        <w:rPr>
          <w:rFonts w:ascii="Times New Roman" w:eastAsia="Times New Roman" w:hAnsi="Times New Roman" w:cs="Times New Roman"/>
          <w:sz w:val="28"/>
          <w:szCs w:val="28"/>
        </w:rPr>
      </w:pPr>
      <w:r>
        <w:rPr>
          <w:rFonts w:ascii="Times New Roman" w:eastAsia="Times New Roman" w:hAnsi="Times New Roman" w:cs="Times New Roman"/>
          <w:b/>
          <w:sz w:val="28"/>
          <w:szCs w:val="28"/>
        </w:rPr>
        <w:t>Short Communication</w:t>
      </w:r>
    </w:p>
    <w:p w14:paraId="1B898C2F" w14:textId="619380E5" w:rsidR="00DD6070" w:rsidRPr="00DD6070" w:rsidRDefault="00DD6070" w:rsidP="00DD6070">
      <w:pPr>
        <w:spacing w:after="0"/>
        <w:ind w:left="1" w:hanging="3"/>
        <w:jc w:val="center"/>
        <w:rPr>
          <w:rFonts w:ascii="Times New Roman" w:eastAsia="Times New Roman" w:hAnsi="Times New Roman" w:cs="Times New Roman"/>
          <w:b/>
          <w:sz w:val="32"/>
          <w:szCs w:val="32"/>
        </w:rPr>
      </w:pPr>
      <w:r w:rsidRPr="00DD6070">
        <w:rPr>
          <w:rFonts w:ascii="Times New Roman" w:eastAsia="Times New Roman" w:hAnsi="Times New Roman" w:cs="Times New Roman"/>
          <w:b/>
          <w:sz w:val="32"/>
          <w:szCs w:val="32"/>
        </w:rPr>
        <w:t xml:space="preserve">Prevalence and Antibiotic Susceptibility Pattern of Multidrug-Resistant </w:t>
      </w:r>
      <w:r w:rsidRPr="00DD6070">
        <w:rPr>
          <w:rFonts w:ascii="Times New Roman" w:eastAsia="Times New Roman" w:hAnsi="Times New Roman" w:cs="Times New Roman"/>
          <w:b/>
          <w:i/>
          <w:iCs/>
          <w:sz w:val="32"/>
          <w:szCs w:val="32"/>
        </w:rPr>
        <w:t>Pseudomonas aeruginosa</w:t>
      </w:r>
      <w:r w:rsidRPr="00DD6070">
        <w:rPr>
          <w:rFonts w:ascii="Times New Roman" w:eastAsia="Times New Roman" w:hAnsi="Times New Roman" w:cs="Times New Roman"/>
          <w:b/>
          <w:sz w:val="32"/>
          <w:szCs w:val="32"/>
        </w:rPr>
        <w:t xml:space="preserve"> </w:t>
      </w:r>
    </w:p>
    <w:p w14:paraId="7299985B" w14:textId="06D39E73" w:rsidR="00DA26F4" w:rsidRDefault="00DD6070" w:rsidP="00DD6070">
      <w:pPr>
        <w:spacing w:after="0"/>
        <w:ind w:left="1" w:hanging="3"/>
        <w:jc w:val="center"/>
        <w:rPr>
          <w:rFonts w:ascii="Times New Roman" w:eastAsia="Times New Roman" w:hAnsi="Times New Roman" w:cs="Times New Roman"/>
          <w:sz w:val="32"/>
          <w:szCs w:val="32"/>
        </w:rPr>
      </w:pPr>
      <w:r w:rsidRPr="00DD6070">
        <w:rPr>
          <w:rFonts w:ascii="Times New Roman" w:eastAsia="Times New Roman" w:hAnsi="Times New Roman" w:cs="Times New Roman"/>
          <w:b/>
          <w:sz w:val="32"/>
          <w:szCs w:val="32"/>
        </w:rPr>
        <w:t>in a Tertiary Hospital, South Sumatera, Indonesia</w:t>
      </w:r>
    </w:p>
    <w:p w14:paraId="33128211" w14:textId="77777777" w:rsidR="00DA26F4" w:rsidRDefault="00DA26F4">
      <w:pPr>
        <w:spacing w:after="0" w:line="240" w:lineRule="auto"/>
        <w:ind w:left="0" w:hanging="2"/>
        <w:jc w:val="center"/>
        <w:rPr>
          <w:rFonts w:ascii="Times New Roman" w:eastAsia="Times New Roman" w:hAnsi="Times New Roman" w:cs="Times New Roman"/>
          <w:sz w:val="20"/>
          <w:szCs w:val="20"/>
        </w:rPr>
      </w:pPr>
    </w:p>
    <w:p w14:paraId="681491ED" w14:textId="77777777" w:rsidR="00DA26F4" w:rsidRDefault="00DA26F4">
      <w:pPr>
        <w:spacing w:after="0" w:line="240" w:lineRule="auto"/>
        <w:ind w:left="0" w:hanging="2"/>
        <w:jc w:val="center"/>
        <w:rPr>
          <w:rFonts w:ascii="Times New Roman" w:eastAsia="Times New Roman" w:hAnsi="Times New Roman" w:cs="Times New Roman"/>
          <w:sz w:val="24"/>
          <w:szCs w:val="24"/>
        </w:rPr>
      </w:pPr>
    </w:p>
    <w:p w14:paraId="782F236F" w14:textId="67EE1072" w:rsidR="00DA26F4" w:rsidRDefault="00000000">
      <w:pPr>
        <w:spacing w:after="0" w:line="240" w:lineRule="auto"/>
        <w:ind w:left="0" w:hanging="2"/>
        <w:jc w:val="both"/>
        <w:rPr>
          <w:rFonts w:ascii="Times New Roman" w:eastAsia="Times New Roman" w:hAnsi="Times New Roman" w:cs="Times New Roman"/>
          <w:sz w:val="20"/>
          <w:szCs w:val="20"/>
        </w:rPr>
      </w:pPr>
      <w:r>
        <w:rPr>
          <w:rFonts w:ascii="Times New Roman" w:eastAsia="Times New Roman" w:hAnsi="Times New Roman" w:cs="Times New Roman"/>
          <w:b/>
          <w:sz w:val="20"/>
          <w:szCs w:val="20"/>
        </w:rPr>
        <w:t>Short Running Title:</w:t>
      </w:r>
      <w:r>
        <w:rPr>
          <w:rFonts w:ascii="Times New Roman" w:eastAsia="Times New Roman" w:hAnsi="Times New Roman" w:cs="Times New Roman"/>
          <w:sz w:val="20"/>
          <w:szCs w:val="20"/>
        </w:rPr>
        <w:t xml:space="preserve"> </w:t>
      </w:r>
      <w:r w:rsidR="00D04488" w:rsidRPr="00D04488">
        <w:rPr>
          <w:rFonts w:ascii="Times New Roman" w:eastAsia="Times New Roman" w:hAnsi="Times New Roman" w:cs="Times New Roman"/>
          <w:sz w:val="20"/>
          <w:szCs w:val="20"/>
        </w:rPr>
        <w:t xml:space="preserve">Antibiotic Resistance of </w:t>
      </w:r>
      <w:r w:rsidR="00D04488" w:rsidRPr="00D04488">
        <w:rPr>
          <w:rFonts w:ascii="Times New Roman" w:eastAsia="Times New Roman" w:hAnsi="Times New Roman" w:cs="Times New Roman"/>
          <w:i/>
          <w:iCs/>
          <w:sz w:val="20"/>
          <w:szCs w:val="20"/>
        </w:rPr>
        <w:t>P. aeruginosa</w:t>
      </w:r>
    </w:p>
    <w:p w14:paraId="436F6092" w14:textId="77777777" w:rsidR="00DA26F4" w:rsidRDefault="00DA26F4">
      <w:pPr>
        <w:spacing w:after="0" w:line="240" w:lineRule="auto"/>
        <w:ind w:left="0" w:hanging="2"/>
        <w:jc w:val="both"/>
      </w:pPr>
    </w:p>
    <w:p w14:paraId="22D895A3" w14:textId="77777777" w:rsidR="00DA26F4" w:rsidRDefault="00DA26F4">
      <w:pPr>
        <w:spacing w:after="0" w:line="240" w:lineRule="auto"/>
        <w:ind w:left="0" w:hanging="2"/>
        <w:jc w:val="both"/>
        <w:rPr>
          <w:rFonts w:ascii="Times New Roman" w:eastAsia="Times New Roman" w:hAnsi="Times New Roman" w:cs="Times New Roman"/>
          <w:sz w:val="24"/>
          <w:szCs w:val="24"/>
        </w:rPr>
      </w:pPr>
    </w:p>
    <w:p w14:paraId="69F14476" w14:textId="2165DBE7" w:rsidR="00DA26F4" w:rsidRDefault="00000000">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ABSTRACT </w:t>
      </w:r>
    </w:p>
    <w:p w14:paraId="4B9847DB" w14:textId="7881E880" w:rsidR="00DA26F4" w:rsidRDefault="00E21B5E" w:rsidP="00E21B5E">
      <w:pPr>
        <w:spacing w:after="0" w:line="240" w:lineRule="auto"/>
        <w:ind w:left="0" w:hanging="2"/>
        <w:jc w:val="both"/>
        <w:rPr>
          <w:rFonts w:ascii="Times New Roman" w:eastAsia="Times New Roman" w:hAnsi="Times New Roman" w:cs="Times New Roman"/>
          <w:sz w:val="24"/>
          <w:szCs w:val="24"/>
        </w:rPr>
      </w:pPr>
      <w:r w:rsidRPr="00E21B5E">
        <w:rPr>
          <w:rFonts w:ascii="Times New Roman" w:eastAsia="Times New Roman" w:hAnsi="Times New Roman" w:cs="Times New Roman"/>
          <w:i/>
          <w:iCs/>
          <w:sz w:val="24"/>
          <w:szCs w:val="24"/>
        </w:rPr>
        <w:t>Pseudomonas aeruginosa</w:t>
      </w:r>
      <w:r w:rsidRPr="00E21B5E">
        <w:rPr>
          <w:rFonts w:ascii="Times New Roman" w:eastAsia="Times New Roman" w:hAnsi="Times New Roman" w:cs="Times New Roman"/>
          <w:sz w:val="24"/>
          <w:szCs w:val="24"/>
        </w:rPr>
        <w:t xml:space="preserve"> is a Gram-negative opportunistic pathogen associated with healthcare-acquired infections and significant morbidity and mortality. Its increasing antibiotic resistance presents a serious global health concern. This study aimed to determine the prevalence and antibiotic susceptibility pattern of multidrug-resistant (MDR) </w:t>
      </w:r>
      <w:r w:rsidRPr="00E21B5E">
        <w:rPr>
          <w:rFonts w:ascii="Times New Roman" w:eastAsia="Times New Roman" w:hAnsi="Times New Roman" w:cs="Times New Roman"/>
          <w:i/>
          <w:iCs/>
          <w:sz w:val="24"/>
          <w:szCs w:val="24"/>
        </w:rPr>
        <w:t>P. aeruginosa</w:t>
      </w:r>
      <w:r w:rsidRPr="00E21B5E">
        <w:rPr>
          <w:rFonts w:ascii="Times New Roman" w:eastAsia="Times New Roman" w:hAnsi="Times New Roman" w:cs="Times New Roman"/>
          <w:sz w:val="24"/>
          <w:szCs w:val="24"/>
        </w:rPr>
        <w:t xml:space="preserve"> in hospitalized patients at Dr. Mohammad Hoesin General Hospital, Palembang, Indonesia. A total of 465 patients with culture-confirmed </w:t>
      </w:r>
      <w:r w:rsidRPr="00E21B5E">
        <w:rPr>
          <w:rFonts w:ascii="Times New Roman" w:eastAsia="Times New Roman" w:hAnsi="Times New Roman" w:cs="Times New Roman"/>
          <w:i/>
          <w:iCs/>
          <w:sz w:val="24"/>
          <w:szCs w:val="24"/>
        </w:rPr>
        <w:t>P. aeruginosa</w:t>
      </w:r>
      <w:r w:rsidRPr="00E21B5E">
        <w:rPr>
          <w:rFonts w:ascii="Times New Roman" w:eastAsia="Times New Roman" w:hAnsi="Times New Roman" w:cs="Times New Roman"/>
          <w:sz w:val="24"/>
          <w:szCs w:val="24"/>
        </w:rPr>
        <w:t xml:space="preserve"> infection from May 2022 to April 2023 were analyzed. Adult patients aged 18–65 years (71%) with prolonged hospitalization were the most affected. The leading clinical diagnoses were diabetic foot ulcer, pneumonia, and sepsis. Antibiotic susceptibility testing showed highest sensitivity to amikacin (94.2%), followed by gentamicin (86.5%) and cefepime (81.7%). Complete resistance (100%) was observed against cefazolin and tigecycline. Resistance profiling revealed </w:t>
      </w:r>
      <w:bookmarkStart w:id="0" w:name="_Hlk208114559"/>
      <w:r w:rsidRPr="00531089">
        <w:rPr>
          <w:rFonts w:ascii="Times New Roman" w:eastAsia="Times New Roman" w:hAnsi="Times New Roman" w:cs="Times New Roman"/>
          <w:sz w:val="24"/>
          <w:szCs w:val="24"/>
        </w:rPr>
        <w:t xml:space="preserve">MDR (24.7%), XDR (6.7%), Probable-PDR (0.9%), </w:t>
      </w:r>
      <w:r>
        <w:rPr>
          <w:rFonts w:ascii="Times New Roman" w:eastAsia="Times New Roman" w:hAnsi="Times New Roman" w:cs="Times New Roman"/>
          <w:sz w:val="24"/>
          <w:szCs w:val="24"/>
        </w:rPr>
        <w:t xml:space="preserve">and </w:t>
      </w:r>
      <w:r w:rsidRPr="00531089">
        <w:rPr>
          <w:rFonts w:ascii="Times New Roman" w:eastAsia="Times New Roman" w:hAnsi="Times New Roman" w:cs="Times New Roman"/>
          <w:sz w:val="24"/>
          <w:szCs w:val="24"/>
        </w:rPr>
        <w:t>DTR (2.4%)</w:t>
      </w:r>
      <w:bookmarkEnd w:id="0"/>
      <w:r w:rsidRPr="00E21B5E">
        <w:rPr>
          <w:rFonts w:ascii="Times New Roman" w:eastAsia="Times New Roman" w:hAnsi="Times New Roman" w:cs="Times New Roman"/>
          <w:sz w:val="24"/>
          <w:szCs w:val="24"/>
        </w:rPr>
        <w:t xml:space="preserve"> strains. These findings underscore the urgent need for rational antibiotic use, robust antimicrobial stewardship, and strict infection prevention measures to mitigate the threat of resistant </w:t>
      </w:r>
      <w:r w:rsidRPr="00E21B5E">
        <w:rPr>
          <w:rFonts w:ascii="Times New Roman" w:eastAsia="Times New Roman" w:hAnsi="Times New Roman" w:cs="Times New Roman"/>
          <w:i/>
          <w:iCs/>
          <w:sz w:val="24"/>
          <w:szCs w:val="24"/>
        </w:rPr>
        <w:t>P. aeruginosa</w:t>
      </w:r>
      <w:r w:rsidRPr="00E21B5E">
        <w:rPr>
          <w:rFonts w:ascii="Times New Roman" w:eastAsia="Times New Roman" w:hAnsi="Times New Roman" w:cs="Times New Roman"/>
          <w:sz w:val="24"/>
          <w:szCs w:val="24"/>
        </w:rPr>
        <w:t>.</w:t>
      </w:r>
    </w:p>
    <w:p w14:paraId="2C096D68" w14:textId="77777777" w:rsidR="00DA26F4" w:rsidRDefault="00DA26F4">
      <w:pPr>
        <w:spacing w:after="0" w:line="240" w:lineRule="auto"/>
        <w:ind w:left="0" w:hanging="2"/>
        <w:jc w:val="both"/>
        <w:rPr>
          <w:rFonts w:ascii="Times New Roman" w:eastAsia="Times New Roman" w:hAnsi="Times New Roman" w:cs="Times New Roman"/>
          <w:sz w:val="24"/>
          <w:szCs w:val="24"/>
        </w:rPr>
      </w:pPr>
    </w:p>
    <w:p w14:paraId="00B70840" w14:textId="77777777" w:rsidR="00DA26F4" w:rsidRDefault="00000000">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Keywords</w:t>
      </w:r>
      <w:r>
        <w:rPr>
          <w:rFonts w:ascii="Times New Roman" w:eastAsia="Times New Roman" w:hAnsi="Times New Roman" w:cs="Times New Roman"/>
          <w:sz w:val="24"/>
          <w:szCs w:val="24"/>
        </w:rPr>
        <w:t xml:space="preserve">: </w:t>
      </w:r>
    </w:p>
    <w:p w14:paraId="6928A342" w14:textId="1FD68DD5" w:rsidR="00DA26F4" w:rsidRDefault="00E21B5E" w:rsidP="00E21B5E">
      <w:pPr>
        <w:spacing w:after="0" w:line="240" w:lineRule="auto"/>
        <w:ind w:left="0" w:hanging="2"/>
        <w:jc w:val="both"/>
        <w:rPr>
          <w:rFonts w:ascii="Times New Roman" w:eastAsia="Times New Roman" w:hAnsi="Times New Roman" w:cs="Times New Roman"/>
          <w:sz w:val="24"/>
          <w:szCs w:val="24"/>
        </w:rPr>
      </w:pPr>
      <w:r w:rsidRPr="00DF627A">
        <w:rPr>
          <w:rFonts w:ascii="Times New Roman" w:eastAsia="Times New Roman" w:hAnsi="Times New Roman" w:cs="Times New Roman"/>
          <w:i/>
          <w:iCs/>
          <w:sz w:val="24"/>
          <w:szCs w:val="24"/>
        </w:rPr>
        <w:t>Pseudomonas aeruginosa</w:t>
      </w:r>
      <w:r w:rsidRPr="00DF627A">
        <w:rPr>
          <w:rFonts w:ascii="Times New Roman" w:eastAsia="Times New Roman" w:hAnsi="Times New Roman" w:cs="Times New Roman"/>
          <w:sz w:val="24"/>
          <w:szCs w:val="24"/>
        </w:rPr>
        <w:t>, Hospitalized patients, Antibiotic resistance</w:t>
      </w:r>
      <w:r>
        <w:rPr>
          <w:rFonts w:ascii="Times New Roman" w:eastAsia="Times New Roman" w:hAnsi="Times New Roman" w:cs="Times New Roman"/>
          <w:sz w:val="24"/>
          <w:szCs w:val="24"/>
        </w:rPr>
        <w:t xml:space="preserve">, </w:t>
      </w:r>
      <w:r w:rsidRPr="00DC6141">
        <w:rPr>
          <w:rFonts w:ascii="Times New Roman" w:eastAsia="Times New Roman" w:hAnsi="Times New Roman" w:cs="Times New Roman"/>
          <w:sz w:val="24"/>
          <w:szCs w:val="24"/>
        </w:rPr>
        <w:t>Multidrug resistance</w:t>
      </w:r>
    </w:p>
    <w:p w14:paraId="570C1931" w14:textId="77777777" w:rsidR="00DA26F4" w:rsidRDefault="00DA26F4">
      <w:pPr>
        <w:spacing w:after="0" w:line="240" w:lineRule="auto"/>
        <w:ind w:left="0" w:hanging="2"/>
        <w:jc w:val="both"/>
        <w:rPr>
          <w:rFonts w:ascii="Times New Roman" w:eastAsia="Times New Roman" w:hAnsi="Times New Roman" w:cs="Times New Roman"/>
          <w:sz w:val="24"/>
          <w:szCs w:val="24"/>
        </w:rPr>
      </w:pPr>
    </w:p>
    <w:p w14:paraId="2D4C9B12" w14:textId="050BF621" w:rsidR="00DA26F4" w:rsidRDefault="00000000">
      <w:pPr>
        <w:spacing w:after="0" w:line="240" w:lineRule="auto"/>
        <w:ind w:left="0" w:hanging="2"/>
        <w:jc w:val="both"/>
        <w:rPr>
          <w:rFonts w:ascii="Times New Roman" w:eastAsia="Times New Roman" w:hAnsi="Times New Roman" w:cs="Times New Roman"/>
          <w:sz w:val="24"/>
          <w:szCs w:val="24"/>
        </w:rPr>
      </w:pPr>
      <w:r>
        <w:br w:type="page"/>
      </w:r>
    </w:p>
    <w:p w14:paraId="6EE5DE13" w14:textId="27C8C8BB" w:rsidR="00DA26F4" w:rsidRDefault="00000000">
      <w:pPr>
        <w:spacing w:after="0" w:line="240" w:lineRule="auto"/>
        <w:ind w:left="0" w:hanging="2"/>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lastRenderedPageBreak/>
        <w:t xml:space="preserve">MAIN BODY </w:t>
      </w:r>
    </w:p>
    <w:p w14:paraId="6D1CD61B" w14:textId="4FC71629" w:rsidR="006C2DFB" w:rsidRPr="006C2DFB" w:rsidRDefault="006C2DFB" w:rsidP="006C2DFB">
      <w:pPr>
        <w:spacing w:after="0" w:line="240" w:lineRule="auto"/>
        <w:ind w:left="-2" w:firstLineChars="236" w:firstLine="566"/>
        <w:jc w:val="both"/>
        <w:rPr>
          <w:rFonts w:ascii="Times New Roman" w:eastAsia="Times New Roman" w:hAnsi="Times New Roman" w:cs="Times New Roman"/>
          <w:sz w:val="24"/>
          <w:szCs w:val="24"/>
          <w:lang w:val="en-ID"/>
        </w:rPr>
      </w:pPr>
      <w:r w:rsidRPr="006C2DFB">
        <w:rPr>
          <w:rFonts w:ascii="Times New Roman" w:eastAsia="Times New Roman" w:hAnsi="Times New Roman" w:cs="Times New Roman"/>
          <w:i/>
          <w:iCs/>
          <w:sz w:val="24"/>
          <w:szCs w:val="24"/>
          <w:lang w:val="en-ID"/>
        </w:rPr>
        <w:t>Pseudomonas aeruginosa</w:t>
      </w:r>
      <w:r w:rsidRPr="006C2DFB">
        <w:rPr>
          <w:rFonts w:ascii="Times New Roman" w:eastAsia="Times New Roman" w:hAnsi="Times New Roman" w:cs="Times New Roman"/>
          <w:sz w:val="24"/>
          <w:szCs w:val="24"/>
          <w:lang w:val="en-ID"/>
        </w:rPr>
        <w:t xml:space="preserve"> is recognized as a critical priority pathogen by the World Health Organization due to its capacity for rapid resistance acquisition, biofilm formation, and persistence in healthcare environments.</w:t>
      </w:r>
      <w:r>
        <w:rPr>
          <w:rFonts w:ascii="Times New Roman" w:eastAsia="Times New Roman" w:hAnsi="Times New Roman" w:cs="Times New Roman"/>
          <w:sz w:val="24"/>
          <w:szCs w:val="24"/>
          <w:lang w:val="en-ID"/>
        </w:rPr>
        <w:fldChar w:fldCharType="begin" w:fldLock="1"/>
      </w:r>
      <w:r>
        <w:rPr>
          <w:rFonts w:ascii="Times New Roman" w:eastAsia="Times New Roman" w:hAnsi="Times New Roman" w:cs="Times New Roman"/>
          <w:sz w:val="24"/>
          <w:szCs w:val="24"/>
          <w:lang w:val="en-ID"/>
        </w:rPr>
        <w:instrText>ADDIN CSL_CITATION {"citationItems":[{"id":"ITEM-1","itemData":{"DOI":"10.3389/fcimb.2017.00039","ISSN":"22352988","PMID":"28261568","abstract":"Pseudomonas aeruginosa is an opportunistic pathogen affecting immunocompromised patients. It is known as the leading cause of morbidity and mortality in cystic fibrosis (CF) patients and as one of the leading causes of nosocomial infections. Due to a range of mechanisms for adaptation, survival and resistance to multiple classes of antibiotics, infections by P. aeruginosa strains can be life-threatening and it is emerging worldwide as public health threat. This review highlights the diversity of mechanisms by which P. aeruginosa promotes its survival and persistence in various environments and particularly at different stages of pathogenesis. We will review the importance and complexity of regulatory networks and genotypic-phenotypic variations known as adaptive radiation by which P. aeruginosa adjusts physiological processes for adaptation and survival in response to environmental cues and stresses. Accordingly, we will review the central regulatory role of quorum sensing and signaling systems by nucleotide-based second messengers resulting in different lifestyles of P. aeruginosa. Furthermore, various regulatory proteins will be discussed which form a plethora of controlling systems acting at transcriptional level for timely expression of genes enabling rapid responses to external stimuli and unfavorable conditions. Antibiotic resistance is a natural trait for P. aeruginosa and multiple mechanisms underlying different forms of antibiotic resistance will be discussed here. The importance of each mechanism in conferring resistance to various antipseudomonal antibiotics and their prevalence in clinical strains will be described. The underlying principles for acquiring resistance leading pan-drug resistant strains will be summarized. A future outlook emphasizes the need for collaborative international multidisciplinary efforts to translate current knowledge into strategies to prevent and treat P. aeruginosa infections while reducing the rate of antibiotic resistance and avoiding the spreading of resistant strains.","author":[{"dropping-particle":"","family":"Moradali","given":"M. Fata","non-dropping-particle":"","parse-names":false,"suffix":""},{"dropping-particle":"","family":"Ghods","given":"Shirin","non-dropping-particle":"","parse-names":false,"suffix":""},{"dropping-particle":"","family":"Rehm","given":"Bernd H.A.","non-dropping-particle":"","parse-names":false,"suffix":""}],"container-title":"Frontiers in Cellular and Infection Microbiology","id":"ITEM-1","issue":"FEB","issued":{"date-parts":[["2017"]]},"page":"39","publisher":"University of Florida","publisher-place":"Gainesville","title":"Pseudomonas aeruginosa Lifestyle: A Paradigm for Adaptation, Survival, and Persistence","type":"article","volume":"7"},"uris":["http://www.mendeley.com/documents/?uuid=646adb48-f00b-4276-a20c-71033710b555"]}],"mendeley":{"formattedCitation":"&lt;sup&gt;1&lt;/sup&gt;","plainTextFormattedCitation":"1","previouslyFormattedCitation":"&lt;sup&gt;1&lt;/sup&gt;"},"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C2DFB">
        <w:rPr>
          <w:rFonts w:ascii="Times New Roman" w:eastAsia="Times New Roman" w:hAnsi="Times New Roman" w:cs="Times New Roman"/>
          <w:noProof/>
          <w:sz w:val="24"/>
          <w:szCs w:val="24"/>
          <w:vertAlign w:val="superscript"/>
          <w:lang w:val="en-ID"/>
        </w:rPr>
        <w:t>1</w:t>
      </w:r>
      <w:r>
        <w:rPr>
          <w:rFonts w:ascii="Times New Roman" w:eastAsia="Times New Roman" w:hAnsi="Times New Roman" w:cs="Times New Roman"/>
          <w:sz w:val="24"/>
          <w:szCs w:val="24"/>
          <w:lang w:val="en-ID"/>
        </w:rPr>
        <w:fldChar w:fldCharType="end"/>
      </w:r>
      <w:r w:rsidRPr="006C2DFB">
        <w:rPr>
          <w:rFonts w:ascii="Times New Roman" w:eastAsia="Times New Roman" w:hAnsi="Times New Roman" w:cs="Times New Roman"/>
          <w:sz w:val="24"/>
          <w:szCs w:val="24"/>
          <w:lang w:val="en-ID"/>
        </w:rPr>
        <w:t xml:space="preserve"> Infections caused by </w:t>
      </w:r>
      <w:r w:rsidRPr="006C2DFB">
        <w:rPr>
          <w:rFonts w:ascii="Times New Roman" w:eastAsia="Times New Roman" w:hAnsi="Times New Roman" w:cs="Times New Roman"/>
          <w:i/>
          <w:iCs/>
          <w:sz w:val="24"/>
          <w:szCs w:val="24"/>
          <w:lang w:val="en-ID"/>
        </w:rPr>
        <w:t>P. aeruginosa</w:t>
      </w:r>
      <w:r w:rsidRPr="006C2DFB">
        <w:rPr>
          <w:rFonts w:ascii="Times New Roman" w:eastAsia="Times New Roman" w:hAnsi="Times New Roman" w:cs="Times New Roman"/>
          <w:sz w:val="24"/>
          <w:szCs w:val="24"/>
          <w:lang w:val="en-ID"/>
        </w:rPr>
        <w:t xml:space="preserve"> are often severe, affecting immunocompromised patients and those with prolonged hospital stays.</w:t>
      </w:r>
      <w:r>
        <w:rPr>
          <w:rFonts w:ascii="Times New Roman" w:eastAsia="Times New Roman" w:hAnsi="Times New Roman" w:cs="Times New Roman"/>
          <w:sz w:val="24"/>
          <w:szCs w:val="24"/>
          <w:lang w:val="en-ID"/>
        </w:rPr>
        <w:fldChar w:fldCharType="begin" w:fldLock="1"/>
      </w:r>
      <w:r>
        <w:rPr>
          <w:rFonts w:ascii="Times New Roman" w:eastAsia="Times New Roman" w:hAnsi="Times New Roman" w:cs="Times New Roman"/>
          <w:sz w:val="24"/>
          <w:szCs w:val="24"/>
          <w:lang w:val="en-ID"/>
        </w:rPr>
        <w:instrText>ADDIN CSL_CITATION {"citationItems":[{"id":"ITEM-1","itemData":{"DOI":"10.1007/s40265-021-01635-6","ISSN":"1179-1950","abstract":"Pseudomonas aeruginosa is a Gram-negative bacterial pathogen that is a common cause of nosocomial infections, particularly pneumonia, infection in immunocompromised hosts, and in those with structural lung disease such as cystic fibrosis. Epidemiological studies have identified increasing trends of antimicrobial resistance, including multi-drug resistant (MDR) isolates in recent years. P. aeruginosa has several virulence mechanisms that increase its ability to cause severe infections, such as secreted toxins, quorum sensing and biofilm formation. Management of P. aeruginosa infections focuses on prevention when possible, obtaining cultures, and prompt initiation of antimicrobial therapy, occasionally with combination therapy depending on the clinical scenario to ensure activity against P. aeruginosa. Newer anti-pseudomonal antibiotics are available and are increasingly being used in the management of MDR P. aeruginosa.","author":[{"dropping-particle":"","family":"Reynolds","given":"Dan","non-dropping-particle":"","parse-names":false,"suffix":""},{"dropping-particle":"","family":"Kollef","given":"Marin","non-dropping-particle":"","parse-names":false,"suffix":""}],"container-title":"Drugs","id":"ITEM-1","issue":"18","issued":{"date-parts":[["2021"]]},"page":"2117-2131","title":"The Epidemiology and Pathogenesis and Treatment of Pseudomonas aeruginosa Infections: An Update","type":"article-journal","volume":"81"},"uris":["http://www.mendeley.com/documents/?uuid=fc2d3a05-8328-4ae3-9061-fbbfd21e1aa2"]}],"mendeley":{"formattedCitation":"&lt;sup&gt;2&lt;/sup&gt;","plainTextFormattedCitation":"2","previouslyFormattedCitation":"&lt;sup&gt;2&lt;/sup&gt;"},"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C2DFB">
        <w:rPr>
          <w:rFonts w:ascii="Times New Roman" w:eastAsia="Times New Roman" w:hAnsi="Times New Roman" w:cs="Times New Roman"/>
          <w:noProof/>
          <w:sz w:val="24"/>
          <w:szCs w:val="24"/>
          <w:vertAlign w:val="superscript"/>
          <w:lang w:val="en-ID"/>
        </w:rPr>
        <w:t>2</w:t>
      </w:r>
      <w:r>
        <w:rPr>
          <w:rFonts w:ascii="Times New Roman" w:eastAsia="Times New Roman" w:hAnsi="Times New Roman" w:cs="Times New Roman"/>
          <w:sz w:val="24"/>
          <w:szCs w:val="24"/>
          <w:lang w:val="en-ID"/>
        </w:rPr>
        <w:fldChar w:fldCharType="end"/>
      </w:r>
      <w:r w:rsidRPr="006C2DFB">
        <w:rPr>
          <w:rFonts w:ascii="Times New Roman" w:eastAsia="Times New Roman" w:hAnsi="Times New Roman" w:cs="Times New Roman"/>
          <w:sz w:val="24"/>
          <w:szCs w:val="24"/>
          <w:lang w:val="en-ID"/>
        </w:rPr>
        <w:t xml:space="preserve"> This study was conducted to provide updated local data on antibiotic susceptibility profiles in South Sumatera, Indonesia.</w:t>
      </w:r>
    </w:p>
    <w:p w14:paraId="064EB70F" w14:textId="33EB3629" w:rsidR="006C2DFB" w:rsidRPr="006C2DFB" w:rsidRDefault="006C2DFB" w:rsidP="006C2DFB">
      <w:pPr>
        <w:spacing w:after="0" w:line="240" w:lineRule="auto"/>
        <w:ind w:left="-2" w:firstLineChars="236" w:firstLine="566"/>
        <w:jc w:val="both"/>
        <w:rPr>
          <w:rFonts w:ascii="Times New Roman" w:eastAsia="Times New Roman" w:hAnsi="Times New Roman" w:cs="Times New Roman"/>
          <w:sz w:val="24"/>
          <w:szCs w:val="24"/>
          <w:lang w:val="en-ID"/>
        </w:rPr>
      </w:pPr>
      <w:r w:rsidRPr="006C2DFB">
        <w:rPr>
          <w:rFonts w:ascii="Times New Roman" w:eastAsia="Times New Roman" w:hAnsi="Times New Roman" w:cs="Times New Roman"/>
          <w:sz w:val="24"/>
          <w:szCs w:val="24"/>
          <w:lang w:val="en-ID"/>
        </w:rPr>
        <w:t xml:space="preserve">From May 2022 to April 2023, we collected data from 465 hospitalized patients with confirmed </w:t>
      </w:r>
      <w:r w:rsidRPr="006C2DFB">
        <w:rPr>
          <w:rFonts w:ascii="Times New Roman" w:eastAsia="Times New Roman" w:hAnsi="Times New Roman" w:cs="Times New Roman"/>
          <w:i/>
          <w:iCs/>
          <w:sz w:val="24"/>
          <w:szCs w:val="24"/>
          <w:lang w:val="en-ID"/>
        </w:rPr>
        <w:t>P. aeruginosa</w:t>
      </w:r>
      <w:r w:rsidRPr="006C2DFB">
        <w:rPr>
          <w:rFonts w:ascii="Times New Roman" w:eastAsia="Times New Roman" w:hAnsi="Times New Roman" w:cs="Times New Roman"/>
          <w:sz w:val="24"/>
          <w:szCs w:val="24"/>
          <w:lang w:val="en-ID"/>
        </w:rPr>
        <w:t xml:space="preserve"> infections at Dr. Mohammad Hoesin General Hospital. Adults aged 18–65 years accounted for most cases (71%), with the average hospital stay lasting 20.5 days. The most frequent diagnoses included diabetic foot ulcers, pneumonia, and sepsis. These results highlight the pathogen’s role in both wound-related and respiratory infections, consistent with its biofilm-forming capacity and ability to colonize medical devices.</w:t>
      </w:r>
      <w:r>
        <w:rPr>
          <w:rFonts w:ascii="Times New Roman" w:eastAsia="Times New Roman" w:hAnsi="Times New Roman" w:cs="Times New Roman"/>
          <w:sz w:val="24"/>
          <w:szCs w:val="24"/>
          <w:lang w:val="en-ID"/>
        </w:rPr>
        <w:fldChar w:fldCharType="begin" w:fldLock="1"/>
      </w:r>
      <w:r>
        <w:rPr>
          <w:rFonts w:ascii="Times New Roman" w:eastAsia="Times New Roman" w:hAnsi="Times New Roman" w:cs="Times New Roman"/>
          <w:sz w:val="24"/>
          <w:szCs w:val="24"/>
          <w:lang w:val="en-ID"/>
        </w:rPr>
        <w:instrText>ADDIN CSL_CITATION {"citationItems":[{"id":"ITEM-1","itemData":{"DOI":"10.1097/MRM.0000000000000271","ISSN":"2770-3150","abstract":"Pseudomonas aeruginosa is a Gram-negative pathogen that has become an important cause of infection in humans and can be associated with significant morbidity and mortality. Severe infections usually affect immunocompromised patients or those with chronic debilitating diseases. Its significance as a pathogen is exacerbated by its resistance to antibiotics, virulence factors and its ability to adapt to a wide range of environments. P. aeruginosa can have multiple intrinsic or acquired mechanisms of resistance, frequently with high resistance rates to various antimicrobial classes. In recent years, the worldwide spread of the so-called ‘high-risk clones’ of multidrug-resistant or extensively drug-resistant P. aeruginosa has become a public health threat that needs to be studied and managed with urgency and determination. Among Gram-negative infections, P. aeruginosa is one of the most common Gram-negative bacteria causing nosocomial and healthcare-associated infections in hospitalised patients. According to WHO guidelines, measures to prevent the transmission of multiresistant P. aeruginosa in healthcare facilities should include at least hand hygiene (with the appropriate use of alcohol-based solutions), contact precautions, patient isolation (single room or cohort), environmental cleanliness and surveillance.","author":[{"dropping-particle":"","family":"Spagnolo","given":"Anna Maria","non-dropping-particle":"","parse-names":false,"suffix":""},{"dropping-particle":"","family":"Sartini","given":"Marina","non-dropping-particle":"","parse-names":false,"suffix":""},{"dropping-particle":"","family":"Cristina","given":"Maria Luisa","non-dropping-particle":"","parse-names":false,"suffix":""}],"container-title":"Reviews and Research in Medical Microbiology","id":"ITEM-1","issue":"3","issued":{"date-parts":[["2021"]]},"title":"Pseudomonas aeruginosa in the Healthcare Facility Setting","type":"article-journal","volume":"32"},"uris":["http://www.mendeley.com/documents/?uuid=426e0e67-7202-4c9a-924f-3264a6cd7163"]},{"id":"ITEM-2","itemData":{"DOI":"10.24843.MU.2021.V10.i12.P15","author":[{"dropping-particle":"","family":"Saputra","given":"I Putu Gede Septiawan","non-dropping-particle":"","parse-names":false,"suffix":""},{"dropping-particle":"","family":"Iswari","given":"Ida Sri","non-dropping-particle":"","parse-names":false,"suffix":""},{"dropping-particle":"","family":"Pinatih","given":"Komang Januartha Putra","non-dropping-particle":"","parse-names":false,"suffix":""}],"container-title":"Jurnal Medika Udayana","id":"ITEM-2","issue":"12","issued":{"date-parts":[["2021"]]},"page":"89-95","title":"Prevalensi dan Pola Kepekaan Multidrug Resistance Pseudomonas aeruginosa terhadap Antibiotika pada Pasien Pneumonia di RSUP Sanglah","type":"article-journal","volume":"10"},"uris":["http://www.mendeley.com/documents/?uuid=6ee0d22d-1af6-4499-bc86-d5f4a7bffff1"]}],"mendeley":{"formattedCitation":"&lt;sup&gt;3,4&lt;/sup&gt;","plainTextFormattedCitation":"3,4","previouslyFormattedCitation":"&lt;sup&gt;3,4&lt;/sup&gt;"},"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C2DFB">
        <w:rPr>
          <w:rFonts w:ascii="Times New Roman" w:eastAsia="Times New Roman" w:hAnsi="Times New Roman" w:cs="Times New Roman"/>
          <w:noProof/>
          <w:sz w:val="24"/>
          <w:szCs w:val="24"/>
          <w:vertAlign w:val="superscript"/>
          <w:lang w:val="en-ID"/>
        </w:rPr>
        <w:t>3,4</w:t>
      </w:r>
      <w:r>
        <w:rPr>
          <w:rFonts w:ascii="Times New Roman" w:eastAsia="Times New Roman" w:hAnsi="Times New Roman" w:cs="Times New Roman"/>
          <w:sz w:val="24"/>
          <w:szCs w:val="24"/>
          <w:lang w:val="en-ID"/>
        </w:rPr>
        <w:fldChar w:fldCharType="end"/>
      </w:r>
    </w:p>
    <w:p w14:paraId="2F286A6F" w14:textId="3C87F6E5" w:rsidR="005452E3" w:rsidRPr="006C2DFB" w:rsidRDefault="006C2DFB" w:rsidP="005452E3">
      <w:pPr>
        <w:spacing w:after="0" w:line="240" w:lineRule="auto"/>
        <w:ind w:left="-2" w:firstLineChars="236" w:firstLine="566"/>
        <w:jc w:val="both"/>
        <w:rPr>
          <w:rFonts w:ascii="Times New Roman" w:eastAsia="Times New Roman" w:hAnsi="Times New Roman" w:cs="Times New Roman"/>
          <w:sz w:val="24"/>
          <w:szCs w:val="24"/>
          <w:lang w:val="en-ID"/>
        </w:rPr>
      </w:pPr>
      <w:r w:rsidRPr="006C2DFB">
        <w:rPr>
          <w:rFonts w:ascii="Times New Roman" w:eastAsia="Times New Roman" w:hAnsi="Times New Roman" w:cs="Times New Roman"/>
          <w:sz w:val="24"/>
          <w:szCs w:val="24"/>
          <w:lang w:val="en-ID"/>
        </w:rPr>
        <w:t>Antibiotic susceptibility testing demonstrated that aminoglycosides, particularly amikacin (94.2%) and gentamicin (86.5%), remain the most effective agents. Cefepime showed 81.7% sensitivity, while ciprofloxacin and piperacillin–tazobactam retained moderate activity. Conversely, resistance to carbapenems such as meropenem (18.9%) and ceftazidime (18.1%) indicates rising treatment challenges. Notably, all isolates were resistant to cefazolin and tigecycline, reflecting intrinsic resistance mechanisms and efflux-mediated drug exclusion.</w:t>
      </w:r>
      <w:r>
        <w:rPr>
          <w:rFonts w:ascii="Times New Roman" w:eastAsia="Times New Roman" w:hAnsi="Times New Roman" w:cs="Times New Roman"/>
          <w:sz w:val="24"/>
          <w:szCs w:val="24"/>
          <w:lang w:val="en-ID"/>
        </w:rPr>
        <w:fldChar w:fldCharType="begin" w:fldLock="1"/>
      </w:r>
      <w:r>
        <w:rPr>
          <w:rFonts w:ascii="Times New Roman" w:eastAsia="Times New Roman" w:hAnsi="Times New Roman" w:cs="Times New Roman"/>
          <w:sz w:val="24"/>
          <w:szCs w:val="24"/>
          <w:lang w:val="en-ID"/>
        </w:rPr>
        <w:instrText>ADDIN CSL_CITATION {"citationItems":[{"id":"ITEM-1","itemData":{"DOI":"10.4103/0974-777X.192962","ISSN":"0974-777X (Print)","PMID":"27942195","abstract":"BACKGROUND: Infection by Pseudomonas aeruginosa is common in the Intensive Care Unit (ICU), leading to increased morbidity and mortality. The organism is classified into various phenotypes based on the drug resistance pattern, namely, drug-resistant (DR), multi-DR (MDR), extensively DR (XDR), and pan-DR (PDR). We aim to study the incidence of P. aeruginosa phenotypes in a tertiary level ICU. MATERIALS AND METHODS: We conducted this prospective, observational study for 2 years (January 2014-December 2015) and collected appropriate clinical samples (blood, urine, wound discharge, etc.,) from all the patients admitted to ICU. We excluded patients with known septicemia and P. aeruginosa infection. Group 1 comprised a total 1915 patient samples and Group 2 comprised 100 active surveillance samples, collected from the medical staff and the hospital environment. The data were analyzed using appropriate statistical methods, and a P &lt; 0.05 was considered statistically significant. RESULTS: We isolated 597 pathogenic bacteria out of 1915 specimens, giving a culture positivity rate of 31.2%. Klebsiella (43%), Acinetobacter (22%), and P. aeruginosa (15%) were the top three isolated bacteria. None of the surveillance samples grew P. aeruginosa. Antibiotic resistance studies revealed that 47.7% of P. aeruginosa isolates were DR, 50% were MDR, and 2.3% were XDR phenotype. None of the strains showed PDR phenotype. CONCLUSION: Our data revealed a high prevalence of DR phenotypes of P. aeruginosa in the ICU. Judicious use of antibiotics and strict infection control measures are essential to reduce the prevalence of drug resistance.","author":[{"dropping-particle":"","family":"Gill","given":"J S","non-dropping-particle":"","parse-names":false,"suffix":""},{"dropping-particle":"","family":"Arora","given":"Sunil","non-dropping-particle":"","parse-names":false,"suffix":""},{"dropping-particle":"","family":"Khanna","given":"S P","non-dropping-particle":"","parse-names":false,"suffix":""},{"dropping-particle":"","family":"Kumar","given":"Kvs Hari","non-dropping-particle":"","parse-names":false,"suffix":""}],"container-title":"Journal of Global iIfectious Diseases","id":"ITEM-1","issue":"4","issued":{"date-parts":[["2016"]]},"language":"eng","page":"155-159","publisher-place":"India","title":"Prevalence of Multidrug-resistant, Extensively Drug-resistant, and Pandrug-resistant Pseudomonas aeruginosa from a Tertiary Level Intensive Care Unit","type":"article-journal","volume":"8"},"uris":["http://www.mendeley.com/documents/?uuid=d92f265f-a7fe-42b6-9d94-7ade07f22ca6"]},{"id":"ITEM-2","itemData":{"DOI":"10.1007/s10096-020-04121-1","ISSN":"1435-4373","abstract":"Tigecycline is unique glycylcycline class of semisynthetic antimicrobial agents developed for the treatment of polymicrobial infections caused by multidrug-resistant Gram-positive and Gram-negative pathogens. Tigecycline evades the main tetracycline resistance genetic mechanisms, such as tetracycline-specific efflux pump acquisition and ribosomal protection, via the addition of a glycyclamide moiety to the 9-position of minocycline. The use of the parenteral form of tigecycline is approved for complicated skin and skin structure infections (excluding diabetes foot infection), complicated intra-abdominal infections, and community-acquired bacterial pneumonia in adults. New evidence also suggests the effectiveness of tigecycline for the treatment of severe Clostridioides difficile infections. Tigecycline showed in vitro susceptibility to Coxiella spp., Rickettsia spp., and multidrug-resistant Neisseria gonnorrhoeae strains which indicate the possible use of tigecycline in the treatment of infections caused by these pathogens. Except for intrinsic, or often reported resistance in some Gram-negatives, tigecycline is effective against a wide range of multidrug-resistant nosocomial pathogens. Herein, we summarize the currently available data on tigecycline pharmacokinetics and pharmacodynamics, its mechanism of action, the epidemiology of tigecycline resistance, and its clinical effectiveness.","author":[{"dropping-particle":"","family":"Yaghoubi","given":"Sajad","non-dropping-particle":"","parse-names":false,"suffix":""},{"dropping-particle":"","family":"Zekiy","given":"Angelina Olegovna","non-dropping-particle":"","parse-names":false,"suffix":""},{"dropping-particle":"","family":"Krutova","given":"Marcela","non-dropping-particle":"","parse-names":false,"suffix":""},{"dropping-particle":"","family":"Gholami","given":"Mehrdad","non-dropping-particle":"","parse-names":false,"suffix":""},{"dropping-particle":"","family":"Kouhsari","given":"Ebrahim","non-dropping-particle":"","parse-names":false,"suffix":""},{"dropping-particle":"","family":"Sholeh","given":"Mohammad","non-dropping-particle":"","parse-names":false,"suffix":""},{"dropping-particle":"","family":"Ghafouri","given":"Zahra","non-dropping-particle":"","parse-names":false,"suffix":""},{"dropping-particle":"","family":"Maleki","given":"Farajolah","non-dropping-particle":"","parse-names":false,"suffix":""}],"container-title":"European Journal of Clinical Microbiology &amp; Infectious Diseases","id":"ITEM-2","issue":"7","issued":{"date-parts":[["2022"]]},"page":"1003-1022","title":"Tigecycline Antibacterial Activity, Clinical Effectiveness, and Mechanisms and Epidemiology of Resistance: Narrative Review","type":"article-journal","volume":"41"},"uris":["http://www.mendeley.com/documents/?uuid=96879efb-487f-4f2b-b9dc-23b81d5c9b85"]}],"mendeley":{"formattedCitation":"&lt;sup&gt;5,6&lt;/sup&gt;","plainTextFormattedCitation":"5,6","previouslyFormattedCitation":"&lt;sup&gt;5,6&lt;/sup&gt;"},"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C2DFB">
        <w:rPr>
          <w:rFonts w:ascii="Times New Roman" w:eastAsia="Times New Roman" w:hAnsi="Times New Roman" w:cs="Times New Roman"/>
          <w:noProof/>
          <w:sz w:val="24"/>
          <w:szCs w:val="24"/>
          <w:vertAlign w:val="superscript"/>
          <w:lang w:val="en-ID"/>
        </w:rPr>
        <w:t>5,6</w:t>
      </w:r>
      <w:r>
        <w:rPr>
          <w:rFonts w:ascii="Times New Roman" w:eastAsia="Times New Roman" w:hAnsi="Times New Roman" w:cs="Times New Roman"/>
          <w:sz w:val="24"/>
          <w:szCs w:val="24"/>
          <w:lang w:val="en-ID"/>
        </w:rPr>
        <w:fldChar w:fldCharType="end"/>
      </w:r>
      <w:r w:rsidRPr="006C2DFB">
        <w:rPr>
          <w:rFonts w:ascii="Times New Roman" w:eastAsia="Times New Roman" w:hAnsi="Times New Roman" w:cs="Times New Roman"/>
          <w:sz w:val="24"/>
          <w:szCs w:val="24"/>
          <w:lang w:val="en-ID"/>
        </w:rPr>
        <w:t xml:space="preserve"> </w:t>
      </w:r>
    </w:p>
    <w:p w14:paraId="408179A2" w14:textId="6C3D5AEF" w:rsidR="006C2DFB" w:rsidRPr="006C2DFB" w:rsidRDefault="006C2DFB" w:rsidP="006C2DFB">
      <w:pPr>
        <w:spacing w:after="0" w:line="240" w:lineRule="auto"/>
        <w:ind w:left="-2" w:firstLineChars="236" w:firstLine="566"/>
        <w:jc w:val="both"/>
        <w:rPr>
          <w:rFonts w:ascii="Times New Roman" w:eastAsia="Times New Roman" w:hAnsi="Times New Roman" w:cs="Times New Roman"/>
          <w:sz w:val="24"/>
          <w:szCs w:val="24"/>
          <w:lang w:val="en-ID"/>
        </w:rPr>
      </w:pPr>
      <w:r w:rsidRPr="006C2DFB">
        <w:rPr>
          <w:rFonts w:ascii="Times New Roman" w:eastAsia="Times New Roman" w:hAnsi="Times New Roman" w:cs="Times New Roman"/>
          <w:sz w:val="24"/>
          <w:szCs w:val="24"/>
          <w:lang w:val="en-ID"/>
        </w:rPr>
        <w:t xml:space="preserve">Resistance profiles revealed MDR in 24.7% of isolates, XDR in 6.7%, and probable PDR in 0.9%. These rates align with global surveillance data and emphasize the clinical threat posed by resistant </w:t>
      </w:r>
      <w:r w:rsidRPr="006C2DFB">
        <w:rPr>
          <w:rFonts w:ascii="Times New Roman" w:eastAsia="Times New Roman" w:hAnsi="Times New Roman" w:cs="Times New Roman"/>
          <w:i/>
          <w:iCs/>
          <w:sz w:val="24"/>
          <w:szCs w:val="24"/>
          <w:lang w:val="en-ID"/>
        </w:rPr>
        <w:t>P. aeruginosa</w:t>
      </w:r>
      <w:r w:rsidRPr="006C2DFB">
        <w:rPr>
          <w:rFonts w:ascii="Times New Roman" w:eastAsia="Times New Roman" w:hAnsi="Times New Roman" w:cs="Times New Roman"/>
          <w:sz w:val="24"/>
          <w:szCs w:val="24"/>
          <w:lang w:val="en-ID"/>
        </w:rPr>
        <w:t>.</w:t>
      </w:r>
      <w:r>
        <w:rPr>
          <w:rFonts w:ascii="Times New Roman" w:eastAsia="Times New Roman" w:hAnsi="Times New Roman" w:cs="Times New Roman"/>
          <w:sz w:val="24"/>
          <w:szCs w:val="24"/>
          <w:lang w:val="en-ID"/>
        </w:rPr>
        <w:fldChar w:fldCharType="begin" w:fldLock="1"/>
      </w:r>
      <w:r>
        <w:rPr>
          <w:rFonts w:ascii="Times New Roman" w:eastAsia="Times New Roman" w:hAnsi="Times New Roman" w:cs="Times New Roman"/>
          <w:sz w:val="24"/>
          <w:szCs w:val="24"/>
          <w:lang w:val="en-ID"/>
        </w:rPr>
        <w:instrText>ADDIN CSL_CITATION {"citationItems":[{"id":"ITEM-1","itemData":{"DOI":"10.1016/j.diagmicrobio.2018.04.012","ISSN":"0732-8893","abstract":"A total of 18,656 Enterobacteriaceae and 4,175 Pseudomonas aeruginosa were consecutively collected from 85 US hospitals and tested for susceptibility by broth microdilution methods in a central monitoring laboratory (JMI Laboratories). The antimicrobial susceptibility and frequency of key resistance phenotypes were assessed and stratified by infection type as follows: bloodstream (BSI; 3,434 isolates; 15.0%), pneumonia (6,439; 28.2%), skin and skin structure (SSSI; 4,134; 18.1%), intra-abdominal (IAI; 951; 4.2%), and urinary tract (UTI; 7,873; 34.5%). Ceftazidime-avibactam was active against 99.9% to 100.0% of Enterobacteriaceae and 97.0% (pneumonia) to 99.4% (UTI) of P. aeruginosa isolates. Susceptibility rates were consistently lower for β-lactams, such as ceftazidime (82.3% vs. 87.1–90.8%), piperacillin-tazobactam (87.5% vs. 90.2–95.6%), and meropenem (96.8% vs. 98.4–99.4%) among Enterobacteriaceae from pneumonia compared to other infection types. Susceptibility to gentamicin was also generally lower among isolates from pneumonia, whereas susceptibility to levofloxacin and colistin were lowest among BSI and SSSI isolates, respectively. The occurrence of multidrug-resistance (MDR; 8.2% overall), extensively drug-resistance (XDR; 1.1% overall), and carbapenem-resistant Enterobacteriaceae (CRE; 1.3% overall) phenotypes were markedly higher among isolates from patients with pneumonia compared to other infection types. Among P. aeruginosa, susceptibility rates for ceftazidime, piperacillin-tazobactam, and gentamicin were lowest among isolates from pneumonia, whereas susceptibility to meropenem was similar among isolates from BSI, pneumonia, and IAI (77.3–77.9%), and susceptibility to levofloxacin was markedly lower among UTI isolates (67.1%). The frequencies of P. aeruginosa isolates with MDR and XDR phenotypes were highest among isolates from patients with pneumonia.","author":[{"dropping-particle":"","family":"Sader","given":"Helio S","non-dropping-particle":"","parse-names":false,"suffix":""},{"dropping-particle":"","family":"Castanheira","given":"Mariana","non-dropping-particle":"","parse-names":false,"suffix":""},{"dropping-particle":"","family":"Duncan","given":"Leonard R","non-dropping-particle":"","parse-names":false,"suffix":""},{"dropping-particle":"","family":"Flamm","given":"Robert K","non-dropping-particle":"","parse-names":false,"suffix":""}],"container-title":"Diagnostic Microbiology and Infectious Disease","id":"ITEM-1","issue":"1","issued":{"date-parts":[["2018"]]},"page":"69-74","title":"Antimicrobial Susceptibility of Enterobacteriaceae and Pseudomonas aeruginosa Isolates from United States Medical Centers Stratified by Infection Type: Results from the International Network for Optimal Resistance Monitoring (INFORM) Surveillance Program,","type":"article-journal","volume":"92"},"uris":["http://www.mendeley.com/documents/?uuid=90129f21-8cf5-488a-aae5-8ea3c34b048e"]}],"mendeley":{"formattedCitation":"&lt;sup&gt;7&lt;/sup&gt;","plainTextFormattedCitation":"7","previouslyFormattedCitation":"&lt;sup&gt;7&lt;/sup&gt;"},"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C2DFB">
        <w:rPr>
          <w:rFonts w:ascii="Times New Roman" w:eastAsia="Times New Roman" w:hAnsi="Times New Roman" w:cs="Times New Roman"/>
          <w:noProof/>
          <w:sz w:val="24"/>
          <w:szCs w:val="24"/>
          <w:vertAlign w:val="superscript"/>
          <w:lang w:val="en-ID"/>
        </w:rPr>
        <w:t>7</w:t>
      </w:r>
      <w:r>
        <w:rPr>
          <w:rFonts w:ascii="Times New Roman" w:eastAsia="Times New Roman" w:hAnsi="Times New Roman" w:cs="Times New Roman"/>
          <w:sz w:val="24"/>
          <w:szCs w:val="24"/>
          <w:lang w:val="en-ID"/>
        </w:rPr>
        <w:fldChar w:fldCharType="end"/>
      </w:r>
      <w:r w:rsidRPr="006C2DFB">
        <w:rPr>
          <w:rFonts w:ascii="Times New Roman" w:eastAsia="Times New Roman" w:hAnsi="Times New Roman" w:cs="Times New Roman"/>
          <w:sz w:val="24"/>
          <w:szCs w:val="24"/>
          <w:lang w:val="en-ID"/>
        </w:rPr>
        <w:t xml:space="preserve"> MDR strains are commonly hospital-acquired, driven by prolonged antibiotic exposure, invasive procedures, and horizontal gene transfer. The detection of XDR and probable PDR isolates is especially concerning, as therapeutic options become increasingly limited, resulting in higher morbidity and mortality.</w:t>
      </w:r>
      <w:r>
        <w:rPr>
          <w:rFonts w:ascii="Times New Roman" w:eastAsia="Times New Roman" w:hAnsi="Times New Roman" w:cs="Times New Roman"/>
          <w:sz w:val="24"/>
          <w:szCs w:val="24"/>
          <w:lang w:val="en-ID"/>
        </w:rPr>
        <w:fldChar w:fldCharType="begin" w:fldLock="1"/>
      </w:r>
      <w:r>
        <w:rPr>
          <w:rFonts w:ascii="Times New Roman" w:eastAsia="Times New Roman" w:hAnsi="Times New Roman" w:cs="Times New Roman"/>
          <w:sz w:val="24"/>
          <w:szCs w:val="24"/>
          <w:lang w:val="en-ID"/>
        </w:rPr>
        <w:instrText>ADDIN CSL_CITATION {"citationItems":[{"id":"ITEM-1","itemData":{"DOI":"10.1093/cid/ciy378","ISSN":"1537-6591 (Electronic)","PMID":"30052813","abstract":"BACKGROUND: Resistance to all first-line antibiotics necessitates the use of less effective or more toxic \"reserve\" agents. Gram-negative bloodstream infections (GNBSIs) harboring such difficult-to-treat resistance (DTR) may have higher mortality than phenotypes that allow for ≥1 active first-line antibiotic. METHODS: The Premier Database was analyzed for inpatients with select GNBSIs. DTR was defined as intermediate/resistant in vitro to all ß-lactam categories, including carbapenems and fluoroquinolones. Prevalence and aminoglycoside resistance of DTR episodes were compared with carbapenem-resistant, extended-spectrum cephalosporin-resistant, and fluoroquinolone-resistant episodes using CDC definitions. Predictors of DTR were identified. The adjusted relative risk (aRR) of mortality was examined for DTR, CDC-defined phenotypes susceptible to ≥1 first-line agent, and graded loss of active categories. RESULTS: Between 2009-2013, 471 (1%) of 45011 GNBSI episodes at 92 (53.2%) of 173 hospitals exhibited DTR, ranging from 0.04% for Escherichia coli to 18.4% for Acinetobacter baumannii. Among patients with DTR, 79% received parenteral aminoglycosides, tigecycline, or colistin/polymyxin-B; resistance to all aminoglycosides occurred in 33%. Predictors of DTR included urban healthcare and higher baseline illness. Crude mortality for GNBSIs with DTR was 43%; aRR was higher for DTR than for carbapenem-resistant (1.2; 95% confidence interval, 1.0-1.4; P = .02), extended-spectrum cephalosporin-resistant (1.2; 1.1-1.4; P = .001), or fluoroquinolone-resistant (1.2; 1.0-1.4; P = .008) infections. The mortality aRR increased 20% per graded loss of active first-line categories, from 3-5 to 1-2 to 0. CONCLUSION: Nonsusceptibility to first-line antibiotics is associated with decreased survival in GNBSIs. DTR is a simple bedside prognostic measure of treatment-limiting coresistance.","author":[{"dropping-particle":"","family":"Kadri","given":"Sameer S","non-dropping-particle":"","parse-names":false,"suffix":""},{"dropping-particle":"","family":"Adjemian","given":"Jennifer","non-dropping-particle":"","parse-names":false,"suffix":""},{"dropping-particle":"","family":"Lai","given":"Yi Ling","non-dropping-particle":"","parse-names":false,"suffix":""},{"dropping-particle":"","family":"Spaulding","given":"Alicen B","non-dropping-particle":"","parse-names":false,"suffix":""},{"dropping-particle":"","family":"Ricotta","given":"Emily","non-dropping-particle":"","parse-names":false,"suffix":""},{"dropping-particle":"","family":"Prevots","given":"D Rebecca","non-dropping-particle":"","parse-names":false,"suffix":""},{"dropping-particle":"","family":"Palmore","given":"Tara N","non-dropping-particle":"","parse-names":false,"suffix":""},{"dropping-particle":"","family":"Rhee","given":"Chanu","non-dropping-particle":"","parse-names":false,"suffix":""},{"dropping-particle":"","family":"Klompas","given":"Michael","non-dropping-particle":"","parse-names":false,"suffix":""},{"dropping-particle":"","family":"Dekker","given":"John P","non-dropping-particle":"","parse-names":false,"suffix":""},{"dropping-particle":"","family":"Powers","given":"John H 3rd","non-dropping-particle":"","parse-names":false,"suffix":""},{"dropping-particle":"","family":"Suffredini","given":"Anthony F","non-dropping-particle":"","parse-names":false,"suffix":""},{"dropping-particle":"","family":"Hooper","given":"David C","non-dropping-particle":"","parse-names":false,"suffix":""},{"dropping-particle":"","family":"Fridkin","given":"Scott","non-dropping-particle":"","parse-names":false,"suffix":""},{"dropping-particle":"","family":"Danner","given":"Robert L","non-dropping-particle":"","parse-names":false,"suffix":""}],"container-title":"Clinical infectious diseases : an official publication of the Infectious Diseases Society of America","id":"ITEM-1","issue":"12","issued":{"date-parts":[["2018","11"]]},"language":"eng","page":"1803-1814","publisher-place":"United States","title":"Difficult-to-Treat Resistance in Gram-negative Bacteremia at 173 US Hospitals: Retrospective Cohort Analysis of Prevalence, Predictors, and Outcome of Resistance to All First-line Agents","type":"article-journal","volume":"67"},"uris":["http://www.mendeley.com/documents/?uuid=1256948f-083b-4d57-b073-4b99c64893a6"]}],"mendeley":{"formattedCitation":"&lt;sup&gt;8&lt;/sup&gt;","plainTextFormattedCitation":"8","previouslyFormattedCitation":"&lt;sup&gt;8&lt;/sup&gt;"},"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C2DFB">
        <w:rPr>
          <w:rFonts w:ascii="Times New Roman" w:eastAsia="Times New Roman" w:hAnsi="Times New Roman" w:cs="Times New Roman"/>
          <w:noProof/>
          <w:sz w:val="24"/>
          <w:szCs w:val="24"/>
          <w:vertAlign w:val="superscript"/>
          <w:lang w:val="en-ID"/>
        </w:rPr>
        <w:t>8</w:t>
      </w:r>
      <w:r>
        <w:rPr>
          <w:rFonts w:ascii="Times New Roman" w:eastAsia="Times New Roman" w:hAnsi="Times New Roman" w:cs="Times New Roman"/>
          <w:sz w:val="24"/>
          <w:szCs w:val="24"/>
          <w:lang w:val="en-ID"/>
        </w:rPr>
        <w:fldChar w:fldCharType="end"/>
      </w:r>
    </w:p>
    <w:p w14:paraId="42241624" w14:textId="259BB17A" w:rsidR="006C2DFB" w:rsidRPr="006C2DFB" w:rsidRDefault="006C2DFB" w:rsidP="006C2DFB">
      <w:pPr>
        <w:spacing w:after="0" w:line="240" w:lineRule="auto"/>
        <w:ind w:left="-2" w:firstLineChars="236" w:firstLine="566"/>
        <w:jc w:val="both"/>
        <w:rPr>
          <w:rFonts w:ascii="Times New Roman" w:eastAsia="Times New Roman" w:hAnsi="Times New Roman" w:cs="Times New Roman"/>
          <w:sz w:val="24"/>
          <w:szCs w:val="24"/>
          <w:lang w:val="en-ID"/>
        </w:rPr>
      </w:pPr>
      <w:r w:rsidRPr="006C2DFB">
        <w:rPr>
          <w:rFonts w:ascii="Times New Roman" w:eastAsia="Times New Roman" w:hAnsi="Times New Roman" w:cs="Times New Roman"/>
          <w:sz w:val="24"/>
          <w:szCs w:val="24"/>
          <w:lang w:val="en-ID"/>
        </w:rPr>
        <w:t>These findings reinforce the necessity for antimicrobial stewardship programs, infection prevention and control measures, and continuous surveillance. Clinicians should prioritize culture-guided therapy, minimize unnecessary antibiotic exposure, and closely monitor patients with prolonged hospitalization. Amikacin remains a viable first-line option, but its potential nephrotoxicity and ototoxicity warrant cautious use.</w:t>
      </w:r>
      <w:r>
        <w:rPr>
          <w:rFonts w:ascii="Times New Roman" w:eastAsia="Times New Roman" w:hAnsi="Times New Roman" w:cs="Times New Roman"/>
          <w:sz w:val="24"/>
          <w:szCs w:val="24"/>
          <w:lang w:val="en-ID"/>
        </w:rPr>
        <w:fldChar w:fldCharType="begin" w:fldLock="1"/>
      </w:r>
      <w:r w:rsidR="00FD748E">
        <w:rPr>
          <w:rFonts w:ascii="Times New Roman" w:eastAsia="Times New Roman" w:hAnsi="Times New Roman" w:cs="Times New Roman"/>
          <w:sz w:val="24"/>
          <w:szCs w:val="24"/>
          <w:lang w:val="en-ID"/>
        </w:rPr>
        <w:instrText>ADDIN CSL_CITATION {"citationItems":[{"id":"ITEM-1","itemData":{"author":[{"dropping-particle":"","family":"Sizar","given":"Omeed","non-dropping-particle":"","parse-names":false,"suffix":""},{"dropping-particle":"","family":"Rahman","given":"Sajedur","non-dropping-particle":"","parse-names":false,"suffix":""},{"dropping-particle":"","family":"Sundareshan","given":"Vidya","non-dropping-particle":"","parse-names":false,"suffix":""}],"id":"ITEM-1","issued":{"date-parts":[["2023"]]},"publisher":"StatPearls Publishing","publisher-place":"Treasure Island (FL)","title":"Amikacin","type":"book"},"uris":["http://www.mendeley.com/documents/?uuid=81d8e26f-cafb-4786-9c21-44a78f04ae5b"]}],"mendeley":{"formattedCitation":"&lt;sup&gt;9&lt;/sup&gt;","plainTextFormattedCitation":"9","previouslyFormattedCitation":"&lt;sup&gt;9&lt;/sup&gt;"},"properties":{"noteIndex":0},"schema":"https://github.com/citation-style-language/schema/raw/master/csl-citation.json"}</w:instrText>
      </w:r>
      <w:r>
        <w:rPr>
          <w:rFonts w:ascii="Times New Roman" w:eastAsia="Times New Roman" w:hAnsi="Times New Roman" w:cs="Times New Roman"/>
          <w:sz w:val="24"/>
          <w:szCs w:val="24"/>
          <w:lang w:val="en-ID"/>
        </w:rPr>
        <w:fldChar w:fldCharType="separate"/>
      </w:r>
      <w:r w:rsidRPr="006C2DFB">
        <w:rPr>
          <w:rFonts w:ascii="Times New Roman" w:eastAsia="Times New Roman" w:hAnsi="Times New Roman" w:cs="Times New Roman"/>
          <w:noProof/>
          <w:sz w:val="24"/>
          <w:szCs w:val="24"/>
          <w:vertAlign w:val="superscript"/>
          <w:lang w:val="en-ID"/>
        </w:rPr>
        <w:t>9</w:t>
      </w:r>
      <w:r>
        <w:rPr>
          <w:rFonts w:ascii="Times New Roman" w:eastAsia="Times New Roman" w:hAnsi="Times New Roman" w:cs="Times New Roman"/>
          <w:sz w:val="24"/>
          <w:szCs w:val="24"/>
          <w:lang w:val="en-ID"/>
        </w:rPr>
        <w:fldChar w:fldCharType="end"/>
      </w:r>
      <w:r w:rsidRPr="006C2DFB">
        <w:rPr>
          <w:rFonts w:ascii="Times New Roman" w:eastAsia="Times New Roman" w:hAnsi="Times New Roman" w:cs="Times New Roman"/>
          <w:sz w:val="24"/>
          <w:szCs w:val="24"/>
          <w:lang w:val="en-ID"/>
        </w:rPr>
        <w:t xml:space="preserve"> The complete ineffectiveness of cefazolin and tigecycline underscores the importance of avoiding these agents against </w:t>
      </w:r>
      <w:r w:rsidRPr="006C2DFB">
        <w:rPr>
          <w:rFonts w:ascii="Times New Roman" w:eastAsia="Times New Roman" w:hAnsi="Times New Roman" w:cs="Times New Roman"/>
          <w:i/>
          <w:iCs/>
          <w:sz w:val="24"/>
          <w:szCs w:val="24"/>
          <w:lang w:val="en-ID"/>
        </w:rPr>
        <w:t>P. aeruginosa</w:t>
      </w:r>
      <w:r w:rsidRPr="006C2DFB">
        <w:rPr>
          <w:rFonts w:ascii="Times New Roman" w:eastAsia="Times New Roman" w:hAnsi="Times New Roman" w:cs="Times New Roman"/>
          <w:sz w:val="24"/>
          <w:szCs w:val="24"/>
          <w:lang w:val="en-ID"/>
        </w:rPr>
        <w:t>.</w:t>
      </w:r>
    </w:p>
    <w:p w14:paraId="7D723831" w14:textId="77777777" w:rsidR="006C2DFB" w:rsidRPr="006C2DFB" w:rsidRDefault="006C2DFB" w:rsidP="006C2DFB">
      <w:pPr>
        <w:spacing w:after="0" w:line="240" w:lineRule="auto"/>
        <w:ind w:left="-2" w:firstLineChars="236" w:firstLine="566"/>
        <w:jc w:val="both"/>
        <w:rPr>
          <w:rFonts w:ascii="Times New Roman" w:eastAsia="Times New Roman" w:hAnsi="Times New Roman" w:cs="Times New Roman"/>
          <w:sz w:val="24"/>
          <w:szCs w:val="24"/>
          <w:lang w:val="en-ID"/>
        </w:rPr>
      </w:pPr>
      <w:r w:rsidRPr="006C2DFB">
        <w:rPr>
          <w:rFonts w:ascii="Times New Roman" w:eastAsia="Times New Roman" w:hAnsi="Times New Roman" w:cs="Times New Roman"/>
          <w:sz w:val="24"/>
          <w:szCs w:val="24"/>
          <w:lang w:val="en-ID"/>
        </w:rPr>
        <w:t xml:space="preserve">In conclusion, </w:t>
      </w:r>
      <w:r w:rsidRPr="006C2DFB">
        <w:rPr>
          <w:rFonts w:ascii="Times New Roman" w:eastAsia="Times New Roman" w:hAnsi="Times New Roman" w:cs="Times New Roman"/>
          <w:i/>
          <w:iCs/>
          <w:sz w:val="24"/>
          <w:szCs w:val="24"/>
          <w:lang w:val="en-ID"/>
        </w:rPr>
        <w:t>P. aeruginosa</w:t>
      </w:r>
      <w:r w:rsidRPr="006C2DFB">
        <w:rPr>
          <w:rFonts w:ascii="Times New Roman" w:eastAsia="Times New Roman" w:hAnsi="Times New Roman" w:cs="Times New Roman"/>
          <w:sz w:val="24"/>
          <w:szCs w:val="24"/>
          <w:lang w:val="en-ID"/>
        </w:rPr>
        <w:t xml:space="preserve"> infections in Palembang are predominantly found in adults with long hospital stays and are associated with significant multidrug resistance. These results provide critical local evidence to guide clinical decision-making and highlight the urgent need for rational antibiotic use and effective infection control strategies.</w:t>
      </w:r>
    </w:p>
    <w:p w14:paraId="2F8A4D40" w14:textId="77777777" w:rsidR="00DA26F4" w:rsidRDefault="00DA26F4">
      <w:pPr>
        <w:spacing w:after="0" w:line="240" w:lineRule="auto"/>
        <w:ind w:left="0" w:hanging="2"/>
        <w:jc w:val="both"/>
        <w:rPr>
          <w:rFonts w:ascii="Times New Roman" w:eastAsia="Times New Roman" w:hAnsi="Times New Roman" w:cs="Times New Roman"/>
          <w:sz w:val="24"/>
          <w:szCs w:val="24"/>
        </w:rPr>
      </w:pPr>
    </w:p>
    <w:p w14:paraId="0E53A66D" w14:textId="77777777" w:rsidR="005452E3" w:rsidRDefault="005452E3">
      <w:pPr>
        <w:spacing w:after="0" w:line="240" w:lineRule="auto"/>
        <w:ind w:left="0" w:hanging="2"/>
        <w:jc w:val="both"/>
        <w:rPr>
          <w:rFonts w:ascii="Times New Roman" w:eastAsia="Times New Roman" w:hAnsi="Times New Roman" w:cs="Times New Roman"/>
          <w:sz w:val="24"/>
          <w:szCs w:val="24"/>
        </w:rPr>
      </w:pPr>
    </w:p>
    <w:p w14:paraId="1E920C8F" w14:textId="77777777" w:rsidR="005452E3" w:rsidRDefault="005452E3">
      <w:pPr>
        <w:spacing w:after="0" w:line="240" w:lineRule="auto"/>
        <w:ind w:left="0" w:hanging="2"/>
        <w:jc w:val="both"/>
        <w:rPr>
          <w:rFonts w:ascii="Times New Roman" w:eastAsia="Times New Roman" w:hAnsi="Times New Roman" w:cs="Times New Roman"/>
          <w:sz w:val="24"/>
          <w:szCs w:val="24"/>
        </w:rPr>
      </w:pPr>
    </w:p>
    <w:p w14:paraId="5379DC05" w14:textId="77777777" w:rsidR="005452E3" w:rsidRDefault="005452E3">
      <w:pPr>
        <w:spacing w:after="0" w:line="240" w:lineRule="auto"/>
        <w:ind w:left="0" w:hanging="2"/>
        <w:jc w:val="both"/>
        <w:rPr>
          <w:rFonts w:ascii="Times New Roman" w:eastAsia="Times New Roman" w:hAnsi="Times New Roman" w:cs="Times New Roman"/>
          <w:sz w:val="24"/>
          <w:szCs w:val="24"/>
        </w:rPr>
      </w:pPr>
    </w:p>
    <w:p w14:paraId="1D4A68A6" w14:textId="77777777" w:rsidR="005452E3" w:rsidRDefault="005452E3">
      <w:pPr>
        <w:spacing w:after="0" w:line="240" w:lineRule="auto"/>
        <w:ind w:left="0" w:hanging="2"/>
        <w:jc w:val="both"/>
        <w:rPr>
          <w:rFonts w:ascii="Times New Roman" w:eastAsia="Times New Roman" w:hAnsi="Times New Roman" w:cs="Times New Roman"/>
          <w:sz w:val="24"/>
          <w:szCs w:val="24"/>
        </w:rPr>
      </w:pPr>
    </w:p>
    <w:p w14:paraId="14FBB51F" w14:textId="77777777" w:rsidR="005452E3" w:rsidRDefault="005452E3">
      <w:pPr>
        <w:spacing w:after="0" w:line="240" w:lineRule="auto"/>
        <w:ind w:left="0" w:hanging="2"/>
        <w:jc w:val="both"/>
        <w:rPr>
          <w:rFonts w:ascii="Times New Roman" w:eastAsia="Times New Roman" w:hAnsi="Times New Roman" w:cs="Times New Roman"/>
          <w:sz w:val="24"/>
          <w:szCs w:val="24"/>
        </w:rPr>
      </w:pPr>
    </w:p>
    <w:p w14:paraId="5C43FF48" w14:textId="77777777" w:rsidR="005452E3" w:rsidRDefault="005452E3">
      <w:pPr>
        <w:spacing w:after="0" w:line="240" w:lineRule="auto"/>
        <w:ind w:left="0" w:hanging="2"/>
        <w:jc w:val="both"/>
        <w:rPr>
          <w:rFonts w:ascii="Times New Roman" w:eastAsia="Times New Roman" w:hAnsi="Times New Roman" w:cs="Times New Roman"/>
          <w:sz w:val="24"/>
          <w:szCs w:val="24"/>
        </w:rPr>
      </w:pPr>
    </w:p>
    <w:p w14:paraId="67C25389" w14:textId="5CC96A2D" w:rsidR="00DA26F4" w:rsidRDefault="00000000">
      <w:pPr>
        <w:spacing w:after="0" w:line="240" w:lineRule="auto"/>
        <w:ind w:left="0" w:hanging="2"/>
        <w:jc w:val="both"/>
        <w:rPr>
          <w:rFonts w:ascii="Times New Roman" w:eastAsia="Times New Roman" w:hAnsi="Times New Roman" w:cs="Times New Roman"/>
          <w:color w:val="FF3300"/>
          <w:sz w:val="24"/>
          <w:szCs w:val="24"/>
        </w:rPr>
      </w:pPr>
      <w:r>
        <w:rPr>
          <w:rFonts w:ascii="Times New Roman" w:eastAsia="Times New Roman" w:hAnsi="Times New Roman" w:cs="Times New Roman"/>
          <w:b/>
          <w:sz w:val="24"/>
          <w:szCs w:val="24"/>
        </w:rPr>
        <w:lastRenderedPageBreak/>
        <w:t xml:space="preserve">REFERENCES </w:t>
      </w:r>
    </w:p>
    <w:p w14:paraId="54779237" w14:textId="2EB9A566" w:rsidR="00FD748E" w:rsidRPr="00FD748E" w:rsidRDefault="00717B2E" w:rsidP="00FD748E">
      <w:pPr>
        <w:widowControl w:val="0"/>
        <w:autoSpaceDE w:val="0"/>
        <w:autoSpaceDN w:val="0"/>
        <w:adjustRightInd w:val="0"/>
        <w:spacing w:after="0" w:line="240" w:lineRule="auto"/>
        <w:ind w:left="567" w:hangingChars="237" w:hanging="569"/>
        <w:jc w:val="both"/>
        <w:rPr>
          <w:rFonts w:ascii="Times New Roman" w:hAnsi="Times New Roman" w:cs="Times New Roman"/>
          <w:noProof/>
          <w:sz w:val="24"/>
        </w:rPr>
      </w:pPr>
      <w:r>
        <w:rPr>
          <w:rFonts w:ascii="Times New Roman" w:eastAsia="Times New Roman" w:hAnsi="Times New Roman" w:cs="Times New Roman"/>
          <w:sz w:val="24"/>
          <w:szCs w:val="24"/>
        </w:rPr>
        <w:fldChar w:fldCharType="begin" w:fldLock="1"/>
      </w:r>
      <w:r>
        <w:rPr>
          <w:rFonts w:ascii="Times New Roman" w:eastAsia="Times New Roman" w:hAnsi="Times New Roman" w:cs="Times New Roman"/>
          <w:sz w:val="24"/>
          <w:szCs w:val="24"/>
        </w:rPr>
        <w:instrText xml:space="preserve">ADDIN Mendeley Bibliography CSL_BIBLIOGRAPHY </w:instrText>
      </w:r>
      <w:r>
        <w:rPr>
          <w:rFonts w:ascii="Times New Roman" w:eastAsia="Times New Roman" w:hAnsi="Times New Roman" w:cs="Times New Roman"/>
          <w:sz w:val="24"/>
          <w:szCs w:val="24"/>
        </w:rPr>
        <w:fldChar w:fldCharType="separate"/>
      </w:r>
      <w:r w:rsidR="00FD748E" w:rsidRPr="00FD748E">
        <w:rPr>
          <w:rFonts w:ascii="Times New Roman" w:hAnsi="Times New Roman" w:cs="Times New Roman"/>
          <w:noProof/>
          <w:sz w:val="24"/>
        </w:rPr>
        <w:t xml:space="preserve">1. </w:t>
      </w:r>
      <w:r w:rsidR="00FD748E" w:rsidRPr="00FD748E">
        <w:rPr>
          <w:rFonts w:ascii="Times New Roman" w:hAnsi="Times New Roman" w:cs="Times New Roman"/>
          <w:noProof/>
          <w:sz w:val="24"/>
        </w:rPr>
        <w:tab/>
        <w:t>Moradali MF, Ghods S, Rehm BHA. Pseudomonas aeruginosa Lifestyle: A Paradigm for Adaptation, Survival, and Persistence</w:t>
      </w:r>
      <w:r w:rsidR="00FD748E">
        <w:rPr>
          <w:rFonts w:ascii="Times New Roman" w:hAnsi="Times New Roman" w:cs="Times New Roman"/>
          <w:noProof/>
          <w:sz w:val="24"/>
        </w:rPr>
        <w:t>.</w:t>
      </w:r>
      <w:r w:rsidR="00FD748E" w:rsidRPr="00FD748E">
        <w:rPr>
          <w:rFonts w:ascii="Times New Roman" w:hAnsi="Times New Roman" w:cs="Times New Roman"/>
          <w:noProof/>
          <w:sz w:val="24"/>
        </w:rPr>
        <w:t xml:space="preserve"> Vol. 7, Frontiers in Cellular and Infection Microbiology. Gainesville: University of Florida; 2017. p. 39</w:t>
      </w:r>
      <w:r w:rsidR="00FD748E">
        <w:rPr>
          <w:rFonts w:ascii="Times New Roman" w:hAnsi="Times New Roman" w:cs="Times New Roman"/>
          <w:noProof/>
          <w:sz w:val="24"/>
        </w:rPr>
        <w:t>.</w:t>
      </w:r>
      <w:r w:rsidR="00FD748E" w:rsidRPr="00FD748E">
        <w:rPr>
          <w:rFonts w:ascii="Times New Roman" w:hAnsi="Times New Roman" w:cs="Times New Roman"/>
          <w:noProof/>
          <w:sz w:val="24"/>
        </w:rPr>
        <w:t xml:space="preserve"> https://doi.org/10.3389/fcimb.2017.00039</w:t>
      </w:r>
    </w:p>
    <w:p w14:paraId="0A3127D1" w14:textId="78358A52" w:rsidR="00FD748E" w:rsidRPr="00FD748E" w:rsidRDefault="00FD748E" w:rsidP="00FD748E">
      <w:pPr>
        <w:widowControl w:val="0"/>
        <w:autoSpaceDE w:val="0"/>
        <w:autoSpaceDN w:val="0"/>
        <w:adjustRightInd w:val="0"/>
        <w:spacing w:after="0" w:line="240" w:lineRule="auto"/>
        <w:ind w:left="567" w:hangingChars="237" w:hanging="569"/>
        <w:jc w:val="both"/>
        <w:rPr>
          <w:rFonts w:ascii="Times New Roman" w:hAnsi="Times New Roman" w:cs="Times New Roman"/>
          <w:noProof/>
          <w:sz w:val="24"/>
        </w:rPr>
      </w:pPr>
      <w:r w:rsidRPr="00FD748E">
        <w:rPr>
          <w:rFonts w:ascii="Times New Roman" w:hAnsi="Times New Roman" w:cs="Times New Roman"/>
          <w:noProof/>
          <w:sz w:val="24"/>
        </w:rPr>
        <w:t xml:space="preserve">2. </w:t>
      </w:r>
      <w:r w:rsidRPr="00FD748E">
        <w:rPr>
          <w:rFonts w:ascii="Times New Roman" w:hAnsi="Times New Roman" w:cs="Times New Roman"/>
          <w:noProof/>
          <w:sz w:val="24"/>
        </w:rPr>
        <w:tab/>
        <w:t>Reynolds D, Kollef M. The Epidemiology and Pathogenesis and Treatment of Pseudomonas aeruginosa Infections: An Update. Drugs</w:t>
      </w:r>
      <w:r>
        <w:rPr>
          <w:rFonts w:ascii="Times New Roman" w:hAnsi="Times New Roman" w:cs="Times New Roman"/>
          <w:noProof/>
          <w:sz w:val="24"/>
        </w:rPr>
        <w:t>.</w:t>
      </w:r>
      <w:r w:rsidRPr="00FD748E">
        <w:rPr>
          <w:rFonts w:ascii="Times New Roman" w:hAnsi="Times New Roman" w:cs="Times New Roman"/>
          <w:noProof/>
          <w:sz w:val="24"/>
        </w:rPr>
        <w:t xml:space="preserve"> 2021;81(18):2117–31</w:t>
      </w:r>
      <w:r>
        <w:rPr>
          <w:rFonts w:ascii="Times New Roman" w:hAnsi="Times New Roman" w:cs="Times New Roman"/>
          <w:noProof/>
          <w:sz w:val="24"/>
        </w:rPr>
        <w:t>.</w:t>
      </w:r>
      <w:r w:rsidRPr="00FD748E">
        <w:rPr>
          <w:rFonts w:ascii="Times New Roman" w:hAnsi="Times New Roman" w:cs="Times New Roman"/>
          <w:noProof/>
          <w:sz w:val="24"/>
        </w:rPr>
        <w:t xml:space="preserve"> https://doi.org/10.1007/s40265-021-01635-6</w:t>
      </w:r>
    </w:p>
    <w:p w14:paraId="1AD13C9E" w14:textId="12DBE455" w:rsidR="00FD748E" w:rsidRPr="00FD748E" w:rsidRDefault="00FD748E" w:rsidP="00FD748E">
      <w:pPr>
        <w:widowControl w:val="0"/>
        <w:autoSpaceDE w:val="0"/>
        <w:autoSpaceDN w:val="0"/>
        <w:adjustRightInd w:val="0"/>
        <w:spacing w:after="0" w:line="240" w:lineRule="auto"/>
        <w:ind w:left="567" w:hangingChars="237" w:hanging="569"/>
        <w:jc w:val="both"/>
        <w:rPr>
          <w:rFonts w:ascii="Times New Roman" w:hAnsi="Times New Roman" w:cs="Times New Roman"/>
          <w:noProof/>
          <w:sz w:val="24"/>
        </w:rPr>
      </w:pPr>
      <w:r w:rsidRPr="00FD748E">
        <w:rPr>
          <w:rFonts w:ascii="Times New Roman" w:hAnsi="Times New Roman" w:cs="Times New Roman"/>
          <w:noProof/>
          <w:sz w:val="24"/>
        </w:rPr>
        <w:t xml:space="preserve">3. </w:t>
      </w:r>
      <w:r w:rsidRPr="00FD748E">
        <w:rPr>
          <w:rFonts w:ascii="Times New Roman" w:hAnsi="Times New Roman" w:cs="Times New Roman"/>
          <w:noProof/>
          <w:sz w:val="24"/>
        </w:rPr>
        <w:tab/>
        <w:t>Spagnolo AM, Sartini M, Cristina ML. Pseudomonas aeruginosa in the Healthcare Facility Setting. Reviews and Research in Medical Microbiology</w:t>
      </w:r>
      <w:r>
        <w:rPr>
          <w:rFonts w:ascii="Times New Roman" w:hAnsi="Times New Roman" w:cs="Times New Roman"/>
          <w:noProof/>
          <w:sz w:val="24"/>
        </w:rPr>
        <w:t>.</w:t>
      </w:r>
      <w:r w:rsidRPr="00FD748E">
        <w:rPr>
          <w:rFonts w:ascii="Times New Roman" w:hAnsi="Times New Roman" w:cs="Times New Roman"/>
          <w:noProof/>
          <w:sz w:val="24"/>
        </w:rPr>
        <w:t xml:space="preserve"> 2021;32(3)</w:t>
      </w:r>
      <w:r>
        <w:rPr>
          <w:rFonts w:ascii="Times New Roman" w:hAnsi="Times New Roman" w:cs="Times New Roman"/>
          <w:noProof/>
          <w:sz w:val="24"/>
        </w:rPr>
        <w:t>.</w:t>
      </w:r>
      <w:r w:rsidRPr="00FD748E">
        <w:rPr>
          <w:rFonts w:ascii="Times New Roman" w:hAnsi="Times New Roman" w:cs="Times New Roman"/>
          <w:noProof/>
          <w:sz w:val="24"/>
        </w:rPr>
        <w:t xml:space="preserve"> https://doi.org/10.1097/MRM.0000000000000271</w:t>
      </w:r>
    </w:p>
    <w:p w14:paraId="680F3C02" w14:textId="7C28C645" w:rsidR="00FD748E" w:rsidRPr="00FD748E" w:rsidRDefault="00FD748E" w:rsidP="00FD748E">
      <w:pPr>
        <w:widowControl w:val="0"/>
        <w:autoSpaceDE w:val="0"/>
        <w:autoSpaceDN w:val="0"/>
        <w:adjustRightInd w:val="0"/>
        <w:spacing w:after="0" w:line="240" w:lineRule="auto"/>
        <w:ind w:left="567" w:hangingChars="237" w:hanging="569"/>
        <w:jc w:val="both"/>
        <w:rPr>
          <w:rFonts w:ascii="Times New Roman" w:hAnsi="Times New Roman" w:cs="Times New Roman"/>
          <w:noProof/>
          <w:sz w:val="24"/>
        </w:rPr>
      </w:pPr>
      <w:r w:rsidRPr="00FD748E">
        <w:rPr>
          <w:rFonts w:ascii="Times New Roman" w:hAnsi="Times New Roman" w:cs="Times New Roman"/>
          <w:noProof/>
          <w:sz w:val="24"/>
        </w:rPr>
        <w:t xml:space="preserve">4. </w:t>
      </w:r>
      <w:r w:rsidRPr="00FD748E">
        <w:rPr>
          <w:rFonts w:ascii="Times New Roman" w:hAnsi="Times New Roman" w:cs="Times New Roman"/>
          <w:noProof/>
          <w:sz w:val="24"/>
        </w:rPr>
        <w:tab/>
        <w:t>Saputra IPGS, Iswari IS, Pinatih KJP. Prevalensi dan Pola Kepekaan Multidrug Resistance Pseudomonas aeruginosa terhadap Antibiotika pada Pasien Pneumonia di RSUP Sanglah. Jurnal Medika Udayana</w:t>
      </w:r>
      <w:r>
        <w:rPr>
          <w:rFonts w:ascii="Times New Roman" w:hAnsi="Times New Roman" w:cs="Times New Roman"/>
          <w:noProof/>
          <w:sz w:val="24"/>
        </w:rPr>
        <w:t>.</w:t>
      </w:r>
      <w:r w:rsidRPr="00FD748E">
        <w:rPr>
          <w:rFonts w:ascii="Times New Roman" w:hAnsi="Times New Roman" w:cs="Times New Roman"/>
          <w:noProof/>
          <w:sz w:val="24"/>
        </w:rPr>
        <w:t xml:space="preserve"> 2021;10(12):89–95</w:t>
      </w:r>
      <w:r>
        <w:rPr>
          <w:rFonts w:ascii="Times New Roman" w:hAnsi="Times New Roman" w:cs="Times New Roman"/>
          <w:noProof/>
          <w:sz w:val="24"/>
        </w:rPr>
        <w:t>.</w:t>
      </w:r>
      <w:r w:rsidRPr="00FD748E">
        <w:rPr>
          <w:rFonts w:ascii="Times New Roman" w:hAnsi="Times New Roman" w:cs="Times New Roman"/>
          <w:noProof/>
          <w:sz w:val="24"/>
        </w:rPr>
        <w:t xml:space="preserve"> https://doi.org/10.24843.MU.2021.V10.i12.P15</w:t>
      </w:r>
    </w:p>
    <w:p w14:paraId="2B7E04ED" w14:textId="395F9D3B" w:rsidR="00FD748E" w:rsidRPr="00FD748E" w:rsidRDefault="00FD748E" w:rsidP="00FD748E">
      <w:pPr>
        <w:widowControl w:val="0"/>
        <w:autoSpaceDE w:val="0"/>
        <w:autoSpaceDN w:val="0"/>
        <w:adjustRightInd w:val="0"/>
        <w:spacing w:after="0" w:line="240" w:lineRule="auto"/>
        <w:ind w:left="567" w:hangingChars="237" w:hanging="569"/>
        <w:jc w:val="both"/>
        <w:rPr>
          <w:rFonts w:ascii="Times New Roman" w:hAnsi="Times New Roman" w:cs="Times New Roman"/>
          <w:noProof/>
          <w:sz w:val="24"/>
        </w:rPr>
      </w:pPr>
      <w:r w:rsidRPr="00FD748E">
        <w:rPr>
          <w:rFonts w:ascii="Times New Roman" w:hAnsi="Times New Roman" w:cs="Times New Roman"/>
          <w:noProof/>
          <w:sz w:val="24"/>
        </w:rPr>
        <w:t xml:space="preserve">5. </w:t>
      </w:r>
      <w:r w:rsidRPr="00FD748E">
        <w:rPr>
          <w:rFonts w:ascii="Times New Roman" w:hAnsi="Times New Roman" w:cs="Times New Roman"/>
          <w:noProof/>
          <w:sz w:val="24"/>
        </w:rPr>
        <w:tab/>
        <w:t>Gill JS, Arora S, Khanna SP, Kumar KH. Prevalence of Multidrug-resistant, Extensively Drug-resistant, and Pandrug-resistant Pseudomonas aeruginosa from a Tertiary Level Intensive Care Unit. Journal of Global iIfectious Diseases</w:t>
      </w:r>
      <w:r>
        <w:rPr>
          <w:rFonts w:ascii="Times New Roman" w:hAnsi="Times New Roman" w:cs="Times New Roman"/>
          <w:noProof/>
          <w:sz w:val="24"/>
        </w:rPr>
        <w:t>.</w:t>
      </w:r>
      <w:r w:rsidRPr="00FD748E">
        <w:rPr>
          <w:rFonts w:ascii="Times New Roman" w:hAnsi="Times New Roman" w:cs="Times New Roman"/>
          <w:noProof/>
          <w:sz w:val="24"/>
        </w:rPr>
        <w:t xml:space="preserve"> 2016;8(4):155–9</w:t>
      </w:r>
      <w:r>
        <w:rPr>
          <w:rFonts w:ascii="Times New Roman" w:hAnsi="Times New Roman" w:cs="Times New Roman"/>
          <w:noProof/>
          <w:sz w:val="24"/>
        </w:rPr>
        <w:t>.</w:t>
      </w:r>
      <w:r w:rsidRPr="00FD748E">
        <w:rPr>
          <w:rFonts w:ascii="Times New Roman" w:hAnsi="Times New Roman" w:cs="Times New Roman"/>
          <w:noProof/>
          <w:sz w:val="24"/>
        </w:rPr>
        <w:t xml:space="preserve"> https://doi.org/10.4103/0974-777X.192962</w:t>
      </w:r>
    </w:p>
    <w:p w14:paraId="1C8FB6AA" w14:textId="6F960878" w:rsidR="00FD748E" w:rsidRPr="00FD748E" w:rsidRDefault="00FD748E" w:rsidP="00FD748E">
      <w:pPr>
        <w:widowControl w:val="0"/>
        <w:autoSpaceDE w:val="0"/>
        <w:autoSpaceDN w:val="0"/>
        <w:adjustRightInd w:val="0"/>
        <w:spacing w:after="0" w:line="240" w:lineRule="auto"/>
        <w:ind w:left="567" w:hangingChars="237" w:hanging="569"/>
        <w:jc w:val="both"/>
        <w:rPr>
          <w:rFonts w:ascii="Times New Roman" w:hAnsi="Times New Roman" w:cs="Times New Roman"/>
          <w:noProof/>
          <w:sz w:val="24"/>
        </w:rPr>
      </w:pPr>
      <w:r w:rsidRPr="00FD748E">
        <w:rPr>
          <w:rFonts w:ascii="Times New Roman" w:hAnsi="Times New Roman" w:cs="Times New Roman"/>
          <w:noProof/>
          <w:sz w:val="24"/>
        </w:rPr>
        <w:t xml:space="preserve">6. </w:t>
      </w:r>
      <w:r w:rsidRPr="00FD748E">
        <w:rPr>
          <w:rFonts w:ascii="Times New Roman" w:hAnsi="Times New Roman" w:cs="Times New Roman"/>
          <w:noProof/>
          <w:sz w:val="24"/>
        </w:rPr>
        <w:tab/>
        <w:t>Yaghoubi S, Zekiy AO, Krutova M, Gholami M, Kouhsari E, Sholeh M, et al. Tigecycline Antibacterial Activity, Clinical Effectiveness, and Mechanisms and Epidemiology of Resistance: Narrative Review. European Journal of Clinical Microbiology &amp; Infectious Diseases</w:t>
      </w:r>
      <w:r>
        <w:rPr>
          <w:rFonts w:ascii="Times New Roman" w:hAnsi="Times New Roman" w:cs="Times New Roman"/>
          <w:noProof/>
          <w:sz w:val="24"/>
        </w:rPr>
        <w:t>.</w:t>
      </w:r>
      <w:r w:rsidRPr="00FD748E">
        <w:rPr>
          <w:rFonts w:ascii="Times New Roman" w:hAnsi="Times New Roman" w:cs="Times New Roman"/>
          <w:noProof/>
          <w:sz w:val="24"/>
        </w:rPr>
        <w:t xml:space="preserve"> 2022;41(7):1003–22</w:t>
      </w:r>
      <w:r>
        <w:rPr>
          <w:rFonts w:ascii="Times New Roman" w:hAnsi="Times New Roman" w:cs="Times New Roman"/>
          <w:noProof/>
          <w:sz w:val="24"/>
        </w:rPr>
        <w:t>.</w:t>
      </w:r>
      <w:r w:rsidRPr="00FD748E">
        <w:rPr>
          <w:rFonts w:ascii="Times New Roman" w:hAnsi="Times New Roman" w:cs="Times New Roman"/>
          <w:noProof/>
          <w:sz w:val="24"/>
        </w:rPr>
        <w:t xml:space="preserve"> https://doi.org/10.1007/s10096-020-04121-1</w:t>
      </w:r>
    </w:p>
    <w:p w14:paraId="505F64EF" w14:textId="6806B368" w:rsidR="00FD748E" w:rsidRPr="00FD748E" w:rsidRDefault="00FD748E" w:rsidP="00FD748E">
      <w:pPr>
        <w:widowControl w:val="0"/>
        <w:autoSpaceDE w:val="0"/>
        <w:autoSpaceDN w:val="0"/>
        <w:adjustRightInd w:val="0"/>
        <w:spacing w:after="0" w:line="240" w:lineRule="auto"/>
        <w:ind w:left="567" w:hangingChars="237" w:hanging="569"/>
        <w:jc w:val="both"/>
        <w:rPr>
          <w:rFonts w:ascii="Times New Roman" w:hAnsi="Times New Roman" w:cs="Times New Roman"/>
          <w:noProof/>
          <w:sz w:val="24"/>
        </w:rPr>
      </w:pPr>
      <w:r w:rsidRPr="00FD748E">
        <w:rPr>
          <w:rFonts w:ascii="Times New Roman" w:hAnsi="Times New Roman" w:cs="Times New Roman"/>
          <w:noProof/>
          <w:sz w:val="24"/>
        </w:rPr>
        <w:t xml:space="preserve">7. </w:t>
      </w:r>
      <w:r w:rsidRPr="00FD748E">
        <w:rPr>
          <w:rFonts w:ascii="Times New Roman" w:hAnsi="Times New Roman" w:cs="Times New Roman"/>
          <w:noProof/>
          <w:sz w:val="24"/>
        </w:rPr>
        <w:tab/>
        <w:t>Sader HS, Castanheira M, Duncan LR, Flamm RK. Antimicrobial Susceptibility of Enterobacteriaceae and Pseudomonas aeruginosa Isolates from United States Medical Centers Stratified by Infection Type: Results from the International Network for Optimal Resistance Monitoring (INFORM) Surveillance Program,. Diagnostic Microbiology and Infectious Disease</w:t>
      </w:r>
      <w:r>
        <w:rPr>
          <w:rFonts w:ascii="Times New Roman" w:hAnsi="Times New Roman" w:cs="Times New Roman"/>
          <w:noProof/>
          <w:sz w:val="24"/>
        </w:rPr>
        <w:t>.</w:t>
      </w:r>
      <w:r w:rsidRPr="00FD748E">
        <w:rPr>
          <w:rFonts w:ascii="Times New Roman" w:hAnsi="Times New Roman" w:cs="Times New Roman"/>
          <w:noProof/>
          <w:sz w:val="24"/>
        </w:rPr>
        <w:t xml:space="preserve"> 2018;92(1):69–74</w:t>
      </w:r>
      <w:r>
        <w:rPr>
          <w:rFonts w:ascii="Times New Roman" w:hAnsi="Times New Roman" w:cs="Times New Roman"/>
          <w:noProof/>
          <w:sz w:val="24"/>
        </w:rPr>
        <w:t>.</w:t>
      </w:r>
      <w:r w:rsidRPr="00FD748E">
        <w:rPr>
          <w:rFonts w:ascii="Times New Roman" w:hAnsi="Times New Roman" w:cs="Times New Roman"/>
          <w:noProof/>
          <w:sz w:val="24"/>
        </w:rPr>
        <w:t xml:space="preserve"> https://doi.org/10.1016/j.diagmicrobio.2018.04.012</w:t>
      </w:r>
    </w:p>
    <w:p w14:paraId="76B0021B" w14:textId="5E55EA24" w:rsidR="00FD748E" w:rsidRPr="00FD748E" w:rsidRDefault="00FD748E" w:rsidP="00FD748E">
      <w:pPr>
        <w:widowControl w:val="0"/>
        <w:autoSpaceDE w:val="0"/>
        <w:autoSpaceDN w:val="0"/>
        <w:adjustRightInd w:val="0"/>
        <w:spacing w:after="0" w:line="240" w:lineRule="auto"/>
        <w:ind w:left="567" w:hangingChars="237" w:hanging="569"/>
        <w:jc w:val="both"/>
        <w:rPr>
          <w:rFonts w:ascii="Times New Roman" w:hAnsi="Times New Roman" w:cs="Times New Roman"/>
          <w:noProof/>
          <w:sz w:val="24"/>
        </w:rPr>
      </w:pPr>
      <w:r w:rsidRPr="00FD748E">
        <w:rPr>
          <w:rFonts w:ascii="Times New Roman" w:hAnsi="Times New Roman" w:cs="Times New Roman"/>
          <w:noProof/>
          <w:sz w:val="24"/>
        </w:rPr>
        <w:t xml:space="preserve">8. </w:t>
      </w:r>
      <w:r w:rsidRPr="00FD748E">
        <w:rPr>
          <w:rFonts w:ascii="Times New Roman" w:hAnsi="Times New Roman" w:cs="Times New Roman"/>
          <w:noProof/>
          <w:sz w:val="24"/>
        </w:rPr>
        <w:tab/>
        <w:t>Kadri SS, Adjemian J, Lai YL, Spaulding AB, Ricotta E, Prevots DR, et al. Difficult-to-Treat Resistance in Gram-negative Bacteremia at 173 US Hospitals: Retrospective Cohort Analysis of Prevalence, Predictors, and Outcome of Resistance to All First-line Agents. Clinical infectious diseases : an official publication of the Infectious Diseases Society of America</w:t>
      </w:r>
      <w:r>
        <w:rPr>
          <w:rFonts w:ascii="Times New Roman" w:hAnsi="Times New Roman" w:cs="Times New Roman"/>
          <w:noProof/>
          <w:sz w:val="24"/>
        </w:rPr>
        <w:t>.</w:t>
      </w:r>
      <w:r w:rsidRPr="00FD748E">
        <w:rPr>
          <w:rFonts w:ascii="Times New Roman" w:hAnsi="Times New Roman" w:cs="Times New Roman"/>
          <w:noProof/>
          <w:sz w:val="24"/>
        </w:rPr>
        <w:t xml:space="preserve"> 2018 Nov;67(12):1803–14</w:t>
      </w:r>
      <w:r>
        <w:rPr>
          <w:rFonts w:ascii="Times New Roman" w:hAnsi="Times New Roman" w:cs="Times New Roman"/>
          <w:noProof/>
          <w:sz w:val="24"/>
        </w:rPr>
        <w:t>.</w:t>
      </w:r>
      <w:r w:rsidRPr="00FD748E">
        <w:rPr>
          <w:rFonts w:ascii="Times New Roman" w:hAnsi="Times New Roman" w:cs="Times New Roman"/>
          <w:noProof/>
          <w:sz w:val="24"/>
        </w:rPr>
        <w:t xml:space="preserve"> https://doi.org/10.1093/cid/ciy378</w:t>
      </w:r>
    </w:p>
    <w:p w14:paraId="594DCB7B" w14:textId="3D888E88" w:rsidR="00FD748E" w:rsidRPr="00FD748E" w:rsidRDefault="00FD748E" w:rsidP="00FD748E">
      <w:pPr>
        <w:widowControl w:val="0"/>
        <w:autoSpaceDE w:val="0"/>
        <w:autoSpaceDN w:val="0"/>
        <w:adjustRightInd w:val="0"/>
        <w:spacing w:after="0" w:line="240" w:lineRule="auto"/>
        <w:ind w:left="567" w:hangingChars="237" w:hanging="569"/>
        <w:jc w:val="both"/>
        <w:rPr>
          <w:rFonts w:ascii="Times New Roman" w:hAnsi="Times New Roman" w:cs="Times New Roman"/>
          <w:noProof/>
          <w:sz w:val="24"/>
        </w:rPr>
      </w:pPr>
      <w:r w:rsidRPr="00FD748E">
        <w:rPr>
          <w:rFonts w:ascii="Times New Roman" w:hAnsi="Times New Roman" w:cs="Times New Roman"/>
          <w:noProof/>
          <w:sz w:val="24"/>
        </w:rPr>
        <w:t xml:space="preserve">9. </w:t>
      </w:r>
      <w:r w:rsidRPr="00FD748E">
        <w:rPr>
          <w:rFonts w:ascii="Times New Roman" w:hAnsi="Times New Roman" w:cs="Times New Roman"/>
          <w:noProof/>
          <w:sz w:val="24"/>
        </w:rPr>
        <w:tab/>
        <w:t>Sizar O, Rahman S, Sundareshan V. Amikacin</w:t>
      </w:r>
      <w:r>
        <w:rPr>
          <w:rFonts w:ascii="Times New Roman" w:hAnsi="Times New Roman" w:cs="Times New Roman"/>
          <w:noProof/>
          <w:sz w:val="24"/>
        </w:rPr>
        <w:t>.</w:t>
      </w:r>
      <w:r w:rsidRPr="00FD748E">
        <w:rPr>
          <w:rFonts w:ascii="Times New Roman" w:hAnsi="Times New Roman" w:cs="Times New Roman"/>
          <w:noProof/>
          <w:sz w:val="24"/>
        </w:rPr>
        <w:t xml:space="preserve"> Treasure Island (FL): StatPearls Publishing; 2023</w:t>
      </w:r>
      <w:r>
        <w:rPr>
          <w:rFonts w:ascii="Times New Roman" w:hAnsi="Times New Roman" w:cs="Times New Roman"/>
          <w:noProof/>
          <w:sz w:val="24"/>
        </w:rPr>
        <w:t>.</w:t>
      </w:r>
      <w:r w:rsidRPr="00FD748E">
        <w:rPr>
          <w:rFonts w:ascii="Times New Roman" w:hAnsi="Times New Roman" w:cs="Times New Roman"/>
          <w:noProof/>
          <w:sz w:val="24"/>
        </w:rPr>
        <w:t xml:space="preserve"> https://www.ncbi.nlm.nih.gov/books/NBK430908/</w:t>
      </w:r>
    </w:p>
    <w:p w14:paraId="5088DCD6" w14:textId="77777777" w:rsidR="00FD748E" w:rsidRDefault="00717B2E" w:rsidP="00FD748E">
      <w:pPr>
        <w:spacing w:after="0" w:line="240" w:lineRule="auto"/>
        <w:ind w:left="567" w:hangingChars="237" w:hanging="569"/>
        <w:jc w:val="both"/>
        <w:rPr>
          <w:rFonts w:ascii="Times New Roman" w:eastAsia="Times New Roman" w:hAnsi="Times New Roman" w:cs="Times New Roman"/>
          <w:sz w:val="24"/>
          <w:szCs w:val="24"/>
        </w:rPr>
        <w:sectPr w:rsidR="00FD748E">
          <w:headerReference w:type="default" r:id="rId8"/>
          <w:footerReference w:type="default" r:id="rId9"/>
          <w:headerReference w:type="first" r:id="rId10"/>
          <w:footerReference w:type="first" r:id="rId11"/>
          <w:pgSz w:w="11907" w:h="16839"/>
          <w:pgMar w:top="2127" w:right="1701" w:bottom="1701" w:left="1701" w:header="568" w:footer="847" w:gutter="0"/>
          <w:pgNumType w:start="1"/>
          <w:cols w:space="720"/>
        </w:sectPr>
      </w:pPr>
      <w:r>
        <w:rPr>
          <w:rFonts w:ascii="Times New Roman" w:eastAsia="Times New Roman" w:hAnsi="Times New Roman" w:cs="Times New Roman"/>
          <w:sz w:val="24"/>
          <w:szCs w:val="24"/>
        </w:rPr>
        <w:fldChar w:fldCharType="end"/>
      </w:r>
    </w:p>
    <w:p w14:paraId="2D8CD1AA" w14:textId="3EF90E8A" w:rsidR="00FD748E" w:rsidRPr="005452E3" w:rsidRDefault="00FD748E" w:rsidP="00FD748E">
      <w:pPr>
        <w:spacing w:after="0" w:line="240" w:lineRule="auto"/>
        <w:ind w:left="0" w:hanging="2"/>
        <w:jc w:val="center"/>
        <w:rPr>
          <w:rFonts w:ascii="Times New Roman" w:eastAsia="Times New Roman" w:hAnsi="Times New Roman" w:cs="Times New Roman"/>
          <w:bCs/>
          <w:sz w:val="24"/>
          <w:szCs w:val="24"/>
        </w:rPr>
      </w:pPr>
      <w:r w:rsidRPr="00E30DFE">
        <w:rPr>
          <w:rFonts w:ascii="Times New Roman" w:eastAsia="Times New Roman" w:hAnsi="Times New Roman" w:cs="Times New Roman"/>
          <w:b/>
          <w:sz w:val="24"/>
          <w:szCs w:val="24"/>
        </w:rPr>
        <w:lastRenderedPageBreak/>
        <w:t xml:space="preserve">Table </w:t>
      </w:r>
      <w:r>
        <w:rPr>
          <w:rFonts w:ascii="Times New Roman" w:eastAsia="Times New Roman" w:hAnsi="Times New Roman" w:cs="Times New Roman"/>
          <w:b/>
          <w:sz w:val="24"/>
          <w:szCs w:val="24"/>
        </w:rPr>
        <w:t>1</w:t>
      </w:r>
      <w:r w:rsidRPr="00E30DFE">
        <w:rPr>
          <w:rFonts w:ascii="Times New Roman" w:eastAsia="Times New Roman" w:hAnsi="Times New Roman" w:cs="Times New Roman"/>
          <w:b/>
          <w:sz w:val="24"/>
          <w:szCs w:val="24"/>
        </w:rPr>
        <w:t xml:space="preserve">. </w:t>
      </w:r>
      <w:r w:rsidRPr="00E30DFE">
        <w:rPr>
          <w:rFonts w:ascii="Times New Roman" w:eastAsia="Times New Roman" w:hAnsi="Times New Roman" w:cs="Times New Roman"/>
          <w:bCs/>
          <w:sz w:val="24"/>
          <w:szCs w:val="24"/>
        </w:rPr>
        <w:t xml:space="preserve">Antibiotic </w:t>
      </w:r>
      <w:r w:rsidR="00655BAB">
        <w:rPr>
          <w:rFonts w:ascii="Times New Roman" w:eastAsia="Times New Roman" w:hAnsi="Times New Roman" w:cs="Times New Roman"/>
          <w:bCs/>
          <w:sz w:val="24"/>
          <w:szCs w:val="24"/>
        </w:rPr>
        <w:t>s</w:t>
      </w:r>
      <w:r w:rsidRPr="00E30DFE">
        <w:rPr>
          <w:rFonts w:ascii="Times New Roman" w:eastAsia="Times New Roman" w:hAnsi="Times New Roman" w:cs="Times New Roman"/>
          <w:bCs/>
          <w:sz w:val="24"/>
          <w:szCs w:val="24"/>
        </w:rPr>
        <w:t xml:space="preserve">usceptibility of </w:t>
      </w:r>
      <w:r w:rsidRPr="00E30DFE">
        <w:rPr>
          <w:rFonts w:ascii="Times New Roman" w:eastAsia="Times New Roman" w:hAnsi="Times New Roman" w:cs="Times New Roman"/>
          <w:bCs/>
          <w:i/>
          <w:iCs/>
          <w:sz w:val="24"/>
          <w:szCs w:val="24"/>
        </w:rPr>
        <w:t>P</w:t>
      </w:r>
      <w:r>
        <w:rPr>
          <w:rFonts w:ascii="Times New Roman" w:eastAsia="Times New Roman" w:hAnsi="Times New Roman" w:cs="Times New Roman"/>
          <w:bCs/>
          <w:i/>
          <w:iCs/>
          <w:sz w:val="24"/>
          <w:szCs w:val="24"/>
        </w:rPr>
        <w:t xml:space="preserve">seudomonas </w:t>
      </w:r>
      <w:r w:rsidRPr="00E30DFE">
        <w:rPr>
          <w:rFonts w:ascii="Times New Roman" w:eastAsia="Times New Roman" w:hAnsi="Times New Roman" w:cs="Times New Roman"/>
          <w:bCs/>
          <w:i/>
          <w:iCs/>
          <w:sz w:val="24"/>
          <w:szCs w:val="24"/>
        </w:rPr>
        <w:t>aeruginosa</w:t>
      </w:r>
      <w:r>
        <w:rPr>
          <w:rFonts w:ascii="Times New Roman" w:eastAsia="Times New Roman" w:hAnsi="Times New Roman" w:cs="Times New Roman"/>
          <w:bCs/>
          <w:i/>
          <w:iCs/>
          <w:sz w:val="24"/>
          <w:szCs w:val="24"/>
        </w:rPr>
        <w:t xml:space="preserve"> </w:t>
      </w:r>
      <w:r w:rsidR="00655BAB">
        <w:rPr>
          <w:rFonts w:ascii="Times New Roman" w:eastAsia="Times New Roman" w:hAnsi="Times New Roman" w:cs="Times New Roman"/>
          <w:bCs/>
          <w:sz w:val="24"/>
          <w:szCs w:val="24"/>
        </w:rPr>
        <w:t>i</w:t>
      </w:r>
      <w:r>
        <w:rPr>
          <w:rFonts w:ascii="Times New Roman" w:eastAsia="Times New Roman" w:hAnsi="Times New Roman" w:cs="Times New Roman"/>
          <w:bCs/>
          <w:sz w:val="24"/>
          <w:szCs w:val="24"/>
        </w:rPr>
        <w:t>solates (n=465)</w:t>
      </w:r>
    </w:p>
    <w:tbl>
      <w:tblPr>
        <w:tblStyle w:val="GridTable1Light1"/>
        <w:tblW w:w="0" w:type="auto"/>
        <w:jc w:val="center"/>
        <w:tblLook w:val="04A0" w:firstRow="1" w:lastRow="0" w:firstColumn="1" w:lastColumn="0" w:noHBand="0" w:noVBand="1"/>
      </w:tblPr>
      <w:tblGrid>
        <w:gridCol w:w="568"/>
        <w:gridCol w:w="2267"/>
        <w:gridCol w:w="1418"/>
        <w:gridCol w:w="1417"/>
      </w:tblGrid>
      <w:tr w:rsidR="00FD748E" w:rsidRPr="00655BAB" w14:paraId="7BC85055" w14:textId="77777777" w:rsidTr="00655BAB">
        <w:trPr>
          <w:cnfStyle w:val="100000000000" w:firstRow="1" w:lastRow="0" w:firstColumn="0" w:lastColumn="0" w:oddVBand="0" w:evenVBand="0" w:oddHBand="0" w:evenHBand="0" w:firstRowFirstColumn="0" w:firstRowLastColumn="0" w:lastRowFirstColumn="0" w:lastRowLastColumn="0"/>
          <w:tblHeader/>
          <w:jc w:val="center"/>
        </w:trPr>
        <w:tc>
          <w:tcPr>
            <w:cnfStyle w:val="001000000000" w:firstRow="0" w:lastRow="0" w:firstColumn="1" w:lastColumn="0" w:oddVBand="0" w:evenVBand="0" w:oddHBand="0" w:evenHBand="0" w:firstRowFirstColumn="0" w:firstRowLastColumn="0" w:lastRowFirstColumn="0" w:lastRowLastColumn="0"/>
            <w:tcW w:w="568" w:type="dxa"/>
          </w:tcPr>
          <w:p w14:paraId="0E542B05" w14:textId="77777777" w:rsidR="00FD748E" w:rsidRPr="00655BAB" w:rsidRDefault="00FD748E" w:rsidP="002156E5">
            <w:pPr>
              <w:spacing w:line="240" w:lineRule="auto"/>
              <w:ind w:left="0" w:hanging="2"/>
              <w:jc w:val="center"/>
              <w:rPr>
                <w:rFonts w:cs="Times New Roman"/>
                <w:sz w:val="20"/>
                <w:szCs w:val="20"/>
                <w:lang w:val="en-US"/>
              </w:rPr>
            </w:pPr>
            <w:r w:rsidRPr="00655BAB">
              <w:rPr>
                <w:rFonts w:cs="Times New Roman"/>
                <w:sz w:val="20"/>
                <w:szCs w:val="20"/>
                <w:lang w:val="en-US"/>
              </w:rPr>
              <w:t>No.</w:t>
            </w:r>
          </w:p>
        </w:tc>
        <w:tc>
          <w:tcPr>
            <w:tcW w:w="2267" w:type="dxa"/>
          </w:tcPr>
          <w:p w14:paraId="4E032480" w14:textId="77777777" w:rsidR="00FD748E" w:rsidRPr="00655BAB" w:rsidRDefault="00FD748E" w:rsidP="002156E5">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Antibiotics</w:t>
            </w:r>
          </w:p>
        </w:tc>
        <w:tc>
          <w:tcPr>
            <w:tcW w:w="1418" w:type="dxa"/>
          </w:tcPr>
          <w:p w14:paraId="699C197D" w14:textId="77777777" w:rsidR="00FD748E" w:rsidRPr="00655BAB" w:rsidRDefault="00FD748E" w:rsidP="002156E5">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Sensitive (%)</w:t>
            </w:r>
          </w:p>
        </w:tc>
        <w:tc>
          <w:tcPr>
            <w:tcW w:w="1417" w:type="dxa"/>
          </w:tcPr>
          <w:p w14:paraId="248ACC32" w14:textId="77777777" w:rsidR="00FD748E" w:rsidRPr="00655BAB" w:rsidRDefault="00FD748E" w:rsidP="002156E5">
            <w:pPr>
              <w:spacing w:line="240" w:lineRule="auto"/>
              <w:ind w:left="0" w:hanging="2"/>
              <w:jc w:val="center"/>
              <w:cnfStyle w:val="100000000000" w:firstRow="1"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Resistant (%)</w:t>
            </w:r>
          </w:p>
        </w:tc>
      </w:tr>
      <w:tr w:rsidR="00FD748E" w:rsidRPr="00655BAB" w14:paraId="2D424EDF" w14:textId="77777777" w:rsidTr="00655BAB">
        <w:trPr>
          <w:jc w:val="center"/>
        </w:trPr>
        <w:tc>
          <w:tcPr>
            <w:cnfStyle w:val="001000000000" w:firstRow="0" w:lastRow="0" w:firstColumn="1" w:lastColumn="0" w:oddVBand="0" w:evenVBand="0" w:oddHBand="0" w:evenHBand="0" w:firstRowFirstColumn="0" w:firstRowLastColumn="0" w:lastRowFirstColumn="0" w:lastRowLastColumn="0"/>
            <w:tcW w:w="568" w:type="dxa"/>
            <w:tcBorders>
              <w:top w:val="nil"/>
              <w:bottom w:val="nil"/>
            </w:tcBorders>
          </w:tcPr>
          <w:p w14:paraId="4EBED998" w14:textId="77777777" w:rsidR="00FD748E" w:rsidRPr="00655BAB" w:rsidRDefault="00FD748E" w:rsidP="002156E5">
            <w:pPr>
              <w:spacing w:line="240" w:lineRule="auto"/>
              <w:ind w:left="0" w:hanging="2"/>
              <w:jc w:val="center"/>
              <w:rPr>
                <w:rFonts w:cs="Times New Roman"/>
                <w:b w:val="0"/>
                <w:bCs w:val="0"/>
                <w:sz w:val="20"/>
                <w:szCs w:val="20"/>
                <w:lang w:val="en-US"/>
              </w:rPr>
            </w:pPr>
            <w:r w:rsidRPr="00655BAB">
              <w:rPr>
                <w:rFonts w:cs="Times New Roman"/>
                <w:b w:val="0"/>
                <w:bCs w:val="0"/>
                <w:sz w:val="20"/>
                <w:szCs w:val="20"/>
                <w:lang w:val="en-US"/>
              </w:rPr>
              <w:t>1.</w:t>
            </w:r>
          </w:p>
        </w:tc>
        <w:tc>
          <w:tcPr>
            <w:tcW w:w="2267" w:type="dxa"/>
            <w:tcBorders>
              <w:top w:val="nil"/>
              <w:bottom w:val="nil"/>
            </w:tcBorders>
          </w:tcPr>
          <w:p w14:paraId="0AAE7ADB" w14:textId="77777777" w:rsidR="00FD748E" w:rsidRPr="00655BAB" w:rsidRDefault="00FD748E" w:rsidP="002156E5">
            <w:pPr>
              <w:spacing w:line="240" w:lineRule="auto"/>
              <w:ind w:left="0" w:hanging="2"/>
              <w:jc w:val="left"/>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Amikacin</w:t>
            </w:r>
          </w:p>
        </w:tc>
        <w:tc>
          <w:tcPr>
            <w:tcW w:w="1418" w:type="dxa"/>
            <w:tcBorders>
              <w:top w:val="nil"/>
              <w:bottom w:val="nil"/>
            </w:tcBorders>
          </w:tcPr>
          <w:p w14:paraId="62ABE6D8"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94.2</w:t>
            </w:r>
          </w:p>
        </w:tc>
        <w:tc>
          <w:tcPr>
            <w:tcW w:w="1417" w:type="dxa"/>
            <w:tcBorders>
              <w:top w:val="nil"/>
              <w:bottom w:val="nil"/>
            </w:tcBorders>
          </w:tcPr>
          <w:p w14:paraId="77C3CAA7"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4.5</w:t>
            </w:r>
          </w:p>
        </w:tc>
      </w:tr>
      <w:tr w:rsidR="00FD748E" w:rsidRPr="00655BAB" w14:paraId="4CD01EEB" w14:textId="77777777" w:rsidTr="00655BAB">
        <w:trPr>
          <w:jc w:val="center"/>
        </w:trPr>
        <w:tc>
          <w:tcPr>
            <w:cnfStyle w:val="001000000000" w:firstRow="0" w:lastRow="0" w:firstColumn="1" w:lastColumn="0" w:oddVBand="0" w:evenVBand="0" w:oddHBand="0" w:evenHBand="0" w:firstRowFirstColumn="0" w:firstRowLastColumn="0" w:lastRowFirstColumn="0" w:lastRowLastColumn="0"/>
            <w:tcW w:w="568" w:type="dxa"/>
            <w:tcBorders>
              <w:top w:val="nil"/>
              <w:bottom w:val="nil"/>
            </w:tcBorders>
          </w:tcPr>
          <w:p w14:paraId="63D8918F" w14:textId="77777777" w:rsidR="00FD748E" w:rsidRPr="00655BAB" w:rsidRDefault="00FD748E" w:rsidP="002156E5">
            <w:pPr>
              <w:spacing w:line="240" w:lineRule="auto"/>
              <w:ind w:left="0" w:hanging="2"/>
              <w:jc w:val="center"/>
              <w:rPr>
                <w:rFonts w:cs="Times New Roman"/>
                <w:b w:val="0"/>
                <w:bCs w:val="0"/>
                <w:sz w:val="20"/>
                <w:szCs w:val="20"/>
                <w:lang w:val="en-US"/>
              </w:rPr>
            </w:pPr>
            <w:r w:rsidRPr="00655BAB">
              <w:rPr>
                <w:rFonts w:cs="Times New Roman"/>
                <w:b w:val="0"/>
                <w:bCs w:val="0"/>
                <w:sz w:val="20"/>
                <w:szCs w:val="20"/>
                <w:lang w:val="en-US"/>
              </w:rPr>
              <w:t>2.</w:t>
            </w:r>
          </w:p>
        </w:tc>
        <w:tc>
          <w:tcPr>
            <w:tcW w:w="2267" w:type="dxa"/>
            <w:tcBorders>
              <w:top w:val="nil"/>
              <w:bottom w:val="nil"/>
            </w:tcBorders>
          </w:tcPr>
          <w:p w14:paraId="0654FEE8" w14:textId="77777777" w:rsidR="00FD748E" w:rsidRPr="00655BAB" w:rsidRDefault="00FD748E" w:rsidP="002156E5">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Gentamicin</w:t>
            </w:r>
          </w:p>
        </w:tc>
        <w:tc>
          <w:tcPr>
            <w:tcW w:w="1418" w:type="dxa"/>
            <w:tcBorders>
              <w:top w:val="nil"/>
              <w:bottom w:val="nil"/>
            </w:tcBorders>
          </w:tcPr>
          <w:p w14:paraId="05C3C999"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86.5</w:t>
            </w:r>
          </w:p>
        </w:tc>
        <w:tc>
          <w:tcPr>
            <w:tcW w:w="1417" w:type="dxa"/>
            <w:tcBorders>
              <w:top w:val="nil"/>
              <w:bottom w:val="nil"/>
            </w:tcBorders>
          </w:tcPr>
          <w:p w14:paraId="4319B8B7"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10.3</w:t>
            </w:r>
          </w:p>
        </w:tc>
      </w:tr>
      <w:tr w:rsidR="00FD748E" w:rsidRPr="00655BAB" w14:paraId="013A562D" w14:textId="77777777" w:rsidTr="00655BAB">
        <w:trPr>
          <w:jc w:val="center"/>
        </w:trPr>
        <w:tc>
          <w:tcPr>
            <w:cnfStyle w:val="001000000000" w:firstRow="0" w:lastRow="0" w:firstColumn="1" w:lastColumn="0" w:oddVBand="0" w:evenVBand="0" w:oddHBand="0" w:evenHBand="0" w:firstRowFirstColumn="0" w:firstRowLastColumn="0" w:lastRowFirstColumn="0" w:lastRowLastColumn="0"/>
            <w:tcW w:w="568" w:type="dxa"/>
            <w:tcBorders>
              <w:top w:val="nil"/>
              <w:bottom w:val="nil"/>
            </w:tcBorders>
          </w:tcPr>
          <w:p w14:paraId="673F006D" w14:textId="77777777" w:rsidR="00FD748E" w:rsidRPr="00655BAB" w:rsidRDefault="00FD748E" w:rsidP="002156E5">
            <w:pPr>
              <w:spacing w:line="240" w:lineRule="auto"/>
              <w:ind w:left="0" w:hanging="2"/>
              <w:jc w:val="center"/>
              <w:rPr>
                <w:rFonts w:cs="Times New Roman"/>
                <w:b w:val="0"/>
                <w:bCs w:val="0"/>
                <w:sz w:val="20"/>
                <w:szCs w:val="20"/>
                <w:lang w:val="en-US"/>
              </w:rPr>
            </w:pPr>
            <w:r w:rsidRPr="00655BAB">
              <w:rPr>
                <w:rFonts w:cs="Times New Roman"/>
                <w:b w:val="0"/>
                <w:bCs w:val="0"/>
                <w:sz w:val="20"/>
                <w:szCs w:val="20"/>
                <w:lang w:val="en-US"/>
              </w:rPr>
              <w:t>3.</w:t>
            </w:r>
          </w:p>
        </w:tc>
        <w:tc>
          <w:tcPr>
            <w:tcW w:w="2267" w:type="dxa"/>
            <w:tcBorders>
              <w:top w:val="nil"/>
              <w:bottom w:val="nil"/>
            </w:tcBorders>
          </w:tcPr>
          <w:p w14:paraId="77003461" w14:textId="77777777" w:rsidR="00FD748E" w:rsidRPr="00655BAB" w:rsidRDefault="00FD748E" w:rsidP="002156E5">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Cefepime</w:t>
            </w:r>
          </w:p>
        </w:tc>
        <w:tc>
          <w:tcPr>
            <w:tcW w:w="1418" w:type="dxa"/>
            <w:tcBorders>
              <w:top w:val="nil"/>
              <w:bottom w:val="nil"/>
            </w:tcBorders>
          </w:tcPr>
          <w:p w14:paraId="5DE664D3"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81.7</w:t>
            </w:r>
          </w:p>
        </w:tc>
        <w:tc>
          <w:tcPr>
            <w:tcW w:w="1417" w:type="dxa"/>
            <w:tcBorders>
              <w:top w:val="nil"/>
              <w:bottom w:val="nil"/>
            </w:tcBorders>
          </w:tcPr>
          <w:p w14:paraId="6AB6C898"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9</w:t>
            </w:r>
          </w:p>
        </w:tc>
      </w:tr>
      <w:tr w:rsidR="00FD748E" w:rsidRPr="00655BAB" w14:paraId="2B27A1CB" w14:textId="77777777" w:rsidTr="00655BAB">
        <w:trPr>
          <w:jc w:val="center"/>
        </w:trPr>
        <w:tc>
          <w:tcPr>
            <w:cnfStyle w:val="001000000000" w:firstRow="0" w:lastRow="0" w:firstColumn="1" w:lastColumn="0" w:oddVBand="0" w:evenVBand="0" w:oddHBand="0" w:evenHBand="0" w:firstRowFirstColumn="0" w:firstRowLastColumn="0" w:lastRowFirstColumn="0" w:lastRowLastColumn="0"/>
            <w:tcW w:w="568" w:type="dxa"/>
            <w:tcBorders>
              <w:top w:val="nil"/>
              <w:bottom w:val="nil"/>
            </w:tcBorders>
          </w:tcPr>
          <w:p w14:paraId="36089F7D" w14:textId="77777777" w:rsidR="00FD748E" w:rsidRPr="00655BAB" w:rsidRDefault="00FD748E" w:rsidP="002156E5">
            <w:pPr>
              <w:spacing w:line="240" w:lineRule="auto"/>
              <w:ind w:left="0" w:hanging="2"/>
              <w:jc w:val="center"/>
              <w:rPr>
                <w:rFonts w:cs="Times New Roman"/>
                <w:b w:val="0"/>
                <w:bCs w:val="0"/>
                <w:sz w:val="20"/>
                <w:szCs w:val="20"/>
                <w:lang w:val="en-US"/>
              </w:rPr>
            </w:pPr>
            <w:r w:rsidRPr="00655BAB">
              <w:rPr>
                <w:rFonts w:cs="Times New Roman"/>
                <w:b w:val="0"/>
                <w:bCs w:val="0"/>
                <w:sz w:val="20"/>
                <w:szCs w:val="20"/>
                <w:lang w:val="en-US"/>
              </w:rPr>
              <w:t>4.</w:t>
            </w:r>
          </w:p>
        </w:tc>
        <w:tc>
          <w:tcPr>
            <w:tcW w:w="2267" w:type="dxa"/>
            <w:tcBorders>
              <w:top w:val="nil"/>
              <w:bottom w:val="nil"/>
            </w:tcBorders>
          </w:tcPr>
          <w:p w14:paraId="03DB5F86" w14:textId="77777777" w:rsidR="00FD748E" w:rsidRPr="00655BAB" w:rsidRDefault="00FD748E" w:rsidP="002156E5">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Ciprofloxacin</w:t>
            </w:r>
          </w:p>
        </w:tc>
        <w:tc>
          <w:tcPr>
            <w:tcW w:w="1418" w:type="dxa"/>
            <w:tcBorders>
              <w:top w:val="nil"/>
              <w:bottom w:val="nil"/>
            </w:tcBorders>
          </w:tcPr>
          <w:p w14:paraId="11EC3FD8"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81.5</w:t>
            </w:r>
          </w:p>
        </w:tc>
        <w:tc>
          <w:tcPr>
            <w:tcW w:w="1417" w:type="dxa"/>
            <w:tcBorders>
              <w:top w:val="nil"/>
              <w:bottom w:val="nil"/>
            </w:tcBorders>
          </w:tcPr>
          <w:p w14:paraId="2F5A02BC"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15.3</w:t>
            </w:r>
          </w:p>
        </w:tc>
      </w:tr>
      <w:tr w:rsidR="00FD748E" w:rsidRPr="00655BAB" w14:paraId="7344B04C" w14:textId="77777777" w:rsidTr="00655BAB">
        <w:trPr>
          <w:jc w:val="center"/>
        </w:trPr>
        <w:tc>
          <w:tcPr>
            <w:cnfStyle w:val="001000000000" w:firstRow="0" w:lastRow="0" w:firstColumn="1" w:lastColumn="0" w:oddVBand="0" w:evenVBand="0" w:oddHBand="0" w:evenHBand="0" w:firstRowFirstColumn="0" w:firstRowLastColumn="0" w:lastRowFirstColumn="0" w:lastRowLastColumn="0"/>
            <w:tcW w:w="568" w:type="dxa"/>
            <w:tcBorders>
              <w:top w:val="nil"/>
              <w:bottom w:val="nil"/>
            </w:tcBorders>
          </w:tcPr>
          <w:p w14:paraId="2A76A4C4" w14:textId="77777777" w:rsidR="00FD748E" w:rsidRPr="00655BAB" w:rsidRDefault="00FD748E" w:rsidP="002156E5">
            <w:pPr>
              <w:spacing w:line="240" w:lineRule="auto"/>
              <w:ind w:left="0" w:hanging="2"/>
              <w:jc w:val="center"/>
              <w:rPr>
                <w:rFonts w:cs="Times New Roman"/>
                <w:b w:val="0"/>
                <w:bCs w:val="0"/>
                <w:sz w:val="20"/>
                <w:szCs w:val="20"/>
                <w:lang w:val="en-US"/>
              </w:rPr>
            </w:pPr>
            <w:r w:rsidRPr="00655BAB">
              <w:rPr>
                <w:rFonts w:cs="Times New Roman"/>
                <w:b w:val="0"/>
                <w:bCs w:val="0"/>
                <w:sz w:val="20"/>
                <w:szCs w:val="20"/>
                <w:lang w:val="en-US"/>
              </w:rPr>
              <w:t>5.</w:t>
            </w:r>
          </w:p>
        </w:tc>
        <w:tc>
          <w:tcPr>
            <w:tcW w:w="2267" w:type="dxa"/>
            <w:tcBorders>
              <w:top w:val="nil"/>
              <w:bottom w:val="nil"/>
            </w:tcBorders>
          </w:tcPr>
          <w:p w14:paraId="249BB9A3" w14:textId="77777777" w:rsidR="00FD748E" w:rsidRPr="00655BAB" w:rsidRDefault="00FD748E" w:rsidP="002156E5">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Piperacillin-Tazobactam</w:t>
            </w:r>
          </w:p>
        </w:tc>
        <w:tc>
          <w:tcPr>
            <w:tcW w:w="1418" w:type="dxa"/>
            <w:tcBorders>
              <w:top w:val="nil"/>
              <w:bottom w:val="nil"/>
            </w:tcBorders>
          </w:tcPr>
          <w:p w14:paraId="052D722B"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78.5</w:t>
            </w:r>
          </w:p>
        </w:tc>
        <w:tc>
          <w:tcPr>
            <w:tcW w:w="1417" w:type="dxa"/>
            <w:tcBorders>
              <w:top w:val="nil"/>
              <w:bottom w:val="nil"/>
            </w:tcBorders>
          </w:tcPr>
          <w:p w14:paraId="3B8187D4"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12.9</w:t>
            </w:r>
          </w:p>
        </w:tc>
      </w:tr>
      <w:tr w:rsidR="00FD748E" w:rsidRPr="00655BAB" w14:paraId="60DE82B4" w14:textId="77777777" w:rsidTr="00655BAB">
        <w:trPr>
          <w:jc w:val="center"/>
        </w:trPr>
        <w:tc>
          <w:tcPr>
            <w:cnfStyle w:val="001000000000" w:firstRow="0" w:lastRow="0" w:firstColumn="1" w:lastColumn="0" w:oddVBand="0" w:evenVBand="0" w:oddHBand="0" w:evenHBand="0" w:firstRowFirstColumn="0" w:firstRowLastColumn="0" w:lastRowFirstColumn="0" w:lastRowLastColumn="0"/>
            <w:tcW w:w="568" w:type="dxa"/>
            <w:tcBorders>
              <w:top w:val="nil"/>
              <w:bottom w:val="nil"/>
            </w:tcBorders>
          </w:tcPr>
          <w:p w14:paraId="2D2C3D1C" w14:textId="77777777" w:rsidR="00FD748E" w:rsidRPr="00655BAB" w:rsidRDefault="00FD748E" w:rsidP="002156E5">
            <w:pPr>
              <w:spacing w:line="240" w:lineRule="auto"/>
              <w:ind w:left="0" w:hanging="2"/>
              <w:jc w:val="center"/>
              <w:rPr>
                <w:rFonts w:cs="Times New Roman"/>
                <w:b w:val="0"/>
                <w:bCs w:val="0"/>
                <w:sz w:val="20"/>
                <w:szCs w:val="20"/>
                <w:lang w:val="en-US"/>
              </w:rPr>
            </w:pPr>
            <w:r w:rsidRPr="00655BAB">
              <w:rPr>
                <w:rFonts w:cs="Times New Roman"/>
                <w:b w:val="0"/>
                <w:bCs w:val="0"/>
                <w:sz w:val="20"/>
                <w:szCs w:val="20"/>
                <w:lang w:val="en-US"/>
              </w:rPr>
              <w:t>6.</w:t>
            </w:r>
          </w:p>
        </w:tc>
        <w:tc>
          <w:tcPr>
            <w:tcW w:w="2267" w:type="dxa"/>
            <w:tcBorders>
              <w:top w:val="nil"/>
              <w:bottom w:val="nil"/>
            </w:tcBorders>
          </w:tcPr>
          <w:p w14:paraId="15312B6C" w14:textId="77777777" w:rsidR="00FD748E" w:rsidRPr="00655BAB" w:rsidRDefault="00FD748E" w:rsidP="002156E5">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Meropenem</w:t>
            </w:r>
          </w:p>
        </w:tc>
        <w:tc>
          <w:tcPr>
            <w:tcW w:w="1418" w:type="dxa"/>
            <w:tcBorders>
              <w:top w:val="nil"/>
              <w:bottom w:val="nil"/>
            </w:tcBorders>
          </w:tcPr>
          <w:p w14:paraId="1A5B9651"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76.6</w:t>
            </w:r>
          </w:p>
        </w:tc>
        <w:tc>
          <w:tcPr>
            <w:tcW w:w="1417" w:type="dxa"/>
            <w:tcBorders>
              <w:top w:val="nil"/>
              <w:bottom w:val="nil"/>
            </w:tcBorders>
          </w:tcPr>
          <w:p w14:paraId="46A27139"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18.9</w:t>
            </w:r>
          </w:p>
        </w:tc>
      </w:tr>
      <w:tr w:rsidR="00FD748E" w:rsidRPr="00655BAB" w14:paraId="634FBD30" w14:textId="77777777" w:rsidTr="00655BAB">
        <w:trPr>
          <w:jc w:val="center"/>
        </w:trPr>
        <w:tc>
          <w:tcPr>
            <w:cnfStyle w:val="001000000000" w:firstRow="0" w:lastRow="0" w:firstColumn="1" w:lastColumn="0" w:oddVBand="0" w:evenVBand="0" w:oddHBand="0" w:evenHBand="0" w:firstRowFirstColumn="0" w:firstRowLastColumn="0" w:lastRowFirstColumn="0" w:lastRowLastColumn="0"/>
            <w:tcW w:w="568" w:type="dxa"/>
            <w:tcBorders>
              <w:top w:val="nil"/>
              <w:bottom w:val="nil"/>
            </w:tcBorders>
          </w:tcPr>
          <w:p w14:paraId="53491BEA" w14:textId="77777777" w:rsidR="00FD748E" w:rsidRPr="00655BAB" w:rsidRDefault="00FD748E" w:rsidP="002156E5">
            <w:pPr>
              <w:spacing w:line="240" w:lineRule="auto"/>
              <w:ind w:left="0" w:hanging="2"/>
              <w:jc w:val="center"/>
              <w:rPr>
                <w:rFonts w:cs="Times New Roman"/>
                <w:b w:val="0"/>
                <w:bCs w:val="0"/>
                <w:sz w:val="20"/>
                <w:szCs w:val="20"/>
                <w:lang w:val="en-US"/>
              </w:rPr>
            </w:pPr>
            <w:r w:rsidRPr="00655BAB">
              <w:rPr>
                <w:rFonts w:cs="Times New Roman"/>
                <w:b w:val="0"/>
                <w:bCs w:val="0"/>
                <w:sz w:val="20"/>
                <w:szCs w:val="20"/>
                <w:lang w:val="en-US"/>
              </w:rPr>
              <w:t>7.</w:t>
            </w:r>
          </w:p>
        </w:tc>
        <w:tc>
          <w:tcPr>
            <w:tcW w:w="2267" w:type="dxa"/>
            <w:tcBorders>
              <w:top w:val="nil"/>
              <w:bottom w:val="nil"/>
            </w:tcBorders>
          </w:tcPr>
          <w:p w14:paraId="36C0C8C2" w14:textId="77777777" w:rsidR="00FD748E" w:rsidRPr="00655BAB" w:rsidRDefault="00FD748E" w:rsidP="002156E5">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Ceftazidime</w:t>
            </w:r>
          </w:p>
        </w:tc>
        <w:tc>
          <w:tcPr>
            <w:tcW w:w="1418" w:type="dxa"/>
            <w:tcBorders>
              <w:top w:val="nil"/>
              <w:bottom w:val="nil"/>
            </w:tcBorders>
          </w:tcPr>
          <w:p w14:paraId="1CE291C5"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75.1</w:t>
            </w:r>
          </w:p>
        </w:tc>
        <w:tc>
          <w:tcPr>
            <w:tcW w:w="1417" w:type="dxa"/>
            <w:tcBorders>
              <w:top w:val="nil"/>
              <w:bottom w:val="nil"/>
            </w:tcBorders>
          </w:tcPr>
          <w:p w14:paraId="3AFEFD7F"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18.1</w:t>
            </w:r>
          </w:p>
        </w:tc>
      </w:tr>
      <w:tr w:rsidR="00FD748E" w:rsidRPr="00655BAB" w14:paraId="4DB65FAA" w14:textId="77777777" w:rsidTr="00655BAB">
        <w:trPr>
          <w:jc w:val="center"/>
        </w:trPr>
        <w:tc>
          <w:tcPr>
            <w:cnfStyle w:val="001000000000" w:firstRow="0" w:lastRow="0" w:firstColumn="1" w:lastColumn="0" w:oddVBand="0" w:evenVBand="0" w:oddHBand="0" w:evenHBand="0" w:firstRowFirstColumn="0" w:firstRowLastColumn="0" w:lastRowFirstColumn="0" w:lastRowLastColumn="0"/>
            <w:tcW w:w="568" w:type="dxa"/>
            <w:tcBorders>
              <w:top w:val="nil"/>
              <w:bottom w:val="nil"/>
            </w:tcBorders>
          </w:tcPr>
          <w:p w14:paraId="0519C24B" w14:textId="77777777" w:rsidR="00FD748E" w:rsidRPr="00655BAB" w:rsidRDefault="00FD748E" w:rsidP="002156E5">
            <w:pPr>
              <w:spacing w:line="240" w:lineRule="auto"/>
              <w:ind w:left="0" w:hanging="2"/>
              <w:jc w:val="center"/>
              <w:rPr>
                <w:rFonts w:cs="Times New Roman"/>
                <w:b w:val="0"/>
                <w:bCs w:val="0"/>
                <w:sz w:val="20"/>
                <w:szCs w:val="20"/>
                <w:lang w:val="en-US"/>
              </w:rPr>
            </w:pPr>
            <w:r w:rsidRPr="00655BAB">
              <w:rPr>
                <w:rFonts w:cs="Times New Roman"/>
                <w:b w:val="0"/>
                <w:bCs w:val="0"/>
                <w:sz w:val="20"/>
                <w:szCs w:val="20"/>
                <w:lang w:val="en-US"/>
              </w:rPr>
              <w:t>8.</w:t>
            </w:r>
          </w:p>
        </w:tc>
        <w:tc>
          <w:tcPr>
            <w:tcW w:w="2267" w:type="dxa"/>
            <w:tcBorders>
              <w:top w:val="nil"/>
              <w:bottom w:val="nil"/>
            </w:tcBorders>
          </w:tcPr>
          <w:p w14:paraId="483F6148" w14:textId="77777777" w:rsidR="00FD748E" w:rsidRPr="00655BAB" w:rsidRDefault="00FD748E" w:rsidP="002156E5">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Aztreonam</w:t>
            </w:r>
          </w:p>
        </w:tc>
        <w:tc>
          <w:tcPr>
            <w:tcW w:w="1418" w:type="dxa"/>
            <w:tcBorders>
              <w:top w:val="nil"/>
              <w:bottom w:val="nil"/>
            </w:tcBorders>
          </w:tcPr>
          <w:p w14:paraId="4283DD2D"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62.2</w:t>
            </w:r>
          </w:p>
        </w:tc>
        <w:tc>
          <w:tcPr>
            <w:tcW w:w="1417" w:type="dxa"/>
            <w:tcBorders>
              <w:top w:val="nil"/>
              <w:bottom w:val="nil"/>
            </w:tcBorders>
          </w:tcPr>
          <w:p w14:paraId="57C8CEE7"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16.6</w:t>
            </w:r>
          </w:p>
        </w:tc>
      </w:tr>
      <w:tr w:rsidR="00FD748E" w:rsidRPr="00655BAB" w14:paraId="6390E03E" w14:textId="77777777" w:rsidTr="00655BAB">
        <w:trPr>
          <w:jc w:val="center"/>
        </w:trPr>
        <w:tc>
          <w:tcPr>
            <w:cnfStyle w:val="001000000000" w:firstRow="0" w:lastRow="0" w:firstColumn="1" w:lastColumn="0" w:oddVBand="0" w:evenVBand="0" w:oddHBand="0" w:evenHBand="0" w:firstRowFirstColumn="0" w:firstRowLastColumn="0" w:lastRowFirstColumn="0" w:lastRowLastColumn="0"/>
            <w:tcW w:w="568" w:type="dxa"/>
            <w:tcBorders>
              <w:top w:val="nil"/>
              <w:bottom w:val="nil"/>
            </w:tcBorders>
          </w:tcPr>
          <w:p w14:paraId="6880DE3D" w14:textId="77777777" w:rsidR="00FD748E" w:rsidRPr="00655BAB" w:rsidRDefault="00FD748E" w:rsidP="002156E5">
            <w:pPr>
              <w:spacing w:line="240" w:lineRule="auto"/>
              <w:ind w:left="0" w:hanging="2"/>
              <w:jc w:val="center"/>
              <w:rPr>
                <w:rFonts w:cs="Times New Roman"/>
                <w:b w:val="0"/>
                <w:bCs w:val="0"/>
                <w:sz w:val="20"/>
                <w:szCs w:val="20"/>
                <w:lang w:val="en-US"/>
              </w:rPr>
            </w:pPr>
            <w:r w:rsidRPr="00655BAB">
              <w:rPr>
                <w:rFonts w:cs="Times New Roman"/>
                <w:b w:val="0"/>
                <w:bCs w:val="0"/>
                <w:sz w:val="20"/>
                <w:szCs w:val="20"/>
                <w:lang w:val="en-US"/>
              </w:rPr>
              <w:t>9.</w:t>
            </w:r>
          </w:p>
        </w:tc>
        <w:tc>
          <w:tcPr>
            <w:tcW w:w="2267" w:type="dxa"/>
            <w:tcBorders>
              <w:top w:val="nil"/>
              <w:bottom w:val="nil"/>
            </w:tcBorders>
          </w:tcPr>
          <w:p w14:paraId="32DAB010" w14:textId="77777777" w:rsidR="00FD748E" w:rsidRPr="00655BAB" w:rsidRDefault="00FD748E" w:rsidP="002156E5">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Cefazolin</w:t>
            </w:r>
          </w:p>
        </w:tc>
        <w:tc>
          <w:tcPr>
            <w:tcW w:w="1418" w:type="dxa"/>
            <w:tcBorders>
              <w:top w:val="nil"/>
              <w:bottom w:val="nil"/>
            </w:tcBorders>
          </w:tcPr>
          <w:p w14:paraId="0AA130DB"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0</w:t>
            </w:r>
          </w:p>
        </w:tc>
        <w:tc>
          <w:tcPr>
            <w:tcW w:w="1417" w:type="dxa"/>
            <w:tcBorders>
              <w:top w:val="nil"/>
              <w:bottom w:val="nil"/>
            </w:tcBorders>
          </w:tcPr>
          <w:p w14:paraId="64DBE945"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100</w:t>
            </w:r>
          </w:p>
        </w:tc>
      </w:tr>
      <w:tr w:rsidR="00FD748E" w:rsidRPr="00655BAB" w14:paraId="3A5884E1" w14:textId="77777777" w:rsidTr="00655BAB">
        <w:trPr>
          <w:jc w:val="center"/>
        </w:trPr>
        <w:tc>
          <w:tcPr>
            <w:cnfStyle w:val="001000000000" w:firstRow="0" w:lastRow="0" w:firstColumn="1" w:lastColumn="0" w:oddVBand="0" w:evenVBand="0" w:oddHBand="0" w:evenHBand="0" w:firstRowFirstColumn="0" w:firstRowLastColumn="0" w:lastRowFirstColumn="0" w:lastRowLastColumn="0"/>
            <w:tcW w:w="568" w:type="dxa"/>
            <w:tcBorders>
              <w:top w:val="nil"/>
              <w:bottom w:val="single" w:sz="8" w:space="0" w:color="auto"/>
            </w:tcBorders>
          </w:tcPr>
          <w:p w14:paraId="47F7A51B" w14:textId="77777777" w:rsidR="00FD748E" w:rsidRPr="00655BAB" w:rsidRDefault="00FD748E" w:rsidP="002156E5">
            <w:pPr>
              <w:spacing w:line="240" w:lineRule="auto"/>
              <w:ind w:left="0" w:hanging="2"/>
              <w:jc w:val="center"/>
              <w:rPr>
                <w:rFonts w:cs="Times New Roman"/>
                <w:b w:val="0"/>
                <w:bCs w:val="0"/>
                <w:sz w:val="20"/>
                <w:szCs w:val="20"/>
                <w:lang w:val="en-US"/>
              </w:rPr>
            </w:pPr>
            <w:r w:rsidRPr="00655BAB">
              <w:rPr>
                <w:rFonts w:cs="Times New Roman"/>
                <w:b w:val="0"/>
                <w:bCs w:val="0"/>
                <w:sz w:val="20"/>
                <w:szCs w:val="20"/>
                <w:lang w:val="en-US"/>
              </w:rPr>
              <w:t>10.</w:t>
            </w:r>
          </w:p>
        </w:tc>
        <w:tc>
          <w:tcPr>
            <w:tcW w:w="2267" w:type="dxa"/>
            <w:tcBorders>
              <w:top w:val="nil"/>
              <w:bottom w:val="single" w:sz="8" w:space="0" w:color="auto"/>
            </w:tcBorders>
          </w:tcPr>
          <w:p w14:paraId="0285DCF2" w14:textId="77777777" w:rsidR="00FD748E" w:rsidRPr="00655BAB" w:rsidRDefault="00FD748E" w:rsidP="002156E5">
            <w:pPr>
              <w:spacing w:line="240" w:lineRule="auto"/>
              <w:ind w:left="0" w:hanging="2"/>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Tigecycline</w:t>
            </w:r>
          </w:p>
        </w:tc>
        <w:tc>
          <w:tcPr>
            <w:tcW w:w="1418" w:type="dxa"/>
            <w:tcBorders>
              <w:top w:val="nil"/>
              <w:bottom w:val="single" w:sz="8" w:space="0" w:color="auto"/>
            </w:tcBorders>
          </w:tcPr>
          <w:p w14:paraId="6479E51C"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0</w:t>
            </w:r>
          </w:p>
        </w:tc>
        <w:tc>
          <w:tcPr>
            <w:tcW w:w="1417" w:type="dxa"/>
            <w:tcBorders>
              <w:top w:val="nil"/>
              <w:bottom w:val="single" w:sz="8" w:space="0" w:color="auto"/>
            </w:tcBorders>
          </w:tcPr>
          <w:p w14:paraId="33576207" w14:textId="77777777" w:rsidR="00FD748E" w:rsidRPr="00655BAB" w:rsidRDefault="00FD748E" w:rsidP="002156E5">
            <w:pPr>
              <w:spacing w:line="240" w:lineRule="auto"/>
              <w:ind w:left="0" w:hanging="2"/>
              <w:jc w:val="center"/>
              <w:cnfStyle w:val="000000000000" w:firstRow="0" w:lastRow="0" w:firstColumn="0" w:lastColumn="0" w:oddVBand="0" w:evenVBand="0" w:oddHBand="0" w:evenHBand="0" w:firstRowFirstColumn="0" w:firstRowLastColumn="0" w:lastRowFirstColumn="0" w:lastRowLastColumn="0"/>
              <w:rPr>
                <w:rFonts w:cs="Times New Roman"/>
                <w:sz w:val="20"/>
                <w:szCs w:val="20"/>
                <w:lang w:val="en-US"/>
              </w:rPr>
            </w:pPr>
            <w:r w:rsidRPr="00655BAB">
              <w:rPr>
                <w:rFonts w:cs="Times New Roman"/>
                <w:sz w:val="20"/>
                <w:szCs w:val="20"/>
                <w:lang w:val="en-US"/>
              </w:rPr>
              <w:t>100</w:t>
            </w:r>
          </w:p>
        </w:tc>
      </w:tr>
    </w:tbl>
    <w:p w14:paraId="31A7ADEA" w14:textId="35A9329A" w:rsidR="00DA26F4" w:rsidRDefault="00DA26F4" w:rsidP="00FD748E">
      <w:pPr>
        <w:spacing w:after="0" w:line="240" w:lineRule="auto"/>
        <w:ind w:left="0" w:hanging="2"/>
        <w:jc w:val="both"/>
        <w:rPr>
          <w:rFonts w:ascii="Times New Roman" w:eastAsia="Times New Roman" w:hAnsi="Times New Roman" w:cs="Times New Roman"/>
          <w:sz w:val="24"/>
          <w:szCs w:val="24"/>
        </w:rPr>
      </w:pPr>
    </w:p>
    <w:sectPr w:rsidR="00DA26F4">
      <w:pgSz w:w="11907" w:h="16839"/>
      <w:pgMar w:top="2127" w:right="1701" w:bottom="1701" w:left="1701" w:header="568" w:footer="847"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905943" w14:textId="77777777" w:rsidR="00B23D7E" w:rsidRDefault="00B23D7E">
      <w:pPr>
        <w:spacing w:after="0" w:line="240" w:lineRule="auto"/>
        <w:ind w:left="0" w:hanging="2"/>
      </w:pPr>
      <w:r>
        <w:separator/>
      </w:r>
    </w:p>
  </w:endnote>
  <w:endnote w:type="continuationSeparator" w:id="0">
    <w:p w14:paraId="71730BF8" w14:textId="77777777" w:rsidR="00B23D7E" w:rsidRDefault="00B23D7E">
      <w:pPr>
        <w:spacing w:after="0" w:line="240" w:lineRule="auto"/>
        <w:ind w:left="0" w:hanging="2"/>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E652792A-28DC-4BAC-8C84-794E28859897}"/>
    <w:embedBold r:id="rId2" w:fontKey="{6BBD3007-0A08-41F4-9CB5-63AE8B817D85}"/>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embedRegular r:id="rId3" w:fontKey="{643EFE76-12C2-4084-96B2-1B297D27FCB8}"/>
    <w:embedBold r:id="rId4" w:fontKey="{C525963C-6C4C-4344-A464-53DAB75FE4D4}"/>
  </w:font>
  <w:font w:name="Angsana New">
    <w:panose1 w:val="02020603050405020304"/>
    <w:charset w:val="DE"/>
    <w:family w:val="roman"/>
    <w:pitch w:val="variable"/>
    <w:sig w:usb0="81000003" w:usb1="00000000" w:usb2="00000000" w:usb3="00000000" w:csb0="00010001" w:csb1="00000000"/>
    <w:embedRegular r:id="rId5" w:fontKey="{F2ED22CA-21C4-4556-81CA-B12870040896}"/>
    <w:embedBold r:id="rId6" w:fontKey="{44397C77-2B05-4A81-83B0-819490B820A0}"/>
  </w:font>
  <w:font w:name="Tahoma">
    <w:panose1 w:val="020B0604030504040204"/>
    <w:charset w:val="00"/>
    <w:family w:val="swiss"/>
    <w:pitch w:val="variable"/>
    <w:sig w:usb0="E1002EFF" w:usb1="C000605B" w:usb2="00000029" w:usb3="00000000" w:csb0="000101FF" w:csb1="00000000"/>
    <w:embedRegular r:id="rId7" w:fontKey="{428D2FCE-CB23-4CF9-B88D-5373A59DB1FC}"/>
  </w:font>
  <w:font w:name="Arial Narrow">
    <w:panose1 w:val="020B0606020202030204"/>
    <w:charset w:val="00"/>
    <w:family w:val="swiss"/>
    <w:pitch w:val="variable"/>
    <w:sig w:usb0="00000287" w:usb1="00000800" w:usb2="00000000" w:usb3="00000000" w:csb0="0000009F" w:csb1="00000000"/>
    <w:embedRegular r:id="rId8" w:fontKey="{EDDC878B-89DE-48C1-9048-79D1C6699F29}"/>
  </w:font>
  <w:font w:name="Times">
    <w:panose1 w:val="02020603050405020304"/>
    <w:charset w:val="00"/>
    <w:family w:val="roman"/>
    <w:pitch w:val="variable"/>
    <w:sig w:usb0="E0002EFF" w:usb1="C000785B" w:usb2="00000009" w:usb3="00000000" w:csb0="000001FF" w:csb1="00000000"/>
    <w:embedRegular r:id="rId9" w:fontKey="{B15F102B-EC00-48D1-8982-E002AE547C50}"/>
  </w:font>
  <w:font w:name="BatangChe">
    <w:charset w:val="81"/>
    <w:family w:val="modern"/>
    <w:pitch w:val="fixed"/>
    <w:sig w:usb0="B00002AF" w:usb1="69D77CFB" w:usb2="00000030" w:usb3="00000000" w:csb0="0008009F" w:csb1="00000000"/>
  </w:font>
  <w:font w:name="Georgia">
    <w:panose1 w:val="02040502050405020303"/>
    <w:charset w:val="00"/>
    <w:family w:val="roman"/>
    <w:pitch w:val="variable"/>
    <w:sig w:usb0="00000287" w:usb1="00000000" w:usb2="00000000" w:usb3="00000000" w:csb0="0000009F" w:csb1="00000000"/>
    <w:embedRegular r:id="rId10" w:fontKey="{C3592BFA-738A-4FD3-B7EC-9F3845EB0CDB}"/>
    <w:embedItalic r:id="rId11" w:fontKey="{28379E73-3157-4704-99B1-9FD49096DE10}"/>
  </w:font>
  <w:font w:name="Quattrocento Sans">
    <w:charset w:val="00"/>
    <w:family w:val="swiss"/>
    <w:pitch w:val="variable"/>
    <w:sig w:usb0="800000BF" w:usb1="4000005B" w:usb2="00000000" w:usb3="00000000" w:csb0="00000001" w:csb1="00000000"/>
    <w:embedRegular r:id="rId12" w:fontKey="{F757CB14-B11C-4359-AFAE-E5D3F8ED1AA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BF29FB" w14:textId="77777777" w:rsidR="00DA26F4" w:rsidRDefault="00000000">
    <w:pPr>
      <w:pBdr>
        <w:top w:val="nil"/>
        <w:left w:val="nil"/>
        <w:bottom w:val="nil"/>
        <w:right w:val="nil"/>
        <w:between w:val="nil"/>
      </w:pBdr>
      <w:tabs>
        <w:tab w:val="center" w:pos="4513"/>
        <w:tab w:val="right" w:pos="9026"/>
      </w:tabs>
      <w:ind w:left="0" w:hanging="2"/>
      <w:rPr>
        <w:color w:val="000000"/>
      </w:rPr>
    </w:pPr>
    <w:r>
      <w:rPr>
        <w:rFonts w:ascii="Times New Roman" w:eastAsia="Times New Roman" w:hAnsi="Times New Roman" w:cs="Times New Roman"/>
        <w:color w:val="000000"/>
        <w:sz w:val="18"/>
        <w:szCs w:val="18"/>
      </w:rPr>
      <w:t xml:space="preserve">For complete information author guidelines please check: </w:t>
    </w:r>
    <w:hyperlink r:id="rId1" w:anchor="authorGuidelines">
      <w:r w:rsidR="00DA26F4">
        <w:rPr>
          <w:rFonts w:ascii="Times New Roman" w:eastAsia="Times New Roman" w:hAnsi="Times New Roman" w:cs="Times New Roman"/>
          <w:color w:val="0000FF"/>
          <w:sz w:val="18"/>
          <w:szCs w:val="18"/>
          <w:u w:val="single"/>
        </w:rPr>
        <w:t>http://ejournal2.undip.ac.id/index.php/jbtr/about/submissions#authorGuidelines</w:t>
      </w:r>
    </w:hyperlink>
    <w:r>
      <w:rPr>
        <w:rFonts w:ascii="Times New Roman" w:eastAsia="Times New Roman" w:hAnsi="Times New Roman" w:cs="Times New Roman"/>
        <w:color w:val="000000"/>
        <w:sz w:val="18"/>
        <w:szCs w:val="18"/>
      </w:rPr>
      <w:t xml:space="preserve"> </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ABA2DDD" w14:textId="77777777" w:rsidR="00DA26F4" w:rsidRDefault="00000000">
    <w:pPr>
      <w:pBdr>
        <w:top w:val="nil"/>
        <w:left w:val="nil"/>
        <w:bottom w:val="nil"/>
        <w:right w:val="nil"/>
        <w:between w:val="nil"/>
      </w:pBdr>
      <w:tabs>
        <w:tab w:val="center" w:pos="4513"/>
        <w:tab w:val="right" w:pos="9026"/>
      </w:tabs>
      <w:ind w:left="0" w:hanging="2"/>
      <w:rPr>
        <w:rFonts w:ascii="Times New Roman" w:eastAsia="Times New Roman" w:hAnsi="Times New Roman" w:cs="Times New Roman"/>
        <w:color w:val="000000"/>
        <w:sz w:val="18"/>
        <w:szCs w:val="18"/>
      </w:rPr>
    </w:pPr>
    <w:r>
      <w:rPr>
        <w:rFonts w:ascii="Times New Roman" w:eastAsia="Times New Roman" w:hAnsi="Times New Roman" w:cs="Times New Roman"/>
        <w:color w:val="000000"/>
        <w:sz w:val="18"/>
        <w:szCs w:val="18"/>
      </w:rPr>
      <w:t xml:space="preserve">For complete information author guidelines please check </w:t>
    </w:r>
    <w:hyperlink r:id="rId1">
      <w:r w:rsidR="00DA26F4">
        <w:rPr>
          <w:rFonts w:ascii="Times New Roman" w:eastAsia="Times New Roman" w:hAnsi="Times New Roman" w:cs="Times New Roman"/>
          <w:color w:val="0000FF"/>
          <w:sz w:val="18"/>
          <w:szCs w:val="18"/>
          <w:u w:val="single"/>
        </w:rPr>
        <w:t>http://ejournal.undip.ac.id/index.php/medianers/about/submissions#authorGuidelines</w:t>
      </w:r>
    </w:hyperlink>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86E302" w14:textId="77777777" w:rsidR="00B23D7E" w:rsidRDefault="00B23D7E">
      <w:pPr>
        <w:spacing w:after="0" w:line="240" w:lineRule="auto"/>
        <w:ind w:left="0" w:hanging="2"/>
      </w:pPr>
      <w:r>
        <w:separator/>
      </w:r>
    </w:p>
  </w:footnote>
  <w:footnote w:type="continuationSeparator" w:id="0">
    <w:p w14:paraId="7FCCD5A9" w14:textId="77777777" w:rsidR="00B23D7E" w:rsidRDefault="00B23D7E">
      <w:pPr>
        <w:spacing w:after="0" w:line="240" w:lineRule="auto"/>
        <w:ind w:left="0" w:hanging="2"/>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7A157D" w14:textId="77777777" w:rsidR="00DA26F4" w:rsidRDefault="00000000">
    <w:pPr>
      <w:pStyle w:val="Title"/>
      <w:ind w:left="1" w:hanging="3"/>
      <w:rPr>
        <w:color w:val="0070C0"/>
        <w:sz w:val="32"/>
        <w:szCs w:val="32"/>
      </w:rPr>
    </w:pPr>
    <w:r>
      <w:rPr>
        <w:b/>
        <w:color w:val="0070C0"/>
        <w:sz w:val="32"/>
        <w:szCs w:val="32"/>
      </w:rPr>
      <w:t>‍Submissions Template for Authors</w:t>
    </w:r>
  </w:p>
  <w:p w14:paraId="43971881" w14:textId="77777777" w:rsidR="00DA26F4" w:rsidRDefault="00000000">
    <w:pPr>
      <w:spacing w:after="0"/>
      <w:ind w:left="0" w:hanging="2"/>
      <w:rPr>
        <w:color w:val="0070C0"/>
      </w:rPr>
    </w:pPr>
    <w:r>
      <w:rPr>
        <w:b/>
        <w:color w:val="0070C0"/>
      </w:rPr>
      <w:t>Short Communication</w:t>
    </w:r>
  </w:p>
  <w:p w14:paraId="1693F144" w14:textId="77777777" w:rsidR="00DA26F4" w:rsidRDefault="00000000">
    <w:pPr>
      <w:spacing w:after="0"/>
      <w:ind w:left="0" w:hanging="2"/>
      <w:rPr>
        <w:rFonts w:ascii="Quattrocento Sans" w:eastAsia="Quattrocento Sans" w:hAnsi="Quattrocento Sans" w:cs="Quattrocento Sans"/>
        <w:sz w:val="16"/>
        <w:szCs w:val="16"/>
      </w:rPr>
    </w:pPr>
    <w:r>
      <w:rPr>
        <w:rFonts w:ascii="Quattrocento Sans" w:eastAsia="Quattrocento Sans" w:hAnsi="Quattrocento Sans" w:cs="Quattrocento Sans"/>
        <w:sz w:val="16"/>
        <w:szCs w:val="16"/>
      </w:rPr>
      <w:t>Instructions/Template for Preparing Manuscript for Journal of Biomedicine and Translational Research</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586728" w14:textId="77777777" w:rsidR="00DA26F4" w:rsidRDefault="00000000">
    <w:pPr>
      <w:pStyle w:val="Title"/>
      <w:ind w:left="3" w:hanging="5"/>
      <w:rPr>
        <w:color w:val="00B0F0"/>
      </w:rPr>
    </w:pPr>
    <w:r>
      <w:rPr>
        <w:color w:val="00B0F0"/>
      </w:rPr>
      <w:t>‍</w:t>
    </w:r>
    <w:r>
      <w:rPr>
        <w:color w:val="00B0F0"/>
        <w:sz w:val="44"/>
        <w:szCs w:val="44"/>
      </w:rPr>
      <w:t>Submission Template for Authors</w:t>
    </w:r>
  </w:p>
  <w:p w14:paraId="687A4F6E" w14:textId="77777777" w:rsidR="00DA26F4" w:rsidRDefault="00000000">
    <w:pPr>
      <w:ind w:left="0" w:hanging="2"/>
      <w:rPr>
        <w:sz w:val="18"/>
        <w:szCs w:val="18"/>
      </w:rPr>
    </w:pPr>
    <w:r>
      <w:rPr>
        <w:sz w:val="18"/>
        <w:szCs w:val="18"/>
      </w:rPr>
      <w:t xml:space="preserve">Instructions/Template for Preparing Manuscript for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26F4"/>
    <w:rsid w:val="00003595"/>
    <w:rsid w:val="00507BCA"/>
    <w:rsid w:val="005452E3"/>
    <w:rsid w:val="005A75B3"/>
    <w:rsid w:val="006256BD"/>
    <w:rsid w:val="00655BAB"/>
    <w:rsid w:val="006C2DFB"/>
    <w:rsid w:val="00717B2E"/>
    <w:rsid w:val="00961380"/>
    <w:rsid w:val="00B23D7E"/>
    <w:rsid w:val="00CC7382"/>
    <w:rsid w:val="00D04488"/>
    <w:rsid w:val="00DA26F4"/>
    <w:rsid w:val="00DD6070"/>
    <w:rsid w:val="00E21B5E"/>
    <w:rsid w:val="00EF2A94"/>
    <w:rsid w:val="00F73A7E"/>
    <w:rsid w:val="00FD748E"/>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2E8A564"/>
  <w15:docId w15:val="{EB0F1A5B-DE25-4ADD-8A39-6044F85503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en-US" w:eastAsia="en-ID"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suppressAutoHyphens/>
      <w:ind w:leftChars="-1" w:left="-1" w:hangingChars="1" w:hanging="1"/>
      <w:textDirection w:val="btLr"/>
      <w:textAlignment w:val="top"/>
      <w:outlineLvl w:val="0"/>
    </w:pPr>
    <w:rPr>
      <w:position w:val="-1"/>
      <w:lang w:eastAsia="en-US"/>
    </w:rPr>
  </w:style>
  <w:style w:type="paragraph" w:styleId="Heading1">
    <w:name w:val="heading 1"/>
    <w:basedOn w:val="Normal"/>
    <w:uiPriority w:val="9"/>
    <w:qFormat/>
    <w:pPr>
      <w:spacing w:before="100" w:beforeAutospacing="1" w:after="100" w:afterAutospacing="1" w:line="240" w:lineRule="auto"/>
    </w:pPr>
    <w:rPr>
      <w:rFonts w:ascii="Times New Roman" w:eastAsia="Times New Roman" w:hAnsi="Times New Roman"/>
      <w:b/>
      <w:bCs/>
      <w:kern w:val="36"/>
      <w:sz w:val="48"/>
      <w:szCs w:val="48"/>
      <w:lang w:bidi="th-TH"/>
    </w:rPr>
  </w:style>
  <w:style w:type="paragraph" w:styleId="Heading2">
    <w:name w:val="heading 2"/>
    <w:basedOn w:val="Normal"/>
    <w:next w:val="Normal"/>
    <w:uiPriority w:val="9"/>
    <w:semiHidden/>
    <w:unhideWhenUsed/>
    <w:qFormat/>
    <w:pPr>
      <w:keepNext/>
      <w:keepLines/>
      <w:spacing w:before="200" w:after="0"/>
      <w:outlineLvl w:val="1"/>
    </w:pPr>
    <w:rPr>
      <w:rFonts w:ascii="Cambria" w:eastAsia="Times New Roman" w:hAnsi="Cambria" w:cs="Angsana New"/>
      <w:b/>
      <w:bCs/>
      <w:color w:val="4F81BD"/>
      <w:sz w:val="26"/>
      <w:szCs w:val="26"/>
      <w:lang w:bidi="th-TH"/>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pBdr>
        <w:bottom w:val="single" w:sz="12" w:space="4" w:color="39A5B7"/>
      </w:pBdr>
      <w:spacing w:after="120" w:line="240" w:lineRule="auto"/>
      <w:contextualSpacing/>
    </w:pPr>
    <w:rPr>
      <w:rFonts w:ascii="Cambria" w:eastAsia="Times New Roman" w:hAnsi="Cambria" w:cs="Times New Roman"/>
      <w:color w:val="39A5B7"/>
      <w:kern w:val="28"/>
      <w:sz w:val="52"/>
      <w:szCs w:val="20"/>
      <w:lang w:eastAsia="ja-JP"/>
    </w:rPr>
  </w:style>
  <w:style w:type="character" w:customStyle="1" w:styleId="Heading1Char">
    <w:name w:val="Heading 1 Char"/>
    <w:rPr>
      <w:rFonts w:ascii="Times New Roman" w:eastAsia="Times New Roman" w:hAnsi="Times New Roman"/>
      <w:b/>
      <w:bCs/>
      <w:w w:val="100"/>
      <w:kern w:val="36"/>
      <w:position w:val="-1"/>
      <w:sz w:val="48"/>
      <w:szCs w:val="48"/>
      <w:effect w:val="none"/>
      <w:vertAlign w:val="baseline"/>
      <w:cs w:val="0"/>
      <w:em w:val="none"/>
      <w:lang w:val="en-US" w:bidi="th-TH"/>
    </w:rPr>
  </w:style>
  <w:style w:type="character" w:customStyle="1" w:styleId="Heading2Char">
    <w:name w:val="Heading 2 Char"/>
    <w:rPr>
      <w:rFonts w:ascii="Cambria" w:eastAsia="Times New Roman" w:hAnsi="Cambria" w:cs="Angsana New"/>
      <w:b/>
      <w:bCs/>
      <w:color w:val="4F81BD"/>
      <w:w w:val="100"/>
      <w:position w:val="-1"/>
      <w:sz w:val="26"/>
      <w:szCs w:val="26"/>
      <w:effect w:val="none"/>
      <w:vertAlign w:val="baseline"/>
      <w:cs w:val="0"/>
      <w:em w:val="none"/>
      <w:lang w:val="en-US" w:eastAsia="en-US" w:bidi="th-TH"/>
    </w:rPr>
  </w:style>
  <w:style w:type="table" w:styleId="TableGrid">
    <w:name w:val="Table Grid"/>
    <w:basedOn w:val="TableNormal"/>
    <w:pPr>
      <w:suppressAutoHyphens/>
      <w:spacing w:line="1" w:lineRule="atLeast"/>
      <w:ind w:leftChars="-1" w:left="-1" w:hangingChars="1" w:hanging="1"/>
      <w:textDirection w:val="btLr"/>
      <w:textAlignment w:val="top"/>
      <w:outlineLvl w:val="0"/>
    </w:pPr>
    <w:rPr>
      <w:position w:val="-1"/>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NormalWeb">
    <w:name w:val="Normal (Web)"/>
    <w:basedOn w:val="Normal"/>
    <w:qFormat/>
    <w:pPr>
      <w:spacing w:before="100" w:beforeAutospacing="1" w:after="100" w:afterAutospacing="1" w:line="240" w:lineRule="auto"/>
    </w:pPr>
    <w:rPr>
      <w:rFonts w:ascii="Times New Roman" w:eastAsia="Times New Roman" w:hAnsi="Times New Roman"/>
      <w:sz w:val="24"/>
      <w:szCs w:val="24"/>
    </w:rPr>
  </w:style>
  <w:style w:type="character" w:styleId="Hyperlink">
    <w:name w:val="Hyperlink"/>
    <w:qFormat/>
    <w:rPr>
      <w:color w:val="0000FF"/>
      <w:w w:val="100"/>
      <w:position w:val="-1"/>
      <w:u w:val="single"/>
      <w:effect w:val="none"/>
      <w:vertAlign w:val="baseline"/>
      <w:cs w:val="0"/>
      <w:em w:val="none"/>
    </w:rPr>
  </w:style>
  <w:style w:type="paragraph" w:styleId="Header">
    <w:name w:val="header"/>
    <w:basedOn w:val="Normal"/>
    <w:qFormat/>
    <w:pPr>
      <w:tabs>
        <w:tab w:val="center" w:pos="4513"/>
        <w:tab w:val="right" w:pos="9026"/>
      </w:tabs>
    </w:pPr>
  </w:style>
  <w:style w:type="character" w:customStyle="1" w:styleId="HeaderChar">
    <w:name w:val="Header Char"/>
    <w:rPr>
      <w:w w:val="100"/>
      <w:position w:val="-1"/>
      <w:sz w:val="22"/>
      <w:szCs w:val="22"/>
      <w:effect w:val="none"/>
      <w:vertAlign w:val="baseline"/>
      <w:cs w:val="0"/>
      <w:em w:val="none"/>
      <w:lang w:val="en-US" w:eastAsia="en-US"/>
    </w:rPr>
  </w:style>
  <w:style w:type="paragraph" w:styleId="Footer">
    <w:name w:val="footer"/>
    <w:basedOn w:val="Normal"/>
    <w:qFormat/>
    <w:pPr>
      <w:tabs>
        <w:tab w:val="center" w:pos="4513"/>
        <w:tab w:val="right" w:pos="9026"/>
      </w:tabs>
    </w:pPr>
  </w:style>
  <w:style w:type="character" w:customStyle="1" w:styleId="FooterChar">
    <w:name w:val="Footer Char"/>
    <w:rPr>
      <w:w w:val="100"/>
      <w:position w:val="-1"/>
      <w:sz w:val="22"/>
      <w:szCs w:val="22"/>
      <w:effect w:val="none"/>
      <w:vertAlign w:val="baseline"/>
      <w:cs w:val="0"/>
      <w:em w:val="none"/>
      <w:lang w:val="en-US" w:eastAsia="en-US"/>
    </w:rPr>
  </w:style>
  <w:style w:type="paragraph" w:styleId="BalloonText">
    <w:name w:val="Balloon Text"/>
    <w:basedOn w:val="Normal"/>
    <w:qFormat/>
    <w:pPr>
      <w:spacing w:after="0" w:line="240" w:lineRule="auto"/>
    </w:pPr>
    <w:rPr>
      <w:rFonts w:ascii="Tahoma" w:hAnsi="Tahoma"/>
      <w:sz w:val="16"/>
      <w:szCs w:val="16"/>
    </w:rPr>
  </w:style>
  <w:style w:type="character" w:customStyle="1" w:styleId="BalloonTextChar">
    <w:name w:val="Balloon Text Char"/>
    <w:rPr>
      <w:rFonts w:ascii="Tahoma" w:hAnsi="Tahoma" w:cs="Tahoma"/>
      <w:w w:val="100"/>
      <w:position w:val="-1"/>
      <w:sz w:val="16"/>
      <w:szCs w:val="16"/>
      <w:effect w:val="none"/>
      <w:vertAlign w:val="baseline"/>
      <w:cs w:val="0"/>
      <w:em w:val="none"/>
      <w:lang w:val="en-US" w:eastAsia="en-US"/>
    </w:rPr>
  </w:style>
  <w:style w:type="character" w:customStyle="1" w:styleId="hps">
    <w:name w:val="hps"/>
    <w:rPr>
      <w:w w:val="100"/>
      <w:position w:val="-1"/>
      <w:effect w:val="none"/>
      <w:vertAlign w:val="baseline"/>
      <w:cs w:val="0"/>
      <w:em w:val="none"/>
    </w:rPr>
  </w:style>
  <w:style w:type="paragraph" w:styleId="Bibliography">
    <w:name w:val="Bibliography"/>
    <w:basedOn w:val="Normal"/>
    <w:next w:val="Normal"/>
  </w:style>
  <w:style w:type="paragraph" w:customStyle="1" w:styleId="Default">
    <w:name w:val="Default"/>
    <w:pPr>
      <w:suppressAutoHyphens/>
      <w:autoSpaceDE w:val="0"/>
      <w:autoSpaceDN w:val="0"/>
      <w:adjustRightInd w:val="0"/>
      <w:spacing w:line="1" w:lineRule="atLeast"/>
      <w:ind w:leftChars="-1" w:left="-1" w:hangingChars="1" w:hanging="1"/>
      <w:textDirection w:val="btLr"/>
      <w:textAlignment w:val="top"/>
      <w:outlineLvl w:val="0"/>
    </w:pPr>
    <w:rPr>
      <w:rFonts w:ascii="Times New Roman" w:eastAsia="Times New Roman" w:hAnsi="Times New Roman"/>
      <w:color w:val="000000"/>
      <w:position w:val="-1"/>
      <w:sz w:val="24"/>
      <w:szCs w:val="24"/>
      <w:lang w:eastAsia="en-US" w:bidi="th-TH"/>
    </w:rPr>
  </w:style>
  <w:style w:type="paragraph" w:styleId="ListParagraph">
    <w:name w:val="List Paragraph"/>
    <w:basedOn w:val="Normal"/>
    <w:pPr>
      <w:spacing w:after="0" w:line="240" w:lineRule="auto"/>
      <w:ind w:left="720"/>
      <w:contextualSpacing/>
    </w:pPr>
    <w:rPr>
      <w:rFonts w:ascii="Times New Roman" w:eastAsia="Times New Roman" w:hAnsi="Times New Roman" w:cs="Angsana New"/>
      <w:sz w:val="24"/>
      <w:szCs w:val="30"/>
      <w:lang w:bidi="th-TH"/>
    </w:rPr>
  </w:style>
  <w:style w:type="character" w:customStyle="1" w:styleId="apple-converted-space">
    <w:name w:val="apple-converted-space"/>
    <w:basedOn w:val="DefaultParagraphFont"/>
    <w:rPr>
      <w:w w:val="100"/>
      <w:position w:val="-1"/>
      <w:effect w:val="none"/>
      <w:vertAlign w:val="baseline"/>
      <w:cs w:val="0"/>
      <w:em w:val="none"/>
    </w:rPr>
  </w:style>
  <w:style w:type="character" w:customStyle="1" w:styleId="A5">
    <w:name w:val="A5"/>
    <w:rPr>
      <w:b/>
      <w:bCs/>
      <w:color w:val="000000"/>
      <w:w w:val="100"/>
      <w:position w:val="-1"/>
      <w:sz w:val="20"/>
      <w:szCs w:val="20"/>
      <w:effect w:val="none"/>
      <w:vertAlign w:val="baseline"/>
      <w:cs w:val="0"/>
      <w:em w:val="none"/>
    </w:rPr>
  </w:style>
  <w:style w:type="paragraph" w:customStyle="1" w:styleId="authors">
    <w:name w:val="authors"/>
    <w:basedOn w:val="Normal"/>
    <w:pPr>
      <w:spacing w:before="100" w:beforeAutospacing="1" w:after="100" w:afterAutospacing="1" w:line="240" w:lineRule="auto"/>
    </w:pPr>
    <w:rPr>
      <w:rFonts w:ascii="Times New Roman" w:eastAsia="Times New Roman" w:hAnsi="Times New Roman"/>
      <w:sz w:val="24"/>
      <w:szCs w:val="24"/>
      <w:lang w:eastAsia="id-ID" w:bidi="th-TH"/>
    </w:rPr>
  </w:style>
  <w:style w:type="character" w:styleId="Strong">
    <w:name w:val="Strong"/>
    <w:rPr>
      <w:b/>
      <w:bCs/>
      <w:w w:val="100"/>
      <w:position w:val="-1"/>
      <w:effect w:val="none"/>
      <w:vertAlign w:val="baseline"/>
      <w:cs w:val="0"/>
      <w:em w:val="none"/>
    </w:rPr>
  </w:style>
  <w:style w:type="character" w:customStyle="1" w:styleId="CommentTextChar">
    <w:name w:val="Comment Text Char"/>
    <w:rPr>
      <w:w w:val="100"/>
      <w:position w:val="-1"/>
      <w:szCs w:val="25"/>
      <w:effect w:val="none"/>
      <w:vertAlign w:val="baseline"/>
      <w:cs w:val="0"/>
      <w:em w:val="none"/>
      <w:lang w:val="en-US" w:eastAsia="en-US" w:bidi="th-TH"/>
    </w:rPr>
  </w:style>
  <w:style w:type="paragraph" w:styleId="CommentText">
    <w:name w:val="annotation text"/>
    <w:basedOn w:val="Normal"/>
    <w:qFormat/>
    <w:pPr>
      <w:spacing w:line="240" w:lineRule="auto"/>
    </w:pPr>
    <w:rPr>
      <w:sz w:val="20"/>
      <w:szCs w:val="25"/>
      <w:lang w:bidi="th-TH"/>
    </w:rPr>
  </w:style>
  <w:style w:type="character" w:customStyle="1" w:styleId="CommentSubjectChar">
    <w:name w:val="Comment Subject Char"/>
    <w:rPr>
      <w:b/>
      <w:bCs/>
      <w:w w:val="100"/>
      <w:position w:val="-1"/>
      <w:szCs w:val="25"/>
      <w:effect w:val="none"/>
      <w:vertAlign w:val="baseline"/>
      <w:cs w:val="0"/>
      <w:em w:val="none"/>
      <w:lang w:val="en-US" w:eastAsia="en-US" w:bidi="th-TH"/>
    </w:rPr>
  </w:style>
  <w:style w:type="paragraph" w:styleId="CommentSubject">
    <w:name w:val="annotation subject"/>
    <w:basedOn w:val="CommentText"/>
    <w:next w:val="CommentText"/>
    <w:qFormat/>
    <w:rPr>
      <w:b/>
      <w:bCs/>
    </w:rPr>
  </w:style>
  <w:style w:type="paragraph" w:styleId="BodyText">
    <w:name w:val="Body Text"/>
    <w:basedOn w:val="Normal"/>
    <w:pPr>
      <w:spacing w:after="0" w:line="240" w:lineRule="auto"/>
    </w:pPr>
    <w:rPr>
      <w:rFonts w:ascii="Arial Narrow" w:eastAsia="Times" w:hAnsi="Arial Narrow"/>
      <w:sz w:val="20"/>
      <w:szCs w:val="20"/>
    </w:rPr>
  </w:style>
  <w:style w:type="character" w:customStyle="1" w:styleId="BodyTextChar">
    <w:name w:val="Body Text Char"/>
    <w:rPr>
      <w:rFonts w:ascii="Arial Narrow" w:eastAsia="Times" w:hAnsi="Arial Narrow"/>
      <w:w w:val="100"/>
      <w:position w:val="-1"/>
      <w:effect w:val="none"/>
      <w:vertAlign w:val="baseline"/>
      <w:cs w:val="0"/>
      <w:em w:val="none"/>
    </w:rPr>
  </w:style>
  <w:style w:type="character" w:customStyle="1" w:styleId="exldetailsdisplayval">
    <w:name w:val="exldetailsdisplayval"/>
    <w:rPr>
      <w:w w:val="100"/>
      <w:position w:val="-1"/>
      <w:effect w:val="none"/>
      <w:vertAlign w:val="baseline"/>
      <w:cs w:val="0"/>
      <w:em w:val="none"/>
    </w:rPr>
  </w:style>
  <w:style w:type="character" w:customStyle="1" w:styleId="alt-edited">
    <w:name w:val="alt-edited"/>
    <w:basedOn w:val="DefaultParagraphFont"/>
    <w:rPr>
      <w:w w:val="100"/>
      <w:position w:val="-1"/>
      <w:effect w:val="none"/>
      <w:vertAlign w:val="baseline"/>
      <w:cs w:val="0"/>
      <w:em w:val="none"/>
    </w:rPr>
  </w:style>
  <w:style w:type="paragraph" w:customStyle="1" w:styleId="Body">
    <w:name w:val="Body"/>
    <w:basedOn w:val="Normal"/>
    <w:pPr>
      <w:widowControl w:val="0"/>
      <w:autoSpaceDE w:val="0"/>
      <w:autoSpaceDN w:val="0"/>
      <w:adjustRightInd w:val="0"/>
      <w:spacing w:after="0" w:line="360" w:lineRule="auto"/>
      <w:ind w:firstLine="340"/>
      <w:jc w:val="both"/>
      <w:textAlignment w:val="baseline"/>
    </w:pPr>
    <w:rPr>
      <w:rFonts w:ascii="Times New Roman" w:eastAsia="BatangChe" w:hAnsi="Times New Roman"/>
      <w:sz w:val="24"/>
      <w:szCs w:val="20"/>
      <w:lang w:eastAsia="ko-KR"/>
    </w:rPr>
  </w:style>
  <w:style w:type="character" w:customStyle="1" w:styleId="TitleChar">
    <w:name w:val="Title Char"/>
    <w:rPr>
      <w:rFonts w:ascii="Cambria" w:eastAsia="Times New Roman" w:hAnsi="Cambria"/>
      <w:color w:val="39A5B7"/>
      <w:w w:val="100"/>
      <w:kern w:val="28"/>
      <w:position w:val="-1"/>
      <w:sz w:val="52"/>
      <w:effect w:val="none"/>
      <w:vertAlign w:val="baseline"/>
      <w:cs w:val="0"/>
      <w:em w:val="none"/>
      <w:lang w:eastAsia="ja-JP"/>
    </w:rPr>
  </w:style>
  <w:style w:type="paragraph" w:customStyle="1" w:styleId="Subsection">
    <w:name w:val="Subsection"/>
    <w:basedOn w:val="Normal"/>
    <w:pPr>
      <w:spacing w:before="280" w:after="120" w:line="240" w:lineRule="auto"/>
    </w:pPr>
    <w:rPr>
      <w:rFonts w:ascii="Cambria" w:eastAsia="Cambria" w:hAnsi="Cambria" w:cs="Times New Roman"/>
      <w:b/>
      <w:bCs/>
      <w:caps/>
      <w:color w:val="262626"/>
      <w:sz w:val="18"/>
      <w:szCs w:val="20"/>
      <w:lang w:eastAsia="ja-JP"/>
    </w:rPr>
  </w:style>
  <w:style w:type="paragraph" w:customStyle="1" w:styleId="Tabletitle">
    <w:name w:val="Tabletitle"/>
    <w:basedOn w:val="Body"/>
    <w:pPr>
      <w:spacing w:before="240" w:after="120"/>
      <w:jc w:val="center"/>
    </w:pPr>
    <w:rPr>
      <w:i/>
    </w:rPr>
  </w:style>
  <w:style w:type="paragraph" w:customStyle="1" w:styleId="FigureTitle">
    <w:name w:val="FigureTitle"/>
    <w:basedOn w:val="Body"/>
    <w:pPr>
      <w:spacing w:after="120"/>
      <w:jc w:val="center"/>
    </w:pPr>
    <w:rPr>
      <w:i/>
    </w:rPr>
  </w:style>
  <w:style w:type="paragraph" w:styleId="Subtitle">
    <w:name w:val="Subtitle"/>
    <w:basedOn w:val="Normal"/>
    <w:next w:val="Normal"/>
    <w:uiPriority w:val="11"/>
    <w:qFormat/>
    <w:pPr>
      <w:keepNext/>
      <w:keepLines/>
      <w:spacing w:before="360" w:after="80"/>
    </w:pPr>
    <w:rPr>
      <w:rFonts w:ascii="Georgia" w:eastAsia="Georgia" w:hAnsi="Georgia" w:cs="Georgia"/>
      <w:i/>
      <w:color w:val="666666"/>
      <w:sz w:val="48"/>
      <w:szCs w:val="48"/>
    </w:rPr>
  </w:style>
  <w:style w:type="table" w:customStyle="1" w:styleId="a">
    <w:basedOn w:val="TableNormal"/>
    <w:tblPr>
      <w:tblStyleRowBandSize w:val="1"/>
      <w:tblStyleColBandSize w:val="1"/>
    </w:tblPr>
  </w:style>
  <w:style w:type="table" w:customStyle="1" w:styleId="GridTable1Light1">
    <w:name w:val="Grid Table 1 Light1"/>
    <w:basedOn w:val="TableNormal"/>
    <w:next w:val="GridTable1Light"/>
    <w:uiPriority w:val="46"/>
    <w:rsid w:val="005452E3"/>
    <w:pPr>
      <w:spacing w:after="0" w:line="360" w:lineRule="auto"/>
      <w:jc w:val="both"/>
    </w:pPr>
    <w:rPr>
      <w:rFonts w:ascii="Times New Roman" w:eastAsiaTheme="minorHAnsi" w:hAnsi="Times New Roman" w:cstheme="minorBidi"/>
      <w:color w:val="000000" w:themeColor="text1"/>
      <w:sz w:val="24"/>
      <w:lang w:val="en" w:eastAsia="en-US"/>
    </w:rPr>
    <w:tblPr>
      <w:tblStyleRowBandSize w:val="1"/>
      <w:tblStyleColBandSize w:val="1"/>
      <w:tblBorders>
        <w:top w:val="single" w:sz="4" w:space="0" w:color="auto"/>
        <w:bottom w:val="single" w:sz="4" w:space="0" w:color="auto"/>
        <w:insideH w:val="single" w:sz="4" w:space="0" w:color="auto"/>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GridTable1Light">
    <w:name w:val="Grid Table 1 Light"/>
    <w:basedOn w:val="TableNormal"/>
    <w:uiPriority w:val="46"/>
    <w:rsid w:val="005452E3"/>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_rels/footer1.xml.rels><?xml version="1.0" encoding="UTF-8" standalone="yes"?>
<Relationships xmlns="http://schemas.openxmlformats.org/package/2006/relationships"><Relationship Id="rId1" Type="http://schemas.openxmlformats.org/officeDocument/2006/relationships/hyperlink" Target="http://ejournal2.undip.ac.id/index.php/jbtr/about/submissions"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ejournal.undip.ac.id/index.php/medianers/about/submissions%23authorGuidelin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6bMHW0E3whfDN7jqWy6zxLYRdVQ==">CgMxLjA4AHIhMWxQcWxQVlkteU9mckNMUnAxZmtDczEtaWVpeUc5Z0Rn</go:docsCustomData>
</go:gDocsCustomXmlDataStorage>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2.xml><?xml version="1.0" encoding="utf-8"?>
<ds:datastoreItem xmlns:ds="http://schemas.openxmlformats.org/officeDocument/2006/customXml" ds:itemID="{CC3B1651-793D-4284-BBB6-766EC2BD9C0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4</Pages>
  <Words>4607</Words>
  <Characters>26262</Characters>
  <Application>Microsoft Office Word</Application>
  <DocSecurity>0</DocSecurity>
  <Lines>218</Lines>
  <Paragraphs>61</Paragraphs>
  <ScaleCrop>false</ScaleCrop>
  <Company/>
  <LinksUpToDate>false</LinksUpToDate>
  <CharactersWithSpaces>30808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Keperawatan Medikal Bedah</dc:creator>
  <cp:lastModifiedBy>Software Solution</cp:lastModifiedBy>
  <cp:revision>12</cp:revision>
  <dcterms:created xsi:type="dcterms:W3CDTF">2017-09-05T07:17:00Z</dcterms:created>
  <dcterms:modified xsi:type="dcterms:W3CDTF">2025-09-07T03:57:00Z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Citation Style_1">
    <vt:lpwstr>http://www.zotero.org/styles/vancouver-superscript</vt:lpwstr>
  </property>
  <property fmtid="{D5CDD505-2E9C-101B-9397-08002B2CF9AE}" pid="4" name="Mendeley Recent Style Id 0_1">
    <vt:lpwstr>http://www.zotero.org/styles/american-political-science-association</vt:lpwstr>
  </property>
  <property fmtid="{D5CDD505-2E9C-101B-9397-08002B2CF9AE}" pid="5" name="Mendeley Recent Style Name 0_1">
    <vt:lpwstr>American Political Science Association</vt:lpwstr>
  </property>
  <property fmtid="{D5CDD505-2E9C-101B-9397-08002B2CF9AE}" pid="6" name="Mendeley Recent Style Id 1_1">
    <vt:lpwstr>http://www.zotero.org/styles/apa</vt:lpwstr>
  </property>
  <property fmtid="{D5CDD505-2E9C-101B-9397-08002B2CF9AE}" pid="7" name="Mendeley Recent Style Name 1_1">
    <vt:lpwstr>American Psychological Association 7th edition</vt:lpwstr>
  </property>
  <property fmtid="{D5CDD505-2E9C-101B-9397-08002B2CF9AE}" pid="8" name="Mendeley Recent Style Id 2_1">
    <vt:lpwstr>http://www.zotero.org/styles/american-sociological-association</vt:lpwstr>
  </property>
  <property fmtid="{D5CDD505-2E9C-101B-9397-08002B2CF9AE}" pid="9" name="Mendeley Recent Style Name 2_1">
    <vt:lpwstr>American Sociological Association 6th edition</vt:lpwstr>
  </property>
  <property fmtid="{D5CDD505-2E9C-101B-9397-08002B2CF9AE}" pid="10" name="Mendeley Recent Style Id 3_1">
    <vt:lpwstr>http://www.zotero.org/styles/chicago-author-date</vt:lpwstr>
  </property>
  <property fmtid="{D5CDD505-2E9C-101B-9397-08002B2CF9AE}" pid="11" name="Mendeley Recent Style Name 3_1">
    <vt:lpwstr>Chicago Manual of Style 17th edition (author-date)</vt:lpwstr>
  </property>
  <property fmtid="{D5CDD505-2E9C-101B-9397-08002B2CF9AE}" pid="12" name="Mendeley Recent Style Id 4_1">
    <vt:lpwstr>http://www.zotero.org/styles/harvard-cite-them-right</vt:lpwstr>
  </property>
  <property fmtid="{D5CDD505-2E9C-101B-9397-08002B2CF9AE}" pid="13" name="Mendeley Recent Style Name 4_1">
    <vt:lpwstr>Cite Them Right 12th edition - Harvard</vt:lpwstr>
  </property>
  <property fmtid="{D5CDD505-2E9C-101B-9397-08002B2CF9AE}" pid="14" name="Mendeley Recent Style Id 5_1">
    <vt:lpwstr>http://www.zotero.org/styles/ieee</vt:lpwstr>
  </property>
  <property fmtid="{D5CDD505-2E9C-101B-9397-08002B2CF9AE}" pid="15" name="Mendeley Recent Style Name 5_1">
    <vt:lpwstr>IEEE</vt:lpwstr>
  </property>
  <property fmtid="{D5CDD505-2E9C-101B-9397-08002B2CF9AE}" pid="16" name="Mendeley Recent Style Id 6_1">
    <vt:lpwstr>http://www.zotero.org/styles/modern-humanities-research-association</vt:lpwstr>
  </property>
  <property fmtid="{D5CDD505-2E9C-101B-9397-08002B2CF9AE}" pid="17" name="Mendeley Recent Style Name 6_1">
    <vt:lpwstr>Modern Humanities Research Association 3rd edition (note with bibliography)</vt:lpwstr>
  </property>
  <property fmtid="{D5CDD505-2E9C-101B-9397-08002B2CF9AE}" pid="18" name="Mendeley Recent Style Id 7_1">
    <vt:lpwstr>http://www.zotero.org/styles/modern-language-association</vt:lpwstr>
  </property>
  <property fmtid="{D5CDD505-2E9C-101B-9397-08002B2CF9AE}" pid="19" name="Mendeley Recent Style Name 7_1">
    <vt:lpwstr>Modern Language Association 9th edition</vt:lpwstr>
  </property>
  <property fmtid="{D5CDD505-2E9C-101B-9397-08002B2CF9AE}" pid="20" name="Mendeley Recent Style Id 8_1">
    <vt:lpwstr>http://www.zotero.org/styles/vancouver-brackets</vt:lpwstr>
  </property>
  <property fmtid="{D5CDD505-2E9C-101B-9397-08002B2CF9AE}" pid="21" name="Mendeley Recent Style Name 8_1">
    <vt:lpwstr>Vancouver (brackets)</vt:lpwstr>
  </property>
  <property fmtid="{D5CDD505-2E9C-101B-9397-08002B2CF9AE}" pid="22" name="Mendeley Recent Style Id 9_1">
    <vt:lpwstr>http://www.zotero.org/styles/vancouver-superscript</vt:lpwstr>
  </property>
  <property fmtid="{D5CDD505-2E9C-101B-9397-08002B2CF9AE}" pid="23" name="Mendeley Recent Style Name 9_1">
    <vt:lpwstr>Vancouver (superscript)</vt:lpwstr>
  </property>
  <property fmtid="{D5CDD505-2E9C-101B-9397-08002B2CF9AE}" pid="24" name="Mendeley Unique User Id_1">
    <vt:lpwstr>e0de55a0-eae4-3f6c-8522-37abc7d67ea2</vt:lpwstr>
  </property>
</Properties>
</file>