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909" w:rsidRDefault="008B1909" w:rsidP="008B1909">
      <w:pPr>
        <w:jc w:val="center"/>
      </w:pPr>
      <w:r>
        <w:rPr>
          <w:rFonts w:cs="Times New Roman"/>
          <w:noProof/>
          <w:sz w:val="24"/>
          <w:szCs w:val="24"/>
          <w:lang w:eastAsia="id-ID"/>
        </w:rPr>
        <w:drawing>
          <wp:inline distT="0" distB="0" distL="0" distR="0" wp14:anchorId="19BB66B9" wp14:editId="45609103">
            <wp:extent cx="4495800" cy="1895475"/>
            <wp:effectExtent l="0" t="0" r="0" b="9525"/>
            <wp:docPr id="1068" name="Chart 106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8B1909" w:rsidRDefault="008B1909" w:rsidP="008B1909">
      <w:pPr>
        <w:spacing w:after="0" w:line="240" w:lineRule="auto"/>
        <w:jc w:val="both"/>
        <w:rPr>
          <w:rFonts w:cs="Times New Roman"/>
        </w:rPr>
      </w:pPr>
      <w:r w:rsidRPr="005E6899">
        <w:rPr>
          <w:rFonts w:cs="Times New Roman"/>
        </w:rPr>
        <w:t xml:space="preserve">Gambar </w:t>
      </w:r>
      <w:r>
        <w:rPr>
          <w:rFonts w:cs="Times New Roman"/>
        </w:rPr>
        <w:t>1</w:t>
      </w:r>
      <w:r w:rsidRPr="005E6899">
        <w:rPr>
          <w:rFonts w:cs="Times New Roman"/>
        </w:rPr>
        <w:t xml:space="preserve">. Aktivitas Antioksidan Keju </w:t>
      </w:r>
      <w:r>
        <w:rPr>
          <w:rFonts w:cs="Times New Roman"/>
        </w:rPr>
        <w:t>d</w:t>
      </w:r>
      <w:r w:rsidRPr="005E6899">
        <w:rPr>
          <w:rFonts w:cs="Times New Roman"/>
        </w:rPr>
        <w:t>engan Penambahan Kolostrum Se</w:t>
      </w:r>
      <w:r>
        <w:rPr>
          <w:rFonts w:cs="Times New Roman"/>
        </w:rPr>
        <w:t>l</w:t>
      </w:r>
      <w:r w:rsidRPr="005E6899">
        <w:rPr>
          <w:rFonts w:cs="Times New Roman"/>
        </w:rPr>
        <w:t>ama Penyimpanan Dingin</w:t>
      </w:r>
    </w:p>
    <w:p w:rsidR="008B1909" w:rsidRDefault="008B1909" w:rsidP="008B1909">
      <w:pPr>
        <w:spacing w:after="0" w:line="240" w:lineRule="auto"/>
        <w:jc w:val="both"/>
        <w:rPr>
          <w:rFonts w:cs="Times New Roman"/>
        </w:rPr>
      </w:pPr>
    </w:p>
    <w:p w:rsidR="008B1909" w:rsidRDefault="008B1909" w:rsidP="008B1909">
      <w:pPr>
        <w:spacing w:after="0" w:line="240" w:lineRule="auto"/>
        <w:jc w:val="both"/>
        <w:rPr>
          <w:rFonts w:cs="Times New Roman"/>
        </w:rPr>
      </w:pPr>
    </w:p>
    <w:p w:rsidR="008B1909" w:rsidRDefault="008B1909" w:rsidP="008B1909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  <w:r w:rsidRPr="00A15697">
        <w:rPr>
          <w:rFonts w:cs="Times New Roman"/>
          <w:noProof/>
          <w:sz w:val="24"/>
          <w:szCs w:val="24"/>
          <w:lang w:eastAsia="id-ID"/>
        </w:rPr>
        <w:drawing>
          <wp:inline distT="0" distB="0" distL="0" distR="0" wp14:anchorId="380DDB8A" wp14:editId="06AC1195">
            <wp:extent cx="4143375" cy="1914525"/>
            <wp:effectExtent l="0" t="0" r="9525" b="9525"/>
            <wp:docPr id="1073" name="Chart 107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B1909" w:rsidRDefault="008B1909" w:rsidP="008B1909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color w:val="000000" w:themeColor="text1"/>
          <w:sz w:val="24"/>
          <w:szCs w:val="24"/>
        </w:rPr>
        <w:t xml:space="preserve">Gambar </w:t>
      </w:r>
      <w:r>
        <w:rPr>
          <w:rFonts w:cs="Times New Roman"/>
          <w:color w:val="000000" w:themeColor="text1"/>
          <w:sz w:val="24"/>
          <w:szCs w:val="24"/>
        </w:rPr>
        <w:t>2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. </w:t>
      </w:r>
      <w:r>
        <w:rPr>
          <w:rFonts w:cs="Times New Roman"/>
          <w:color w:val="000000" w:themeColor="text1"/>
          <w:sz w:val="24"/>
          <w:szCs w:val="24"/>
        </w:rPr>
        <w:t>Hubungan antara Lama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 Penyimpanan terhadap </w:t>
      </w:r>
      <w:r>
        <w:rPr>
          <w:rFonts w:cs="Times New Roman"/>
          <w:color w:val="000000" w:themeColor="text1"/>
          <w:sz w:val="24"/>
          <w:szCs w:val="24"/>
        </w:rPr>
        <w:t>% Inhibisi Ke</w:t>
      </w:r>
      <w:r w:rsidRPr="00A15697">
        <w:rPr>
          <w:rFonts w:cs="Times New Roman"/>
          <w:color w:val="000000" w:themeColor="text1"/>
          <w:sz w:val="24"/>
          <w:szCs w:val="24"/>
        </w:rPr>
        <w:t>ju</w:t>
      </w:r>
    </w:p>
    <w:p w:rsidR="008B1909" w:rsidRDefault="008B1909" w:rsidP="008B1909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</w:p>
    <w:p w:rsidR="008B1909" w:rsidRDefault="008B1909" w:rsidP="008B1909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noProof/>
          <w:sz w:val="24"/>
          <w:szCs w:val="24"/>
          <w:lang w:eastAsia="id-ID"/>
        </w:rPr>
        <w:drawing>
          <wp:inline distT="0" distB="0" distL="0" distR="0" wp14:anchorId="1D17AD95" wp14:editId="306AE208">
            <wp:extent cx="4695825" cy="2286000"/>
            <wp:effectExtent l="0" t="0" r="9525" b="0"/>
            <wp:docPr id="1087" name="Chart 10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B1909" w:rsidRDefault="008B1909" w:rsidP="008B1909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8B1909" w:rsidRDefault="008B1909" w:rsidP="008B1909">
      <w:pPr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Gambar </w:t>
      </w:r>
      <w:r>
        <w:rPr>
          <w:rFonts w:cs="Times New Roman"/>
          <w:color w:val="000000" w:themeColor="text1"/>
          <w:sz w:val="24"/>
          <w:szCs w:val="24"/>
        </w:rPr>
        <w:t>3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. </w:t>
      </w:r>
      <w:r>
        <w:rPr>
          <w:rFonts w:cs="Times New Roman"/>
          <w:color w:val="000000" w:themeColor="text1"/>
          <w:sz w:val="24"/>
          <w:szCs w:val="24"/>
        </w:rPr>
        <w:t xml:space="preserve">Hubungan antara bahan baku (Kolostrum) </w:t>
      </w:r>
      <w:r w:rsidRPr="00A15697">
        <w:rPr>
          <w:rFonts w:cs="Times New Roman"/>
          <w:color w:val="000000" w:themeColor="text1"/>
          <w:sz w:val="24"/>
          <w:szCs w:val="24"/>
        </w:rPr>
        <w:t>terhadap FFA Keju</w:t>
      </w:r>
    </w:p>
    <w:p w:rsidR="008B1909" w:rsidRDefault="008B1909" w:rsidP="008B1909">
      <w:pPr>
        <w:jc w:val="center"/>
        <w:rPr>
          <w:rFonts w:cs="Times New Roman"/>
          <w:color w:val="000000" w:themeColor="text1"/>
          <w:sz w:val="24"/>
          <w:szCs w:val="24"/>
        </w:rPr>
      </w:pPr>
    </w:p>
    <w:p w:rsidR="008B1909" w:rsidRDefault="008B1909" w:rsidP="008B1909">
      <w:pPr>
        <w:jc w:val="center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noProof/>
          <w:sz w:val="24"/>
          <w:szCs w:val="24"/>
          <w:lang w:eastAsia="id-ID"/>
        </w:rPr>
        <w:lastRenderedPageBreak/>
        <w:drawing>
          <wp:inline distT="0" distB="0" distL="0" distR="0" wp14:anchorId="388CDC10" wp14:editId="0EE33566">
            <wp:extent cx="4676775" cy="2276475"/>
            <wp:effectExtent l="0" t="0" r="9525" b="9525"/>
            <wp:docPr id="1089" name="Chart 108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B1909" w:rsidRDefault="008B1909" w:rsidP="008B1909">
      <w:pPr>
        <w:spacing w:after="24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color w:val="000000" w:themeColor="text1"/>
          <w:sz w:val="24"/>
          <w:szCs w:val="24"/>
        </w:rPr>
        <w:t xml:space="preserve">Gambar </w:t>
      </w:r>
      <w:r>
        <w:rPr>
          <w:rFonts w:cs="Times New Roman"/>
          <w:color w:val="000000" w:themeColor="text1"/>
          <w:sz w:val="24"/>
          <w:szCs w:val="24"/>
        </w:rPr>
        <w:t>4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. </w:t>
      </w:r>
      <w:r>
        <w:rPr>
          <w:rFonts w:cs="Times New Roman"/>
          <w:color w:val="000000" w:themeColor="text1"/>
          <w:sz w:val="24"/>
          <w:szCs w:val="24"/>
        </w:rPr>
        <w:t>Hubungan antara Lama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 Penyimpanan terhadap FFA Keju</w:t>
      </w:r>
    </w:p>
    <w:p w:rsidR="008B1909" w:rsidRDefault="008B1909" w:rsidP="008B1909">
      <w:pPr>
        <w:spacing w:after="24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noProof/>
          <w:sz w:val="24"/>
          <w:szCs w:val="24"/>
          <w:lang w:eastAsia="id-ID"/>
        </w:rPr>
        <w:drawing>
          <wp:inline distT="0" distB="0" distL="0" distR="0" wp14:anchorId="0E3735B4" wp14:editId="7713F907">
            <wp:extent cx="4724400" cy="1952625"/>
            <wp:effectExtent l="0" t="0" r="0" b="9525"/>
            <wp:docPr id="1090" name="Chart 109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B1909" w:rsidRDefault="008B1909" w:rsidP="008B1909">
      <w:pPr>
        <w:spacing w:after="24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color w:val="000000" w:themeColor="text1"/>
          <w:sz w:val="24"/>
          <w:szCs w:val="24"/>
        </w:rPr>
        <w:t xml:space="preserve">Gambar </w:t>
      </w:r>
      <w:r>
        <w:rPr>
          <w:rFonts w:cs="Times New Roman"/>
          <w:color w:val="000000" w:themeColor="text1"/>
          <w:sz w:val="24"/>
          <w:szCs w:val="24"/>
        </w:rPr>
        <w:t>5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. </w:t>
      </w:r>
      <w:r>
        <w:rPr>
          <w:rFonts w:cs="Times New Roman"/>
          <w:color w:val="000000" w:themeColor="text1"/>
          <w:sz w:val="24"/>
          <w:szCs w:val="24"/>
        </w:rPr>
        <w:t>Hubungan antara bahan baku (Kolostrum)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 terhadap TAT Keju</w:t>
      </w:r>
    </w:p>
    <w:p w:rsidR="008B1909" w:rsidRDefault="008B1909" w:rsidP="008B1909">
      <w:pPr>
        <w:spacing w:after="240" w:line="360" w:lineRule="auto"/>
        <w:rPr>
          <w:rFonts w:cs="Times New Roman"/>
          <w:color w:val="000000" w:themeColor="text1"/>
          <w:sz w:val="24"/>
          <w:szCs w:val="24"/>
        </w:rPr>
      </w:pPr>
      <w:r w:rsidRPr="00A15697">
        <w:rPr>
          <w:rFonts w:cs="Times New Roman"/>
          <w:noProof/>
          <w:sz w:val="24"/>
          <w:szCs w:val="24"/>
          <w:lang w:eastAsia="id-ID"/>
        </w:rPr>
        <w:drawing>
          <wp:inline distT="0" distB="0" distL="0" distR="0" wp14:anchorId="4D6363B9" wp14:editId="78F598CE">
            <wp:extent cx="4714875" cy="1895475"/>
            <wp:effectExtent l="0" t="0" r="9525" b="9525"/>
            <wp:docPr id="1091" name="Chart 109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B1909" w:rsidRDefault="008B1909" w:rsidP="008B1909">
      <w:pPr>
        <w:spacing w:after="240" w:line="360" w:lineRule="auto"/>
        <w:rPr>
          <w:rFonts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A15697">
        <w:rPr>
          <w:rFonts w:cs="Times New Roman"/>
          <w:color w:val="000000" w:themeColor="text1"/>
          <w:sz w:val="24"/>
          <w:szCs w:val="24"/>
        </w:rPr>
        <w:t xml:space="preserve">Gambar </w:t>
      </w:r>
      <w:r>
        <w:rPr>
          <w:rFonts w:cs="Times New Roman"/>
          <w:color w:val="000000" w:themeColor="text1"/>
          <w:sz w:val="24"/>
          <w:szCs w:val="24"/>
        </w:rPr>
        <w:t>6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. </w:t>
      </w:r>
      <w:r>
        <w:rPr>
          <w:rFonts w:cs="Times New Roman"/>
          <w:color w:val="000000" w:themeColor="text1"/>
          <w:sz w:val="24"/>
          <w:szCs w:val="24"/>
        </w:rPr>
        <w:t>Hubungan antara Lama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 Penyimpanan terhadap TAT Keju</w:t>
      </w:r>
    </w:p>
    <w:p w:rsidR="008B1909" w:rsidRPr="00A15697" w:rsidRDefault="008B1909" w:rsidP="008B1909">
      <w:pPr>
        <w:ind w:left="567"/>
        <w:jc w:val="both"/>
        <w:rPr>
          <w:rFonts w:cs="Times New Roman"/>
          <w:color w:val="000000" w:themeColor="text1"/>
          <w:sz w:val="24"/>
          <w:szCs w:val="24"/>
        </w:rPr>
      </w:pPr>
      <w:r w:rsidRPr="00A511DF">
        <w:rPr>
          <w:noProof/>
          <w:lang w:eastAsia="id-ID"/>
        </w:rPr>
        <w:lastRenderedPageBreak/>
        <w:drawing>
          <wp:inline distT="0" distB="0" distL="0" distR="0" wp14:anchorId="14C5978B" wp14:editId="7B536D02">
            <wp:extent cx="5048250" cy="2200275"/>
            <wp:effectExtent l="0" t="0" r="0" b="9525"/>
            <wp:docPr id="1026" name="Chart 10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8B1909">
        <w:rPr>
          <w:rFonts w:cs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/>
          <w:color w:val="000000" w:themeColor="text1"/>
          <w:sz w:val="24"/>
          <w:szCs w:val="24"/>
        </w:rPr>
        <w:t xml:space="preserve">Gambar </w:t>
      </w:r>
      <w:r>
        <w:rPr>
          <w:rFonts w:cs="Times New Roman"/>
          <w:color w:val="000000" w:themeColor="text1"/>
          <w:sz w:val="24"/>
          <w:szCs w:val="24"/>
        </w:rPr>
        <w:t>7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. </w:t>
      </w:r>
      <w:r>
        <w:rPr>
          <w:rFonts w:cs="Times New Roman"/>
          <w:color w:val="000000" w:themeColor="text1"/>
          <w:sz w:val="24"/>
          <w:szCs w:val="24"/>
        </w:rPr>
        <w:t>Hubungan antara</w:t>
      </w:r>
      <w:r w:rsidRPr="00A15697">
        <w:rPr>
          <w:rFonts w:cs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/>
          <w:color w:val="000000" w:themeColor="text1"/>
          <w:sz w:val="24"/>
          <w:szCs w:val="24"/>
        </w:rPr>
        <w:t xml:space="preserve">Penambahan </w:t>
      </w:r>
      <w:r w:rsidRPr="00A15697">
        <w:rPr>
          <w:rFonts w:cs="Times New Roman"/>
          <w:color w:val="000000" w:themeColor="text1"/>
          <w:sz w:val="24"/>
          <w:szCs w:val="24"/>
        </w:rPr>
        <w:t>Kolostrum terhadap Kadar Air Keju</w:t>
      </w:r>
    </w:p>
    <w:p w:rsidR="008B1909" w:rsidRPr="00A15697" w:rsidRDefault="008B1909" w:rsidP="008B1909">
      <w:pPr>
        <w:jc w:val="center"/>
        <w:rPr>
          <w:rFonts w:cs="Times New Roman"/>
          <w:color w:val="000000" w:themeColor="text1"/>
          <w:sz w:val="24"/>
          <w:szCs w:val="24"/>
        </w:rPr>
      </w:pPr>
    </w:p>
    <w:p w:rsidR="008B1909" w:rsidRPr="00A15697" w:rsidRDefault="008B1909" w:rsidP="008B1909">
      <w:pPr>
        <w:spacing w:after="0" w:line="240" w:lineRule="auto"/>
        <w:jc w:val="center"/>
        <w:rPr>
          <w:rFonts w:cs="Times New Roman"/>
          <w:color w:val="000000" w:themeColor="text1"/>
          <w:sz w:val="24"/>
          <w:szCs w:val="24"/>
        </w:rPr>
      </w:pPr>
    </w:p>
    <w:p w:rsidR="008B1909" w:rsidRPr="00A15697" w:rsidRDefault="008B1909" w:rsidP="008B1909">
      <w:pPr>
        <w:spacing w:after="240" w:line="360" w:lineRule="auto"/>
        <w:jc w:val="center"/>
        <w:rPr>
          <w:rFonts w:cs="Times New Roman"/>
          <w:color w:val="000000" w:themeColor="text1"/>
          <w:sz w:val="24"/>
          <w:szCs w:val="24"/>
        </w:rPr>
      </w:pPr>
    </w:p>
    <w:p w:rsidR="008B1909" w:rsidRDefault="008B1909" w:rsidP="008B1909">
      <w:pPr>
        <w:jc w:val="center"/>
        <w:rPr>
          <w:rFonts w:cs="Times New Roman"/>
          <w:color w:val="000000" w:themeColor="text1"/>
          <w:sz w:val="24"/>
          <w:szCs w:val="24"/>
        </w:rPr>
      </w:pPr>
    </w:p>
    <w:p w:rsidR="00F50960" w:rsidRPr="008B1909" w:rsidRDefault="00F50960" w:rsidP="008B1909">
      <w:pPr>
        <w:tabs>
          <w:tab w:val="left" w:pos="1320"/>
        </w:tabs>
      </w:pPr>
    </w:p>
    <w:sectPr w:rsidR="00F50960" w:rsidRPr="008B19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909"/>
    <w:rsid w:val="008B1909"/>
    <w:rsid w:val="00F5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CAE1D-E42B-4F62-815F-BA3108D0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fontTable" Target="fontTable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etty\ANTIOKSIDANT%20FIX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0%20relation\Analisis%20Data%20Bu%20Etty\data%20analisis%20dan%20kurv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0%20relation\Analisis%20Data%20Bu%20Etty\data%20analisis%20dan%20kurv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0%20relation\Analisis%20Data%20Bu%20Etty\data%20analisis%20dan%20kurva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0%20relation\Analisis%20Data%20Bu%20Etty\data%20analisis%20dan%20kurva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IC 50</c:v>
                </c:pt>
              </c:strCache>
            </c:strRef>
          </c:tx>
          <c:spPr>
            <a:solidFill>
              <a:schemeClr val="accent1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Sheet1!$A$2:$A$10</c:f>
              <c:strCache>
                <c:ptCount val="9"/>
                <c:pt idx="0">
                  <c:v>K0P0</c:v>
                </c:pt>
                <c:pt idx="1">
                  <c:v>K1P0</c:v>
                </c:pt>
                <c:pt idx="2">
                  <c:v>K2P0</c:v>
                </c:pt>
                <c:pt idx="3">
                  <c:v>K0P1</c:v>
                </c:pt>
                <c:pt idx="4">
                  <c:v>K1P1</c:v>
                </c:pt>
                <c:pt idx="5">
                  <c:v>K2P1</c:v>
                </c:pt>
                <c:pt idx="6">
                  <c:v>K0P2</c:v>
                </c:pt>
                <c:pt idx="7">
                  <c:v>K1P2</c:v>
                </c:pt>
                <c:pt idx="8">
                  <c:v>K2P2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0">
                  <c:v>157.85</c:v>
                </c:pt>
                <c:pt idx="1">
                  <c:v>193.15199999999999</c:v>
                </c:pt>
                <c:pt idx="2">
                  <c:v>295.27</c:v>
                </c:pt>
                <c:pt idx="3">
                  <c:v>35.47</c:v>
                </c:pt>
                <c:pt idx="4">
                  <c:v>48.54</c:v>
                </c:pt>
                <c:pt idx="5">
                  <c:v>60.46</c:v>
                </c:pt>
                <c:pt idx="6">
                  <c:v>64.27</c:v>
                </c:pt>
                <c:pt idx="7">
                  <c:v>30.5</c:v>
                </c:pt>
                <c:pt idx="8">
                  <c:v>61.73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2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Sheet1!$A$2:$A$10</c:f>
              <c:strCache>
                <c:ptCount val="9"/>
                <c:pt idx="0">
                  <c:v>K0P0</c:v>
                </c:pt>
                <c:pt idx="1">
                  <c:v>K1P0</c:v>
                </c:pt>
                <c:pt idx="2">
                  <c:v>K2P0</c:v>
                </c:pt>
                <c:pt idx="3">
                  <c:v>K0P1</c:v>
                </c:pt>
                <c:pt idx="4">
                  <c:v>K1P1</c:v>
                </c:pt>
                <c:pt idx="5">
                  <c:v>K2P1</c:v>
                </c:pt>
                <c:pt idx="6">
                  <c:v>K0P2</c:v>
                </c:pt>
                <c:pt idx="7">
                  <c:v>K1P2</c:v>
                </c:pt>
                <c:pt idx="8">
                  <c:v>K2P2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Column2</c:v>
                </c:pt>
              </c:strCache>
            </c:strRef>
          </c:tx>
          <c:spPr>
            <a:solidFill>
              <a:schemeClr val="accent3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d-ID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Sheet1!$A$2:$A$10</c:f>
              <c:strCache>
                <c:ptCount val="9"/>
                <c:pt idx="0">
                  <c:v>K0P0</c:v>
                </c:pt>
                <c:pt idx="1">
                  <c:v>K1P0</c:v>
                </c:pt>
                <c:pt idx="2">
                  <c:v>K2P0</c:v>
                </c:pt>
                <c:pt idx="3">
                  <c:v>K0P1</c:v>
                </c:pt>
                <c:pt idx="4">
                  <c:v>K1P1</c:v>
                </c:pt>
                <c:pt idx="5">
                  <c:v>K2P1</c:v>
                </c:pt>
                <c:pt idx="6">
                  <c:v>K0P2</c:v>
                </c:pt>
                <c:pt idx="7">
                  <c:v>K1P2</c:v>
                </c:pt>
                <c:pt idx="8">
                  <c:v>K2P2</c:v>
                </c:pt>
              </c:strCache>
            </c:strRef>
          </c:cat>
          <c:val>
            <c:numRef>
              <c:f>Sheet1!$D$2:$D$10</c:f>
              <c:numCache>
                <c:formatCode>General</c:formatCode>
                <c:ptCount val="9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80"/>
        <c:overlap val="25"/>
        <c:axId val="360924000"/>
        <c:axId val="360921760"/>
      </c:barChart>
      <c:catAx>
        <c:axId val="36092400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id-ID"/>
                  <a:t>Perlakuan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587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21760"/>
        <c:crosses val="autoZero"/>
        <c:auto val="1"/>
        <c:lblAlgn val="ctr"/>
        <c:lblOffset val="100"/>
        <c:noMultiLvlLbl val="0"/>
      </c:catAx>
      <c:valAx>
        <c:axId val="36092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id-ID"/>
                  <a:t>IC 50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240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d-ID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'% inhibisi'!$B$27</c:f>
              <c:strCache>
                <c:ptCount val="1"/>
                <c:pt idx="0">
                  <c:v>% inhibisi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baseline="0"/>
                      <a:t>y = 1,2548x + 21,115</a:t>
                    </a:r>
                    <a:br>
                      <a:rPr lang="en-US" baseline="0"/>
                    </a:br>
                    <a:r>
                      <a:rPr lang="en-US" baseline="0"/>
                      <a:t>R² = </a:t>
                    </a:r>
                    <a:r>
                      <a:rPr lang="id-ID" baseline="0"/>
                      <a:t>99,9%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id-ID"/>
                </a:p>
              </c:txPr>
            </c:trendlineLbl>
          </c:trendline>
          <c:xVal>
            <c:numRef>
              <c:f>'% inhibisi'!$A$28:$A$30</c:f>
              <c:numCache>
                <c:formatCode>General</c:formatCode>
                <c:ptCount val="3"/>
                <c:pt idx="0">
                  <c:v>0</c:v>
                </c:pt>
                <c:pt idx="1">
                  <c:v>10</c:v>
                </c:pt>
                <c:pt idx="2">
                  <c:v>20</c:v>
                </c:pt>
              </c:numCache>
            </c:numRef>
          </c:xVal>
          <c:yVal>
            <c:numRef>
              <c:f>'% inhibisi'!$B$28:$B$30</c:f>
              <c:numCache>
                <c:formatCode>0.000</c:formatCode>
                <c:ptCount val="3"/>
                <c:pt idx="0">
                  <c:v>21.028037383177569</c:v>
                </c:pt>
                <c:pt idx="1">
                  <c:v>33.835237106265147</c:v>
                </c:pt>
                <c:pt idx="2">
                  <c:v>46.123226029768084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0926240"/>
        <c:axId val="360926800"/>
      </c:scatterChart>
      <c:valAx>
        <c:axId val="360926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id-ID" sz="1100"/>
                  <a:t>Lama Penyimpanan (hari)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26800"/>
        <c:crosses val="autoZero"/>
        <c:crossBetween val="midCat"/>
      </c:valAx>
      <c:valAx>
        <c:axId val="360926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id-ID" sz="1100"/>
                  <a:t>% Inhibisi</a:t>
                </a:r>
              </a:p>
            </c:rich>
          </c:tx>
          <c:layout>
            <c:manualLayout>
              <c:xMode val="edge"/>
              <c:yMode val="edge"/>
              <c:x val="3.3716475095785438E-2"/>
              <c:y val="0.2099889006411511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262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id-ID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'kurva FFA'!$B$24</c:f>
              <c:strCache>
                <c:ptCount val="1"/>
                <c:pt idx="0">
                  <c:v>Rataan FFA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layout>
                <c:manualLayout>
                  <c:x val="-0.10162685914260718"/>
                  <c:y val="-6.7986293379994171E-3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baseline="0"/>
                      <a:t>y = 0,0053x + 2,9432</a:t>
                    </a:r>
                    <a:br>
                      <a:rPr lang="en-US" baseline="0"/>
                    </a:br>
                    <a:r>
                      <a:rPr lang="en-US" baseline="0"/>
                      <a:t>R² = </a:t>
                    </a:r>
                    <a:r>
                      <a:rPr lang="id-ID" baseline="0"/>
                      <a:t>98,36%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id-ID"/>
                </a:p>
              </c:txPr>
            </c:trendlineLbl>
          </c:trendline>
          <c:xVal>
            <c:numRef>
              <c:f>'kurva FFA'!$A$25:$A$27</c:f>
              <c:numCache>
                <c:formatCode>General</c:formatCode>
                <c:ptCount val="3"/>
                <c:pt idx="0">
                  <c:v>0</c:v>
                </c:pt>
                <c:pt idx="1">
                  <c:v>50</c:v>
                </c:pt>
                <c:pt idx="2">
                  <c:v>100</c:v>
                </c:pt>
              </c:numCache>
            </c:numRef>
          </c:xVal>
          <c:yVal>
            <c:numRef>
              <c:f>'kurva FFA'!$B$25:$B$27</c:f>
              <c:numCache>
                <c:formatCode>0.00</c:formatCode>
                <c:ptCount val="3"/>
                <c:pt idx="0">
                  <c:v>2.9234</c:v>
                </c:pt>
                <c:pt idx="1">
                  <c:v>3.2492666666666667</c:v>
                </c:pt>
                <c:pt idx="2">
                  <c:v>3.4560666666666671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0929040"/>
        <c:axId val="360929600"/>
      </c:scatterChart>
      <c:valAx>
        <c:axId val="3609290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/>
                  <a:t>Persentase kolostrum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29600"/>
        <c:crosses val="autoZero"/>
        <c:crossBetween val="midCat"/>
      </c:valAx>
      <c:valAx>
        <c:axId val="360929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id-ID" sz="1100" i="1"/>
                  <a:t>Free Fatty Acid (%)</a:t>
                </a:r>
                <a:endParaRPr lang="en-US" sz="1100" i="1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290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id-ID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'kurva FFA'!$K$30</c:f>
              <c:strCache>
                <c:ptCount val="1"/>
                <c:pt idx="0">
                  <c:v>Rataan FFA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layout>
                <c:manualLayout>
                  <c:x val="-0.24039676290463691"/>
                  <c:y val="2.5896033829104697E-2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9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baseline="0"/>
                      <a:t>y = -0,0363x + 3,573</a:t>
                    </a:r>
                    <a:br>
                      <a:rPr lang="en-US" baseline="0"/>
                    </a:br>
                    <a:r>
                      <a:rPr lang="en-US" baseline="0"/>
                      <a:t>R² = </a:t>
                    </a:r>
                    <a:r>
                      <a:rPr lang="id-ID" baseline="0"/>
                      <a:t>99,52%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id-ID"/>
                </a:p>
              </c:txPr>
            </c:trendlineLbl>
          </c:trendline>
          <c:xVal>
            <c:numRef>
              <c:f>'kurva FFA'!$J$31:$J$33</c:f>
              <c:numCache>
                <c:formatCode>General</c:formatCode>
                <c:ptCount val="3"/>
                <c:pt idx="0">
                  <c:v>0</c:v>
                </c:pt>
                <c:pt idx="1">
                  <c:v>10</c:v>
                </c:pt>
                <c:pt idx="2">
                  <c:v>20</c:v>
                </c:pt>
              </c:numCache>
            </c:numRef>
          </c:xVal>
          <c:yVal>
            <c:numRef>
              <c:f>'kurva FFA'!$K$31:$K$33</c:f>
              <c:numCache>
                <c:formatCode>0.00</c:formatCode>
                <c:ptCount val="3"/>
                <c:pt idx="0">
                  <c:v>3.5876666666666668</c:v>
                </c:pt>
                <c:pt idx="1">
                  <c:v>3.1803333333333339</c:v>
                </c:pt>
                <c:pt idx="2">
                  <c:v>2.8607333333333336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0931840"/>
        <c:axId val="360932400"/>
      </c:scatterChart>
      <c:valAx>
        <c:axId val="360931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/>
                  <a:t>Lama Penyimpanan (hari)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0" i="0" u="none" strike="noStrike" kern="1200" baseline="0">
                  <a:solidFill>
                    <a:schemeClr val="tx1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32400"/>
        <c:crosses val="autoZero"/>
        <c:crossBetween val="midCat"/>
      </c:valAx>
      <c:valAx>
        <c:axId val="360932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 i="1"/>
                  <a:t>F</a:t>
                </a:r>
                <a:r>
                  <a:rPr lang="id-ID" sz="1050" i="1"/>
                  <a:t>r</a:t>
                </a:r>
                <a:r>
                  <a:rPr lang="id-ID" sz="1050" b="0" i="1" baseline="0">
                    <a:effectLst/>
                  </a:rPr>
                  <a:t>ee Fatty Acid (%)</a:t>
                </a:r>
                <a:endParaRPr lang="id-ID" sz="1050" i="1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1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09318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id-ID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'Kurva TAT'!$B$31</c:f>
              <c:strCache>
                <c:ptCount val="1"/>
                <c:pt idx="0">
                  <c:v>Rataan TAT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1"/>
            <c:dispEq val="1"/>
            <c:trendlineLbl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9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baseline="0"/>
                      <a:t>y = -9E-05x</a:t>
                    </a:r>
                    <a:r>
                      <a:rPr lang="en-US" baseline="30000"/>
                      <a:t>2</a:t>
                    </a:r>
                    <a:r>
                      <a:rPr lang="en-US" baseline="0"/>
                      <a:t> + 0,0115x + 0,5499</a:t>
                    </a:r>
                    <a:br>
                      <a:rPr lang="en-US" baseline="0"/>
                    </a:br>
                    <a:r>
                      <a:rPr lang="en-US" baseline="0"/>
                      <a:t>R² = 1</a:t>
                    </a:r>
                    <a:r>
                      <a:rPr lang="id-ID" baseline="0"/>
                      <a:t>%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id-ID"/>
                </a:p>
              </c:txPr>
            </c:trendlineLbl>
          </c:trendline>
          <c:xVal>
            <c:numRef>
              <c:f>'Kurva TAT'!$A$32:$A$34</c:f>
              <c:numCache>
                <c:formatCode>General</c:formatCode>
                <c:ptCount val="3"/>
                <c:pt idx="0">
                  <c:v>0</c:v>
                </c:pt>
                <c:pt idx="1">
                  <c:v>50</c:v>
                </c:pt>
                <c:pt idx="2">
                  <c:v>100</c:v>
                </c:pt>
              </c:numCache>
            </c:numRef>
          </c:xVal>
          <c:yVal>
            <c:numRef>
              <c:f>'Kurva TAT'!$B$32:$B$34</c:f>
              <c:numCache>
                <c:formatCode>0.00</c:formatCode>
                <c:ptCount val="3"/>
                <c:pt idx="0">
                  <c:v>0.54987675050743912</c:v>
                </c:pt>
                <c:pt idx="1">
                  <c:v>0.89170396990131173</c:v>
                </c:pt>
                <c:pt idx="2">
                  <c:v>0.76330025713312066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8202752"/>
        <c:axId val="358200512"/>
      </c:scatterChart>
      <c:valAx>
        <c:axId val="358202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5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/>
                  <a:t>Persentase kolostrum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50" b="0" i="0" u="none" strike="noStrike" kern="1200" baseline="0">
                  <a:solidFill>
                    <a:schemeClr val="tx1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58200512"/>
        <c:crosses val="autoZero"/>
        <c:crossBetween val="midCat"/>
      </c:valAx>
      <c:valAx>
        <c:axId val="358200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5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/>
                  <a:t>T</a:t>
                </a:r>
                <a:r>
                  <a:rPr lang="id-ID" sz="1050"/>
                  <a:t>otal Asam Tertitrasi</a:t>
                </a:r>
                <a:endParaRPr lang="en-US" sz="105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50" b="0" i="0" u="none" strike="noStrike" kern="1200" baseline="0">
                  <a:solidFill>
                    <a:schemeClr val="tx1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58202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id-ID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'Kurva TAT'!$I$31</c:f>
              <c:strCache>
                <c:ptCount val="1"/>
                <c:pt idx="0">
                  <c:v>Rataan TAT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poly"/>
            <c:order val="2"/>
            <c:dispRSqr val="1"/>
            <c:dispEq val="1"/>
            <c:trendlineLbl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9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baseline="0"/>
                      <a:t>y = 0,0025x</a:t>
                    </a:r>
                    <a:r>
                      <a:rPr lang="en-US" baseline="30000"/>
                      <a:t>2</a:t>
                    </a:r>
                    <a:r>
                      <a:rPr lang="en-US" baseline="0"/>
                      <a:t> - 0,0225x + 0,5515</a:t>
                    </a:r>
                    <a:br>
                      <a:rPr lang="en-US" baseline="0"/>
                    </a:br>
                    <a:r>
                      <a:rPr lang="en-US" baseline="0"/>
                      <a:t>R² = 1</a:t>
                    </a:r>
                    <a:r>
                      <a:rPr lang="id-ID" baseline="0"/>
                      <a:t>%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id-ID"/>
                </a:p>
              </c:txPr>
            </c:trendlineLbl>
          </c:trendline>
          <c:xVal>
            <c:numRef>
              <c:f>'Kurva TAT'!$H$32:$H$34</c:f>
              <c:numCache>
                <c:formatCode>General</c:formatCode>
                <c:ptCount val="3"/>
                <c:pt idx="0">
                  <c:v>0</c:v>
                </c:pt>
                <c:pt idx="1">
                  <c:v>10</c:v>
                </c:pt>
                <c:pt idx="2">
                  <c:v>20</c:v>
                </c:pt>
              </c:numCache>
            </c:numRef>
          </c:xVal>
          <c:yVal>
            <c:numRef>
              <c:f>'Kurva TAT'!$I$32:$I$34</c:f>
              <c:numCache>
                <c:formatCode>0.00</c:formatCode>
                <c:ptCount val="3"/>
                <c:pt idx="0">
                  <c:v>0.55153694008144272</c:v>
                </c:pt>
                <c:pt idx="1">
                  <c:v>0.57151541593949973</c:v>
                </c:pt>
                <c:pt idx="2">
                  <c:v>1.0818286215209292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8201072"/>
        <c:axId val="358197712"/>
      </c:scatterChart>
      <c:valAx>
        <c:axId val="3582010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5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/>
                  <a:t>Lama</a:t>
                </a:r>
                <a:r>
                  <a:rPr lang="en-US" sz="1050" baseline="0"/>
                  <a:t> Penyimpanan (hari)</a:t>
                </a:r>
                <a:endParaRPr lang="en-US" sz="105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50" b="0" i="0" u="none" strike="noStrike" kern="1200" baseline="0">
                  <a:solidFill>
                    <a:schemeClr val="tx1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58197712"/>
        <c:crosses val="autoZero"/>
        <c:crossBetween val="midCat"/>
      </c:valAx>
      <c:valAx>
        <c:axId val="358197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5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50" b="0" i="0" u="none" strike="noStrike" baseline="0">
                    <a:effectLst/>
                  </a:rPr>
                  <a:t>T</a:t>
                </a:r>
                <a:r>
                  <a:rPr lang="id-ID" sz="1050" b="0" i="0" u="none" strike="noStrike" baseline="0">
                    <a:effectLst/>
                  </a:rPr>
                  <a:t>otal Asam Tertitrasi</a:t>
                </a:r>
                <a:endParaRPr lang="en-US" sz="105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50" b="0" i="0" u="none" strike="noStrike" kern="1200" baseline="0">
                  <a:solidFill>
                    <a:schemeClr val="tx1"/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5820107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id-ID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'kurva kadar air'!$B$26</c:f>
              <c:strCache>
                <c:ptCount val="1"/>
                <c:pt idx="0">
                  <c:v>Rataan KA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1200" b="0" i="0" u="none" strike="noStrike" kern="1200" baseline="0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baseline="0"/>
                      <a:t>y = 0,1404x + 44,024</a:t>
                    </a:r>
                    <a:br>
                      <a:rPr lang="en-US" baseline="0"/>
                    </a:br>
                    <a:r>
                      <a:rPr lang="en-US" baseline="0"/>
                      <a:t>R² = </a:t>
                    </a:r>
                    <a:r>
                      <a:rPr lang="id-ID" baseline="0"/>
                      <a:t>99,23%</a:t>
                    </a:r>
                    <a:endParaRPr lang="en-US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id-ID"/>
                </a:p>
              </c:txPr>
            </c:trendlineLbl>
          </c:trendline>
          <c:xVal>
            <c:numRef>
              <c:f>'kurva kadar air'!$A$27:$A$29</c:f>
              <c:numCache>
                <c:formatCode>General</c:formatCode>
                <c:ptCount val="3"/>
                <c:pt idx="0">
                  <c:v>0</c:v>
                </c:pt>
                <c:pt idx="1">
                  <c:v>50</c:v>
                </c:pt>
                <c:pt idx="2">
                  <c:v>100</c:v>
                </c:pt>
              </c:numCache>
            </c:numRef>
          </c:xVal>
          <c:yVal>
            <c:numRef>
              <c:f>'kurva kadar air'!$B$27:$B$29</c:f>
              <c:numCache>
                <c:formatCode>0.00</c:formatCode>
                <c:ptCount val="3"/>
                <c:pt idx="0">
                  <c:v>43.666666666666714</c:v>
                </c:pt>
                <c:pt idx="1">
                  <c:v>51.758109583060524</c:v>
                </c:pt>
                <c:pt idx="2">
                  <c:v>57.705533421868104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5951760"/>
        <c:axId val="324902224"/>
      </c:scatterChart>
      <c:valAx>
        <c:axId val="3659517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Persentase kolostrum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24902224"/>
        <c:crosses val="autoZero"/>
        <c:crossBetween val="midCat"/>
      </c:valAx>
      <c:valAx>
        <c:axId val="324902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Kadar air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id-ID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d-ID"/>
          </a:p>
        </c:txPr>
        <c:crossAx val="36595176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/>
      </a:pPr>
      <a:endParaRPr lang="id-ID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 cap="none" spc="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>
            <a:alpha val="70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 baseline="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1600" b="0" i="0" kern="1200" cap="none" spc="5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SURYONO</dc:creator>
  <cp:keywords/>
  <dc:description/>
  <cp:lastModifiedBy>SURYONO</cp:lastModifiedBy>
  <cp:revision>1</cp:revision>
  <dcterms:created xsi:type="dcterms:W3CDTF">2020-08-20T04:41:00Z</dcterms:created>
  <dcterms:modified xsi:type="dcterms:W3CDTF">2020-08-20T04:46:00Z</dcterms:modified>
</cp:coreProperties>
</file>