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D002A" w14:textId="77777777" w:rsidR="00DB0BFA" w:rsidRPr="00C704BD" w:rsidRDefault="00DB0BFA" w:rsidP="00116A41">
      <w:pPr>
        <w:spacing w:after="0" w:line="240" w:lineRule="auto"/>
        <w:jc w:val="center"/>
        <w:rPr>
          <w:rFonts w:ascii="Times New Roman" w:hAnsi="Times New Roman" w:cs="Times New Roman"/>
          <w:color w:val="000000" w:themeColor="text1"/>
          <w:sz w:val="28"/>
          <w:szCs w:val="28"/>
        </w:rPr>
      </w:pPr>
      <w:bookmarkStart w:id="0" w:name="_Hlk6059322"/>
      <w:r w:rsidRPr="00C704BD">
        <w:rPr>
          <w:rFonts w:ascii="Times New Roman" w:hAnsi="Times New Roman" w:cs="Times New Roman"/>
          <w:b/>
          <w:color w:val="000000" w:themeColor="text1"/>
          <w:sz w:val="28"/>
          <w:szCs w:val="28"/>
        </w:rPr>
        <w:t>Visualization and Mapping of Research Topics Transportation Model</w:t>
      </w:r>
      <w:r w:rsidRPr="00C704BD">
        <w:rPr>
          <w:rFonts w:ascii="Times New Roman" w:hAnsi="Times New Roman" w:cs="Times New Roman"/>
          <w:b/>
          <w:color w:val="000000" w:themeColor="text1"/>
          <w:sz w:val="28"/>
          <w:szCs w:val="28"/>
          <w:lang w:val="en-US"/>
        </w:rPr>
        <w:t xml:space="preserve"> Sustainable Movement</w:t>
      </w:r>
      <w:r w:rsidRPr="00C704BD">
        <w:rPr>
          <w:rFonts w:ascii="Times New Roman" w:hAnsi="Times New Roman" w:cs="Times New Roman"/>
          <w:b/>
          <w:color w:val="000000" w:themeColor="text1"/>
          <w:sz w:val="28"/>
          <w:szCs w:val="28"/>
        </w:rPr>
        <w:t xml:space="preserve"> for Livestock Folding Container Ship as Sea Toll Supports</w:t>
      </w:r>
    </w:p>
    <w:p w14:paraId="536355AB" w14:textId="77777777" w:rsidR="00E83DD3" w:rsidRPr="00E83DD3" w:rsidRDefault="00E83DD3" w:rsidP="00116A41">
      <w:pPr>
        <w:spacing w:after="0" w:line="240" w:lineRule="auto"/>
        <w:jc w:val="center"/>
        <w:rPr>
          <w:lang w:val="en-GB"/>
        </w:rPr>
      </w:pPr>
    </w:p>
    <w:p w14:paraId="69ECDC6B" w14:textId="114874FD" w:rsidR="00E83DD3" w:rsidRPr="00DB0BFA" w:rsidRDefault="00DB0BFA" w:rsidP="00116A41">
      <w:pPr>
        <w:pStyle w:val="HRPUB-Author"/>
        <w:adjustRightInd w:val="0"/>
        <w:snapToGrid w:val="0"/>
        <w:rPr>
          <w:rFonts w:eastAsia="SimSun"/>
          <w:lang w:eastAsia="zh-CN"/>
        </w:rPr>
      </w:pPr>
      <w:r>
        <w:rPr>
          <w:rFonts w:eastAsia="SimSun"/>
          <w:lang w:eastAsia="zh-CN"/>
        </w:rPr>
        <w:t>Sutini</w:t>
      </w:r>
      <w:r>
        <w:rPr>
          <w:rFonts w:eastAsia="SimSun"/>
          <w:vertAlign w:val="superscript"/>
        </w:rPr>
        <w:t>1</w:t>
      </w:r>
      <w:r>
        <w:rPr>
          <w:rFonts w:eastAsia="SimSun"/>
        </w:rPr>
        <w:t>, M.Handajani</w:t>
      </w:r>
      <w:r>
        <w:rPr>
          <w:rFonts w:eastAsia="SimSun"/>
          <w:vertAlign w:val="superscript"/>
        </w:rPr>
        <w:t>2</w:t>
      </w:r>
      <w:r>
        <w:rPr>
          <w:rFonts w:eastAsia="SimSun"/>
        </w:rPr>
        <w:t>, Ismiyati</w:t>
      </w:r>
      <w:r>
        <w:rPr>
          <w:rFonts w:eastAsia="SimSun"/>
          <w:vertAlign w:val="superscript"/>
        </w:rPr>
        <w:t>3</w:t>
      </w:r>
      <w:bookmarkStart w:id="1" w:name="_GoBack"/>
      <w:bookmarkEnd w:id="1"/>
    </w:p>
    <w:p w14:paraId="1B8835A4" w14:textId="63F36BBF" w:rsidR="00DB0BFA" w:rsidRPr="000F145F" w:rsidRDefault="00DB0BFA" w:rsidP="00116A41">
      <w:pPr>
        <w:pStyle w:val="HRPUB-Affiliation"/>
        <w:spacing w:after="0" w:line="240" w:lineRule="auto"/>
        <w:rPr>
          <w:i/>
          <w:sz w:val="20"/>
          <w:szCs w:val="20"/>
        </w:rPr>
      </w:pPr>
      <w:r w:rsidRPr="000F145F">
        <w:rPr>
          <w:rFonts w:eastAsia="SimSun"/>
          <w:i/>
          <w:sz w:val="20"/>
          <w:szCs w:val="20"/>
          <w:vertAlign w:val="superscript"/>
        </w:rPr>
        <w:t>1</w:t>
      </w:r>
      <w:r w:rsidR="00116A41" w:rsidRPr="000F145F">
        <w:rPr>
          <w:i/>
          <w:sz w:val="20"/>
          <w:szCs w:val="20"/>
        </w:rPr>
        <w:t>Civil Engineering</w:t>
      </w:r>
      <w:r w:rsidR="000F145F" w:rsidRPr="000F145F">
        <w:rPr>
          <w:i/>
          <w:sz w:val="20"/>
          <w:szCs w:val="20"/>
        </w:rPr>
        <w:t xml:space="preserve"> Postgraduate Program, Faculty o</w:t>
      </w:r>
      <w:r w:rsidR="00116A41" w:rsidRPr="000F145F">
        <w:rPr>
          <w:i/>
          <w:sz w:val="20"/>
          <w:szCs w:val="20"/>
        </w:rPr>
        <w:t>f Engineering</w:t>
      </w:r>
      <w:r w:rsidR="000F145F" w:rsidRPr="000F145F">
        <w:rPr>
          <w:i/>
          <w:sz w:val="20"/>
          <w:szCs w:val="20"/>
        </w:rPr>
        <w:t xml:space="preserve">, </w:t>
      </w:r>
      <w:proofErr w:type="spellStart"/>
      <w:r w:rsidR="000F145F" w:rsidRPr="000F145F">
        <w:rPr>
          <w:i/>
          <w:sz w:val="20"/>
          <w:szCs w:val="20"/>
        </w:rPr>
        <w:t>Diponegoro</w:t>
      </w:r>
      <w:proofErr w:type="spellEnd"/>
      <w:r w:rsidR="000F145F" w:rsidRPr="000F145F">
        <w:rPr>
          <w:i/>
          <w:sz w:val="20"/>
          <w:szCs w:val="20"/>
        </w:rPr>
        <w:t xml:space="preserve"> University, Indonesia.</w:t>
      </w:r>
    </w:p>
    <w:p w14:paraId="6FCBD37E" w14:textId="5C6F6114" w:rsidR="000F145F" w:rsidRPr="000F145F" w:rsidRDefault="000F145F" w:rsidP="000F145F">
      <w:pPr>
        <w:pStyle w:val="HRPUB-Affiliation"/>
        <w:spacing w:after="0" w:line="240" w:lineRule="auto"/>
        <w:rPr>
          <w:rFonts w:cs="Times New Roman"/>
          <w:i/>
          <w:color w:val="000000" w:themeColor="text1"/>
          <w:sz w:val="20"/>
          <w:szCs w:val="20"/>
        </w:rPr>
      </w:pPr>
      <w:r w:rsidRPr="000F145F">
        <w:rPr>
          <w:i/>
          <w:sz w:val="20"/>
          <w:szCs w:val="20"/>
        </w:rPr>
        <w:t xml:space="preserve">Email: </w:t>
      </w:r>
      <w:hyperlink r:id="rId6" w:history="1">
        <w:r w:rsidRPr="000F145F">
          <w:rPr>
            <w:rStyle w:val="Hyperlink"/>
            <w:rFonts w:cs="Times New Roman"/>
            <w:i/>
            <w:sz w:val="20"/>
            <w:szCs w:val="20"/>
          </w:rPr>
          <w:t>paleon_sutini@yahoo.com</w:t>
        </w:r>
      </w:hyperlink>
    </w:p>
    <w:p w14:paraId="1F4EB9D8" w14:textId="359D05C7" w:rsidR="00DB0BFA" w:rsidRPr="000F145F" w:rsidRDefault="00DB0BFA" w:rsidP="00116A41">
      <w:pPr>
        <w:pStyle w:val="HRPUB-Affiliation"/>
        <w:spacing w:after="0" w:line="240" w:lineRule="auto"/>
        <w:rPr>
          <w:rFonts w:eastAsia="SimSun"/>
          <w:i/>
          <w:sz w:val="20"/>
          <w:szCs w:val="20"/>
        </w:rPr>
      </w:pPr>
      <w:r w:rsidRPr="000F145F">
        <w:rPr>
          <w:rFonts w:eastAsia="SimSun"/>
          <w:i/>
          <w:sz w:val="20"/>
          <w:szCs w:val="20"/>
          <w:vertAlign w:val="superscript"/>
        </w:rPr>
        <w:t>2</w:t>
      </w:r>
      <w:r w:rsidR="000F145F" w:rsidRPr="000F145F">
        <w:rPr>
          <w:rFonts w:eastAsia="SimSun"/>
          <w:i/>
          <w:sz w:val="20"/>
          <w:szCs w:val="20"/>
        </w:rPr>
        <w:t>Civil Engineering Department, Faculty of Engineering, Semarang University, Indonesia.</w:t>
      </w:r>
    </w:p>
    <w:p w14:paraId="34AE1F7E" w14:textId="6AB179DD" w:rsidR="00E83DD3" w:rsidRPr="000F145F" w:rsidRDefault="00DB0BFA" w:rsidP="00116A41">
      <w:pPr>
        <w:pStyle w:val="HRPUB-Affiliation"/>
        <w:spacing w:after="0" w:line="240" w:lineRule="auto"/>
        <w:rPr>
          <w:rFonts w:eastAsia="SimSun"/>
          <w:i/>
          <w:sz w:val="20"/>
          <w:szCs w:val="20"/>
        </w:rPr>
      </w:pPr>
      <w:r w:rsidRPr="000F145F">
        <w:rPr>
          <w:rFonts w:eastAsia="SimSun"/>
          <w:i/>
          <w:sz w:val="20"/>
          <w:szCs w:val="20"/>
          <w:vertAlign w:val="superscript"/>
        </w:rPr>
        <w:t>3</w:t>
      </w:r>
      <w:r w:rsidR="000F145F" w:rsidRPr="000F145F">
        <w:rPr>
          <w:rFonts w:eastAsia="SimSun"/>
          <w:i/>
          <w:sz w:val="20"/>
          <w:szCs w:val="20"/>
        </w:rPr>
        <w:t xml:space="preserve">Civil Engineering Department, Faculty of Engineering, </w:t>
      </w:r>
      <w:proofErr w:type="spellStart"/>
      <w:r w:rsidR="000F145F" w:rsidRPr="000F145F">
        <w:rPr>
          <w:rFonts w:eastAsia="SimSun"/>
          <w:i/>
          <w:sz w:val="20"/>
          <w:szCs w:val="20"/>
        </w:rPr>
        <w:t>Diponegoro</w:t>
      </w:r>
      <w:proofErr w:type="spellEnd"/>
      <w:r w:rsidR="000F145F" w:rsidRPr="000F145F">
        <w:rPr>
          <w:rFonts w:eastAsia="SimSun"/>
          <w:i/>
          <w:sz w:val="20"/>
          <w:szCs w:val="20"/>
        </w:rPr>
        <w:t xml:space="preserve"> University, Indonesia.</w:t>
      </w:r>
    </w:p>
    <w:p w14:paraId="1DAE38C8" w14:textId="6026932E" w:rsidR="00E83DD3" w:rsidRPr="005C640E" w:rsidRDefault="008E33B1" w:rsidP="00116A41">
      <w:pPr>
        <w:spacing w:before="240" w:after="0" w:line="240" w:lineRule="auto"/>
        <w:ind w:left="1440" w:hanging="1440"/>
        <w:jc w:val="center"/>
        <w:rPr>
          <w:rFonts w:ascii="Times New Roman" w:hAnsi="Times New Roman" w:cs="Times New Roman"/>
          <w:sz w:val="24"/>
          <w:szCs w:val="24"/>
          <w:lang w:val="en-US"/>
        </w:rPr>
      </w:pPr>
      <w:r w:rsidRPr="005C640E">
        <w:rPr>
          <w:rFonts w:ascii="Times New Roman" w:hAnsi="Times New Roman" w:cs="Times New Roman"/>
          <w:b/>
          <w:sz w:val="24"/>
          <w:szCs w:val="24"/>
          <w:lang w:val="en-US"/>
        </w:rPr>
        <w:t>Abstract</w:t>
      </w:r>
    </w:p>
    <w:p w14:paraId="3E24E6B5" w14:textId="77777777" w:rsidR="00DB0BFA" w:rsidRPr="00116A41" w:rsidRDefault="00DB0BFA" w:rsidP="00116A41">
      <w:pPr>
        <w:spacing w:after="0" w:line="240" w:lineRule="auto"/>
        <w:ind w:leftChars="257" w:left="565" w:right="566" w:firstLine="2"/>
        <w:jc w:val="both"/>
        <w:rPr>
          <w:rFonts w:ascii="Times New Roman" w:hAnsi="Times New Roman" w:cs="Times New Roman"/>
          <w:color w:val="000000" w:themeColor="text1"/>
          <w:sz w:val="24"/>
          <w:szCs w:val="24"/>
        </w:rPr>
      </w:pPr>
      <w:r w:rsidRPr="00116A41">
        <w:rPr>
          <w:rFonts w:ascii="Times New Roman" w:hAnsi="Times New Roman" w:cs="Times New Roman"/>
          <w:color w:val="000000" w:themeColor="text1"/>
          <w:sz w:val="24"/>
          <w:szCs w:val="24"/>
        </w:rPr>
        <w:t>A study was conducted on the visualization and mapping analysis of research topics related to transportation model for livestock folding container as sea toll support using the Crossref-based data retrieval method. Data search was carried out using the assistance of Publish or Perish 8 software, utilizing keywords "livestock folding container" and "sea toll," within the time range from 2014 to 2023. The search yielded a total of 1000 publications, consisting of 18 document types. The retrieved data was categorized based on predefined criteria and analyzed using Microsoft Excel. For visualizing and mapping the results retrieved from Crossref, the Visualization Of Similarity (VOS) Viewer was employed. The study's results revealed that since 2018, research topics related to livestock folding containers and sea toll have shown a consistent increase up to the present. The most prolific author in publishing research on livestock folding containers and sea toll is David C. Barret, with 45 documented publications, while the author with the highest number of citations is Stephen C. Bishop, with 124 citations. The most productive country in publishing research on livestock folding containers and sea toll is the United Kingdom. Institutions such as Professor of Bovine Medicine, Editorial Board Member, Consultant Editor, Central University of Tamil Nadu, European Specialist in Equine Internal, Los Alamos National Lab, Howells Veterinary Services, Scottish Center for Production Animal, and Veterinary Surgeon and Consultant are among the leading contributors in publishing research on livestock folding containers and sea toll. Research topics such as container, cargo, livestock, toll, Northern Sea Route, ship, vessel, transportation, sea transport, and container transportation have been consistently studied since 2018 up to the present.</w:t>
      </w:r>
    </w:p>
    <w:p w14:paraId="28B37CF4" w14:textId="77777777" w:rsidR="00DB0BFA" w:rsidRPr="00116A41" w:rsidRDefault="00DB0BFA" w:rsidP="00116A41">
      <w:pPr>
        <w:spacing w:after="0" w:line="240" w:lineRule="auto"/>
        <w:ind w:leftChars="257" w:left="565" w:right="566" w:firstLine="2"/>
        <w:jc w:val="both"/>
        <w:rPr>
          <w:rFonts w:ascii="Times New Roman" w:hAnsi="Times New Roman" w:cs="Times New Roman"/>
          <w:color w:val="000000" w:themeColor="text1"/>
          <w:sz w:val="24"/>
          <w:szCs w:val="24"/>
        </w:rPr>
      </w:pPr>
    </w:p>
    <w:p w14:paraId="08CD7642" w14:textId="77777777" w:rsidR="00DB0BFA" w:rsidRPr="00116A41" w:rsidRDefault="00DB0BFA" w:rsidP="00116A41">
      <w:pPr>
        <w:spacing w:after="0" w:line="240" w:lineRule="auto"/>
        <w:ind w:leftChars="257" w:left="565" w:right="566" w:firstLine="2"/>
        <w:jc w:val="both"/>
        <w:rPr>
          <w:rFonts w:ascii="Times New Roman" w:hAnsi="Times New Roman" w:cs="Times New Roman"/>
          <w:color w:val="000000" w:themeColor="text1"/>
          <w:sz w:val="24"/>
          <w:szCs w:val="24"/>
        </w:rPr>
      </w:pPr>
      <w:r w:rsidRPr="00116A41">
        <w:rPr>
          <w:rFonts w:ascii="Times New Roman" w:hAnsi="Times New Roman" w:cs="Times New Roman"/>
          <w:color w:val="000000" w:themeColor="text1"/>
          <w:sz w:val="24"/>
          <w:szCs w:val="24"/>
        </w:rPr>
        <w:t>Keywords: sea toll, livestock folding container, VOSviewer</w:t>
      </w:r>
    </w:p>
    <w:p w14:paraId="6F991F9E" w14:textId="77777777" w:rsidR="00E83DD3" w:rsidRPr="00116A41" w:rsidRDefault="00E83DD3" w:rsidP="00116A41">
      <w:pPr>
        <w:pStyle w:val="Abstract"/>
        <w:spacing w:after="0"/>
        <w:ind w:leftChars="257" w:left="565" w:right="282"/>
        <w:rPr>
          <w:rFonts w:ascii="Arial" w:hAnsi="Arial" w:cs="Arial"/>
          <w:sz w:val="18"/>
          <w:szCs w:val="18"/>
          <w:lang w:val="en-US"/>
        </w:rPr>
      </w:pPr>
    </w:p>
    <w:p w14:paraId="332D4DB2" w14:textId="77777777" w:rsidR="00E83DD3" w:rsidRPr="00E83DD3" w:rsidRDefault="00E83DD3" w:rsidP="00116A41">
      <w:pPr>
        <w:pStyle w:val="Abstract"/>
        <w:spacing w:after="0"/>
        <w:ind w:left="567"/>
        <w:rPr>
          <w:rFonts w:ascii="Arial" w:hAnsi="Arial" w:cs="Arial"/>
          <w:sz w:val="18"/>
          <w:szCs w:val="18"/>
          <w:lang w:val="en-US"/>
        </w:rPr>
      </w:pPr>
    </w:p>
    <w:p w14:paraId="424856B0" w14:textId="77777777" w:rsidR="00DB0BFA" w:rsidRDefault="00DB0BFA" w:rsidP="00116A41">
      <w:pPr>
        <w:pStyle w:val="ListParagraph"/>
        <w:spacing w:after="0" w:line="240" w:lineRule="auto"/>
        <w:ind w:left="0"/>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lang w:val="en-US"/>
        </w:rPr>
        <w:t>1.</w:t>
      </w:r>
      <w:r>
        <w:rPr>
          <w:rFonts w:ascii="Times New Roman" w:hAnsi="Times New Roman" w:cs="Times New Roman"/>
          <w:b/>
          <w:color w:val="000000" w:themeColor="text1"/>
          <w:sz w:val="24"/>
          <w:szCs w:val="24"/>
        </w:rPr>
        <w:t>I</w:t>
      </w:r>
      <w:proofErr w:type="spellStart"/>
      <w:r>
        <w:rPr>
          <w:rFonts w:ascii="Times New Roman" w:hAnsi="Times New Roman" w:cs="Times New Roman"/>
          <w:b/>
          <w:color w:val="000000" w:themeColor="text1"/>
          <w:sz w:val="24"/>
          <w:szCs w:val="24"/>
          <w:lang w:val="en-US"/>
        </w:rPr>
        <w:t>ntroduction</w:t>
      </w:r>
      <w:proofErr w:type="spellEnd"/>
      <w:proofErr w:type="gramEnd"/>
    </w:p>
    <w:p w14:paraId="6C327AD9"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implementation of the sea toll concept provides opportunities to enhance welfare within Indonesian society, especially for those residing in less developed areas, isolated regions, remote territories, and border areas. President Joko Widodo introduced the idea of the maritime toll logistics system. This plan aims to connect major ports across the Indonesian archipelago. By strengthening the connections between various maritime ports, the transportation of cargo can be facilitated even to distant locations. Furthermore, this initiative aims to achieve price uniformity for logistics services </w:t>
      </w:r>
      <w:r>
        <w:rPr>
          <w:rFonts w:ascii="Times New Roman" w:hAnsi="Times New Roman" w:cs="Times New Roman"/>
          <w:color w:val="000000" w:themeColor="text1"/>
          <w:sz w:val="24"/>
          <w:szCs w:val="24"/>
        </w:rPr>
        <w:lastRenderedPageBreak/>
        <w:t>throughout Indonesia's regions. The sea toll has been designed to enhance the movement of passengers and goods, thereby reducing transportation and logistics costs, and ultimately lowering the prices of goods (Soedarno, Ranti &amp; Nugroho, 2020).</w:t>
      </w:r>
    </w:p>
    <w:p w14:paraId="679FB9A9"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Generally, the term 'livestock container' refers to a facility or enclosure used to transport or store livestock animals such as cattle, sheep, goats, and pigs. The design of these containers aims to provide a safe and comfortable environment for the animals during travel or temporary storage. Another variation is the 'folding container,' a type of container that can be folded or flattened when not in use, making it more space-efficient for storage or return. This container model is often used in various sectors to transport goods and can be made from various materials such as metal, plastic, or fabric. With this concept, the 'livestock folding container' is a portable shipping container specifically designed to transport livestock animals, which can be transformed by folding when not needed. Such container models are highly useful in the field of livestock farming, as they allow farmers or animal owners to carry the container to different locations.</w:t>
      </w:r>
    </w:p>
    <w:p w14:paraId="0EE5CBCF" w14:textId="37EC252B" w:rsidR="00BA71DD"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Mapping the research topics of livestock folding container and sea toll is highly significant because, up to this point, bibliometric visualization and mapping of livestock folding container and sea toll based on Crossref data have never been undertaken. The visualization and mapping study of transportation model for livestock folding container ship as sea toll support aims to (1) identify the annual trends in research topics related to livestock folding container and sea toll, (2) identify the most prolific authors in the livestock folding container and sea toll research topics, (3) identify the most productive countries in livestock folding container and sea toll research, (4) determine co-authorship networks of organizations or affiliations in livestock folding container and sea toll publications, (5) generate co-citation network maps of journals within the livestock folding container and sea toll research topics, (6) create co-occurrence network maps of research topics in livestock folding container and sea toll based on keywords.</w:t>
      </w:r>
    </w:p>
    <w:p w14:paraId="795AA17C" w14:textId="77777777" w:rsidR="000F145F" w:rsidRDefault="000F145F" w:rsidP="00116A41">
      <w:pPr>
        <w:spacing w:after="0" w:line="240" w:lineRule="auto"/>
        <w:jc w:val="both"/>
        <w:rPr>
          <w:rFonts w:ascii="Times New Roman" w:hAnsi="Times New Roman" w:cs="Times New Roman"/>
          <w:color w:val="000000" w:themeColor="text1"/>
          <w:sz w:val="24"/>
          <w:szCs w:val="24"/>
        </w:rPr>
      </w:pPr>
    </w:p>
    <w:p w14:paraId="46221155" w14:textId="77777777" w:rsidR="00DB0BFA" w:rsidRDefault="00DB0BFA" w:rsidP="00116A41">
      <w:pPr>
        <w:pStyle w:val="ListParagraph"/>
        <w:spacing w:after="0" w:line="240" w:lineRule="auto"/>
        <w:ind w:left="0"/>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lang w:val="en-US"/>
        </w:rPr>
        <w:t>2.</w:t>
      </w:r>
      <w:r>
        <w:rPr>
          <w:rFonts w:ascii="Times New Roman" w:hAnsi="Times New Roman" w:cs="Times New Roman"/>
          <w:b/>
          <w:color w:val="000000" w:themeColor="text1"/>
          <w:sz w:val="24"/>
          <w:szCs w:val="24"/>
        </w:rPr>
        <w:t>literature</w:t>
      </w:r>
      <w:proofErr w:type="gramEnd"/>
      <w:r>
        <w:rPr>
          <w:rFonts w:ascii="Times New Roman" w:hAnsi="Times New Roman" w:cs="Times New Roman"/>
          <w:b/>
          <w:color w:val="000000" w:themeColor="text1"/>
          <w:sz w:val="24"/>
          <w:szCs w:val="24"/>
        </w:rPr>
        <w:t xml:space="preserve"> review</w:t>
      </w:r>
    </w:p>
    <w:p w14:paraId="23FFC36C" w14:textId="425FF592" w:rsidR="00DB0BFA" w:rsidRDefault="00B25877"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2.1 </w:t>
      </w:r>
      <w:r w:rsidR="00DB0BFA">
        <w:rPr>
          <w:rFonts w:ascii="Times New Roman" w:hAnsi="Times New Roman" w:cs="Times New Roman"/>
          <w:b/>
          <w:color w:val="000000" w:themeColor="text1"/>
          <w:sz w:val="24"/>
          <w:szCs w:val="24"/>
        </w:rPr>
        <w:t>Sea toll</w:t>
      </w:r>
    </w:p>
    <w:p w14:paraId="25F8BC09"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Sea toll is a concept aimed at improving the logistics transportation process in Indonesia, which is currently being vigorously implemented. As a result, the distribution of goods (especially foodstuffs in Indonesia) is expected to become more streamlined, leading to more equitable prices of essential commodities throughout the entire region of Indonesia. What the Indonesian populace needs to understand is that the sea toll concept does not entail building toll roads on the sea. Rather, it involves unobstructed shipping routes that connect nearly all ports across Indonesia (Sutini, 2022). The ships used in the sea toll program typically have an average Gross Registered Tonnage (GRT) of 2000 tons, aiming to enable their access to remote ports across the entirety of Indonesia (Luthfi Hakim, 2016).</w:t>
      </w:r>
    </w:p>
    <w:p w14:paraId="525268C7"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sailing route is a voyage plan or passage planning, outlining the course of the journey from the departure port to the destination port, taking into consideration navigation systems, with the shortest and quickest route that ensures safety, security, effectiveness, and efficiency (Wiwin Nurzanah, 2020). The goal of an optimal sailing route is to navigate from the destination port to the arrival port in support of sea toll, utilizing the shortest and safest route.</w:t>
      </w:r>
    </w:p>
    <w:p w14:paraId="3FA9B6E0" w14:textId="77777777" w:rsidR="00B25877" w:rsidRDefault="00B25877" w:rsidP="00116A41">
      <w:pPr>
        <w:spacing w:after="0" w:line="240" w:lineRule="auto"/>
        <w:jc w:val="both"/>
        <w:rPr>
          <w:rFonts w:ascii="Times New Roman" w:hAnsi="Times New Roman" w:cs="Times New Roman"/>
          <w:color w:val="000000" w:themeColor="text1"/>
          <w:sz w:val="24"/>
          <w:szCs w:val="24"/>
        </w:rPr>
      </w:pPr>
    </w:p>
    <w:p w14:paraId="6CD97641" w14:textId="77777777" w:rsidR="00B25877" w:rsidRDefault="00B25877" w:rsidP="00116A41">
      <w:pPr>
        <w:spacing w:after="0" w:line="240" w:lineRule="auto"/>
        <w:jc w:val="both"/>
        <w:rPr>
          <w:rFonts w:ascii="Times New Roman" w:hAnsi="Times New Roman" w:cs="Times New Roman"/>
          <w:color w:val="000000" w:themeColor="text1"/>
          <w:sz w:val="24"/>
          <w:szCs w:val="24"/>
        </w:rPr>
      </w:pPr>
    </w:p>
    <w:p w14:paraId="6D9A955F" w14:textId="77777777" w:rsidR="00B25877" w:rsidRDefault="00B25877" w:rsidP="00116A41">
      <w:pPr>
        <w:spacing w:after="0" w:line="240" w:lineRule="auto"/>
        <w:jc w:val="both"/>
        <w:rPr>
          <w:rFonts w:ascii="Times New Roman" w:hAnsi="Times New Roman" w:cs="Times New Roman"/>
          <w:color w:val="000000" w:themeColor="text1"/>
          <w:sz w:val="24"/>
          <w:szCs w:val="24"/>
        </w:rPr>
      </w:pPr>
    </w:p>
    <w:p w14:paraId="3E8A8D62" w14:textId="5D41C830" w:rsidR="00DB0BFA" w:rsidRDefault="00B25877"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lastRenderedPageBreak/>
        <w:t>2.2</w:t>
      </w:r>
      <w:r w:rsidR="00BA71DD">
        <w:rPr>
          <w:rFonts w:ascii="Times New Roman" w:hAnsi="Times New Roman" w:cs="Times New Roman"/>
          <w:b/>
          <w:color w:val="000000" w:themeColor="text1"/>
          <w:sz w:val="24"/>
          <w:szCs w:val="24"/>
          <w:lang w:val="en-US"/>
        </w:rPr>
        <w:t xml:space="preserve"> </w:t>
      </w:r>
      <w:r w:rsidR="00DB0BFA">
        <w:rPr>
          <w:rFonts w:ascii="Times New Roman" w:hAnsi="Times New Roman" w:cs="Times New Roman"/>
          <w:b/>
          <w:color w:val="000000" w:themeColor="text1"/>
          <w:sz w:val="24"/>
          <w:szCs w:val="24"/>
        </w:rPr>
        <w:t>Livestock folding container</w:t>
      </w:r>
    </w:p>
    <w:p w14:paraId="645EC270"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Fundamentally, to create a foldable livestock container for inter-island animal transportation, reference is made to the AMSA (Australian Maritime Safety Authority) standard container design, which has been applied for shipping animals like cattle, camels, horses, and other livestock. This specialized foldable container resembles a portable enclosure that can be loaded onto ships, lifted onto container trucks, and can also be folded when not in use, reducing the required storage space for the container (Subiyantoro, 2016).</w:t>
      </w:r>
    </w:p>
    <w:p w14:paraId="4FD6E701" w14:textId="77777777" w:rsidR="00B25877" w:rsidRDefault="00B25877" w:rsidP="00116A41">
      <w:pPr>
        <w:spacing w:after="0" w:line="240" w:lineRule="auto"/>
        <w:jc w:val="both"/>
        <w:rPr>
          <w:rFonts w:ascii="Times New Roman" w:hAnsi="Times New Roman" w:cs="Times New Roman"/>
          <w:color w:val="000000" w:themeColor="text1"/>
          <w:sz w:val="24"/>
          <w:szCs w:val="24"/>
        </w:rPr>
      </w:pPr>
    </w:p>
    <w:p w14:paraId="22563ABA" w14:textId="538C7E52" w:rsidR="00DB0BFA" w:rsidRDefault="00B25877"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2.3 </w:t>
      </w:r>
      <w:r w:rsidR="00DB0BFA">
        <w:rPr>
          <w:rFonts w:ascii="Times New Roman" w:hAnsi="Times New Roman" w:cs="Times New Roman"/>
          <w:b/>
          <w:color w:val="000000" w:themeColor="text1"/>
          <w:sz w:val="24"/>
          <w:szCs w:val="24"/>
        </w:rPr>
        <w:t>Science mapping</w:t>
      </w:r>
    </w:p>
    <w:p w14:paraId="6117A498"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Scientific mapping is very useful to know the development of literature in relation to the development of science that is reviewed, because scientific mapping aims to build a bibliometric map describing how certain disciplines, scientific domains, or research areas are conceptually arranged, intellectually, and socially (Cobo, Herera &amp; Viedma, 2011).</w:t>
      </w:r>
      <w:r>
        <w:t xml:space="preserve"> </w:t>
      </w:r>
      <w:r>
        <w:rPr>
          <w:rFonts w:ascii="Times New Roman" w:hAnsi="Times New Roman" w:cs="Times New Roman"/>
          <w:color w:val="000000" w:themeColor="text1"/>
          <w:sz w:val="24"/>
          <w:szCs w:val="24"/>
        </w:rPr>
        <w:t>Using the science mapping method, the development of science can be mapped properly and this map can change and develop along with the development of science itself. The science mapping approach displays the structural and dynamic aspects of scientific research; it is a spatial representation of how disciplines, fields, and writers relate to one another (Bolivar, Munos &amp; Cobo, 2018).</w:t>
      </w:r>
    </w:p>
    <w:p w14:paraId="508C83F3" w14:textId="0C2495F6"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Nowadays, many computer applications can be used for science mapping, such as CiteSpace (2003), Science of Science Tool (2009), VOSviewers (2010), and SciMAT(2012) (Chen, 2013). In this study, the mapping process used VOSviewers software. VOSviewers is one of the computer applications that is considered capable and is widely used in processing metadata sourced from Scopus. VOSviewer is used to establish a network of scientific publications, scientific journals, researchers, research organizations, countries, keywords, or terms. VOSviewers can create maps based on network data and visualize the maps in the form of network visualization, overlay visualization, and density visualization (van Eck &amp; Waltman, 2017).</w:t>
      </w:r>
    </w:p>
    <w:p w14:paraId="7299BA9B" w14:textId="77777777" w:rsidR="00BA71DD" w:rsidRDefault="00BA71DD" w:rsidP="00116A41">
      <w:pPr>
        <w:spacing w:after="0" w:line="240" w:lineRule="auto"/>
        <w:jc w:val="both"/>
        <w:rPr>
          <w:rFonts w:ascii="Times New Roman" w:hAnsi="Times New Roman" w:cs="Times New Roman"/>
          <w:color w:val="000000" w:themeColor="text1"/>
          <w:sz w:val="24"/>
          <w:szCs w:val="24"/>
        </w:rPr>
      </w:pPr>
    </w:p>
    <w:p w14:paraId="39AEF39E" w14:textId="77777777" w:rsidR="00DB0BFA" w:rsidRDefault="00DB0BFA" w:rsidP="00116A41">
      <w:pPr>
        <w:pStyle w:val="ListParagraph"/>
        <w:spacing w:after="0" w:line="240" w:lineRule="auto"/>
        <w:ind w:left="0"/>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lang w:val="en-US"/>
        </w:rPr>
        <w:t>3.R</w:t>
      </w:r>
      <w:r>
        <w:rPr>
          <w:rFonts w:ascii="Times New Roman" w:hAnsi="Times New Roman" w:cs="Times New Roman"/>
          <w:b/>
          <w:color w:val="000000" w:themeColor="text1"/>
          <w:sz w:val="24"/>
          <w:szCs w:val="24"/>
        </w:rPr>
        <w:t>esearch</w:t>
      </w:r>
      <w:proofErr w:type="gramEnd"/>
      <w:r>
        <w:rPr>
          <w:rFonts w:ascii="Times New Roman" w:hAnsi="Times New Roman" w:cs="Times New Roman"/>
          <w:b/>
          <w:color w:val="000000" w:themeColor="text1"/>
          <w:sz w:val="24"/>
          <w:szCs w:val="24"/>
        </w:rPr>
        <w:t xml:space="preserve"> methodology</w:t>
      </w:r>
    </w:p>
    <w:p w14:paraId="2536FFAD" w14:textId="1D1BF48E"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study was conducted through literature search based on Crossref data using the assistance of Publish or Perish 8 software, utilizing the keywords "livestock folding container" and "sea toll," within the time range from 2014 to 2023. The search yielded a total of 1000 publications, comprising 18 document types as shown in Table 1.</w:t>
      </w:r>
    </w:p>
    <w:p w14:paraId="5481A1AF" w14:textId="77777777" w:rsidR="00BA71DD" w:rsidRDefault="00BA71DD" w:rsidP="00116A41">
      <w:pPr>
        <w:spacing w:after="0" w:line="240" w:lineRule="auto"/>
        <w:jc w:val="both"/>
        <w:rPr>
          <w:rFonts w:ascii="Times New Roman" w:hAnsi="Times New Roman" w:cs="Times New Roman"/>
          <w:color w:val="000000" w:themeColor="text1"/>
          <w:sz w:val="24"/>
          <w:szCs w:val="24"/>
        </w:rPr>
      </w:pPr>
    </w:p>
    <w:p w14:paraId="49FB657E" w14:textId="77777777" w:rsidR="00DB0BFA" w:rsidRDefault="00DB0BFA" w:rsidP="00116A41">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0"/>
          <w:szCs w:val="20"/>
        </w:rPr>
        <w:t>Table 1</w:t>
      </w:r>
      <w:r>
        <w:rPr>
          <w:rFonts w:ascii="Times New Roman" w:eastAsia="Times New Roman" w:hAnsi="Times New Roman" w:cs="Times New Roman"/>
          <w:color w:val="000000" w:themeColor="text1"/>
          <w:sz w:val="20"/>
          <w:szCs w:val="20"/>
        </w:rPr>
        <w:t>. Distribution of documents on the research topics of livestock folding containers and sea toll.</w:t>
      </w:r>
    </w:p>
    <w:tbl>
      <w:tblPr>
        <w:tblW w:w="6750" w:type="dxa"/>
        <w:tblInd w:w="1368" w:type="dxa"/>
        <w:tblLook w:val="04A0" w:firstRow="1" w:lastRow="0" w:firstColumn="1" w:lastColumn="0" w:noHBand="0" w:noVBand="1"/>
      </w:tblPr>
      <w:tblGrid>
        <w:gridCol w:w="3307"/>
        <w:gridCol w:w="1796"/>
        <w:gridCol w:w="1647"/>
      </w:tblGrid>
      <w:tr w:rsidR="00DB0BFA" w14:paraId="342A4E2F" w14:textId="77777777" w:rsidTr="0051144F">
        <w:trPr>
          <w:trHeight w:val="328"/>
        </w:trPr>
        <w:tc>
          <w:tcPr>
            <w:tcW w:w="6750" w:type="dxa"/>
            <w:gridSpan w:val="3"/>
            <w:tcBorders>
              <w:top w:val="nil"/>
              <w:left w:val="nil"/>
              <w:bottom w:val="double" w:sz="6" w:space="0" w:color="auto"/>
              <w:right w:val="nil"/>
            </w:tcBorders>
            <w:shd w:val="clear" w:color="auto" w:fill="auto"/>
            <w:noWrap/>
            <w:vAlign w:val="bottom"/>
          </w:tcPr>
          <w:p w14:paraId="4C715DDA"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p>
        </w:tc>
      </w:tr>
      <w:tr w:rsidR="00DB0BFA" w14:paraId="672551C8" w14:textId="77777777" w:rsidTr="0051144F">
        <w:trPr>
          <w:trHeight w:val="343"/>
        </w:trPr>
        <w:tc>
          <w:tcPr>
            <w:tcW w:w="3307" w:type="dxa"/>
            <w:tcBorders>
              <w:top w:val="nil"/>
              <w:left w:val="nil"/>
              <w:bottom w:val="single" w:sz="8" w:space="0" w:color="auto"/>
              <w:right w:val="nil"/>
            </w:tcBorders>
            <w:shd w:val="clear" w:color="auto" w:fill="auto"/>
            <w:noWrap/>
            <w:vAlign w:val="center"/>
          </w:tcPr>
          <w:p w14:paraId="560640A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Document type</w:t>
            </w:r>
          </w:p>
        </w:tc>
        <w:tc>
          <w:tcPr>
            <w:tcW w:w="1796" w:type="dxa"/>
            <w:tcBorders>
              <w:top w:val="nil"/>
              <w:left w:val="nil"/>
              <w:bottom w:val="single" w:sz="8" w:space="0" w:color="auto"/>
              <w:right w:val="nil"/>
            </w:tcBorders>
            <w:shd w:val="clear" w:color="auto" w:fill="auto"/>
            <w:noWrap/>
            <w:vAlign w:val="center"/>
          </w:tcPr>
          <w:p w14:paraId="48EC4AB9"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Documents</w:t>
            </w:r>
          </w:p>
        </w:tc>
        <w:tc>
          <w:tcPr>
            <w:tcW w:w="1647" w:type="dxa"/>
            <w:tcBorders>
              <w:top w:val="nil"/>
              <w:left w:val="nil"/>
              <w:bottom w:val="single" w:sz="8" w:space="0" w:color="auto"/>
              <w:right w:val="nil"/>
            </w:tcBorders>
            <w:shd w:val="clear" w:color="auto" w:fill="auto"/>
            <w:noWrap/>
            <w:vAlign w:val="center"/>
          </w:tcPr>
          <w:p w14:paraId="2BFB6A2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Percentage (%)</w:t>
            </w:r>
          </w:p>
        </w:tc>
      </w:tr>
      <w:tr w:rsidR="00DB0BFA" w14:paraId="57583BAE" w14:textId="77777777" w:rsidTr="0051144F">
        <w:trPr>
          <w:trHeight w:val="314"/>
        </w:trPr>
        <w:tc>
          <w:tcPr>
            <w:tcW w:w="3307" w:type="dxa"/>
            <w:tcBorders>
              <w:top w:val="nil"/>
              <w:left w:val="nil"/>
              <w:bottom w:val="nil"/>
              <w:right w:val="nil"/>
            </w:tcBorders>
            <w:shd w:val="clear" w:color="auto" w:fill="auto"/>
            <w:noWrap/>
            <w:vAlign w:val="bottom"/>
          </w:tcPr>
          <w:p w14:paraId="1DBF552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journal-article</w:t>
            </w:r>
          </w:p>
        </w:tc>
        <w:tc>
          <w:tcPr>
            <w:tcW w:w="1796" w:type="dxa"/>
            <w:tcBorders>
              <w:top w:val="nil"/>
              <w:left w:val="nil"/>
              <w:bottom w:val="nil"/>
              <w:right w:val="nil"/>
            </w:tcBorders>
            <w:shd w:val="clear" w:color="auto" w:fill="auto"/>
            <w:noWrap/>
            <w:vAlign w:val="center"/>
          </w:tcPr>
          <w:p w14:paraId="5032776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587</w:t>
            </w:r>
          </w:p>
        </w:tc>
        <w:tc>
          <w:tcPr>
            <w:tcW w:w="1647" w:type="dxa"/>
            <w:tcBorders>
              <w:top w:val="nil"/>
              <w:left w:val="nil"/>
              <w:bottom w:val="nil"/>
              <w:right w:val="nil"/>
            </w:tcBorders>
            <w:shd w:val="clear" w:color="auto" w:fill="auto"/>
            <w:noWrap/>
            <w:vAlign w:val="center"/>
          </w:tcPr>
          <w:p w14:paraId="3B1CB4FE"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58.7</w:t>
            </w:r>
          </w:p>
        </w:tc>
      </w:tr>
      <w:tr w:rsidR="00DB0BFA" w14:paraId="226DAA8C" w14:textId="77777777" w:rsidTr="0051144F">
        <w:trPr>
          <w:trHeight w:val="314"/>
        </w:trPr>
        <w:tc>
          <w:tcPr>
            <w:tcW w:w="3307" w:type="dxa"/>
            <w:tcBorders>
              <w:top w:val="nil"/>
              <w:left w:val="nil"/>
              <w:bottom w:val="nil"/>
              <w:right w:val="nil"/>
            </w:tcBorders>
            <w:shd w:val="clear" w:color="auto" w:fill="auto"/>
            <w:noWrap/>
            <w:vAlign w:val="bottom"/>
          </w:tcPr>
          <w:p w14:paraId="6EF6600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book-chapter</w:t>
            </w:r>
          </w:p>
        </w:tc>
        <w:tc>
          <w:tcPr>
            <w:tcW w:w="1796" w:type="dxa"/>
            <w:tcBorders>
              <w:top w:val="nil"/>
              <w:left w:val="nil"/>
              <w:bottom w:val="nil"/>
              <w:right w:val="nil"/>
            </w:tcBorders>
            <w:shd w:val="clear" w:color="auto" w:fill="auto"/>
            <w:noWrap/>
            <w:vAlign w:val="center"/>
          </w:tcPr>
          <w:p w14:paraId="7CCE8989"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187</w:t>
            </w:r>
          </w:p>
        </w:tc>
        <w:tc>
          <w:tcPr>
            <w:tcW w:w="1647" w:type="dxa"/>
            <w:tcBorders>
              <w:top w:val="nil"/>
              <w:left w:val="nil"/>
              <w:bottom w:val="nil"/>
              <w:right w:val="nil"/>
            </w:tcBorders>
            <w:shd w:val="clear" w:color="auto" w:fill="auto"/>
            <w:noWrap/>
            <w:vAlign w:val="center"/>
          </w:tcPr>
          <w:p w14:paraId="1A7F585D"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18.7</w:t>
            </w:r>
          </w:p>
        </w:tc>
      </w:tr>
      <w:tr w:rsidR="00DB0BFA" w14:paraId="6F53A4AB" w14:textId="77777777" w:rsidTr="0051144F">
        <w:trPr>
          <w:trHeight w:val="314"/>
        </w:trPr>
        <w:tc>
          <w:tcPr>
            <w:tcW w:w="3307" w:type="dxa"/>
            <w:tcBorders>
              <w:top w:val="nil"/>
              <w:left w:val="nil"/>
              <w:bottom w:val="nil"/>
              <w:right w:val="nil"/>
            </w:tcBorders>
            <w:shd w:val="clear" w:color="auto" w:fill="auto"/>
            <w:noWrap/>
            <w:vAlign w:val="bottom"/>
          </w:tcPr>
          <w:p w14:paraId="643490A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proceedings-article</w:t>
            </w:r>
          </w:p>
        </w:tc>
        <w:tc>
          <w:tcPr>
            <w:tcW w:w="1796" w:type="dxa"/>
            <w:tcBorders>
              <w:top w:val="nil"/>
              <w:left w:val="nil"/>
              <w:bottom w:val="nil"/>
              <w:right w:val="nil"/>
            </w:tcBorders>
            <w:shd w:val="clear" w:color="auto" w:fill="auto"/>
            <w:noWrap/>
            <w:vAlign w:val="center"/>
          </w:tcPr>
          <w:p w14:paraId="4F9D4D2D"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70</w:t>
            </w:r>
          </w:p>
        </w:tc>
        <w:tc>
          <w:tcPr>
            <w:tcW w:w="1647" w:type="dxa"/>
            <w:tcBorders>
              <w:top w:val="nil"/>
              <w:left w:val="nil"/>
              <w:bottom w:val="nil"/>
              <w:right w:val="nil"/>
            </w:tcBorders>
            <w:shd w:val="clear" w:color="auto" w:fill="auto"/>
            <w:noWrap/>
            <w:vAlign w:val="center"/>
          </w:tcPr>
          <w:p w14:paraId="60A6854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w:t>
            </w:r>
          </w:p>
        </w:tc>
      </w:tr>
      <w:tr w:rsidR="00DB0BFA" w14:paraId="6DDBC3F8" w14:textId="77777777" w:rsidTr="0051144F">
        <w:trPr>
          <w:trHeight w:val="314"/>
        </w:trPr>
        <w:tc>
          <w:tcPr>
            <w:tcW w:w="3307" w:type="dxa"/>
            <w:tcBorders>
              <w:top w:val="nil"/>
              <w:left w:val="nil"/>
              <w:bottom w:val="nil"/>
              <w:right w:val="nil"/>
            </w:tcBorders>
            <w:shd w:val="clear" w:color="auto" w:fill="auto"/>
            <w:noWrap/>
            <w:vAlign w:val="bottom"/>
          </w:tcPr>
          <w:p w14:paraId="76E136F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reference-entry</w:t>
            </w:r>
          </w:p>
        </w:tc>
        <w:tc>
          <w:tcPr>
            <w:tcW w:w="1796" w:type="dxa"/>
            <w:tcBorders>
              <w:top w:val="nil"/>
              <w:left w:val="nil"/>
              <w:bottom w:val="nil"/>
              <w:right w:val="nil"/>
            </w:tcBorders>
            <w:shd w:val="clear" w:color="auto" w:fill="auto"/>
            <w:noWrap/>
            <w:vAlign w:val="center"/>
          </w:tcPr>
          <w:p w14:paraId="3905C17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56</w:t>
            </w:r>
          </w:p>
        </w:tc>
        <w:tc>
          <w:tcPr>
            <w:tcW w:w="1647" w:type="dxa"/>
            <w:tcBorders>
              <w:top w:val="nil"/>
              <w:left w:val="nil"/>
              <w:bottom w:val="nil"/>
              <w:right w:val="nil"/>
            </w:tcBorders>
            <w:shd w:val="clear" w:color="auto" w:fill="auto"/>
            <w:noWrap/>
            <w:vAlign w:val="center"/>
          </w:tcPr>
          <w:p w14:paraId="2CDB2308"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5.6</w:t>
            </w:r>
          </w:p>
        </w:tc>
      </w:tr>
      <w:tr w:rsidR="00DB0BFA" w14:paraId="7E09E6A0" w14:textId="77777777" w:rsidTr="0051144F">
        <w:trPr>
          <w:trHeight w:val="314"/>
        </w:trPr>
        <w:tc>
          <w:tcPr>
            <w:tcW w:w="3307" w:type="dxa"/>
            <w:tcBorders>
              <w:top w:val="nil"/>
              <w:left w:val="nil"/>
              <w:bottom w:val="nil"/>
              <w:right w:val="nil"/>
            </w:tcBorders>
            <w:shd w:val="clear" w:color="auto" w:fill="auto"/>
            <w:noWrap/>
            <w:vAlign w:val="bottom"/>
          </w:tcPr>
          <w:p w14:paraId="22F9E7AC"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report</w:t>
            </w:r>
          </w:p>
        </w:tc>
        <w:tc>
          <w:tcPr>
            <w:tcW w:w="1796" w:type="dxa"/>
            <w:tcBorders>
              <w:top w:val="nil"/>
              <w:left w:val="nil"/>
              <w:bottom w:val="nil"/>
              <w:right w:val="nil"/>
            </w:tcBorders>
            <w:shd w:val="clear" w:color="auto" w:fill="auto"/>
            <w:noWrap/>
            <w:vAlign w:val="center"/>
          </w:tcPr>
          <w:p w14:paraId="68397E9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35</w:t>
            </w:r>
          </w:p>
        </w:tc>
        <w:tc>
          <w:tcPr>
            <w:tcW w:w="1647" w:type="dxa"/>
            <w:tcBorders>
              <w:top w:val="nil"/>
              <w:left w:val="nil"/>
              <w:bottom w:val="nil"/>
              <w:right w:val="nil"/>
            </w:tcBorders>
            <w:shd w:val="clear" w:color="auto" w:fill="auto"/>
            <w:noWrap/>
            <w:vAlign w:val="center"/>
          </w:tcPr>
          <w:p w14:paraId="00BA16D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3.5</w:t>
            </w:r>
          </w:p>
        </w:tc>
      </w:tr>
      <w:tr w:rsidR="00DB0BFA" w14:paraId="3B582C42" w14:textId="77777777" w:rsidTr="0051144F">
        <w:trPr>
          <w:trHeight w:val="314"/>
        </w:trPr>
        <w:tc>
          <w:tcPr>
            <w:tcW w:w="3307" w:type="dxa"/>
            <w:tcBorders>
              <w:top w:val="nil"/>
              <w:left w:val="nil"/>
              <w:bottom w:val="nil"/>
              <w:right w:val="nil"/>
            </w:tcBorders>
            <w:shd w:val="clear" w:color="auto" w:fill="auto"/>
            <w:noWrap/>
            <w:vAlign w:val="bottom"/>
          </w:tcPr>
          <w:p w14:paraId="5CE189C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book</w:t>
            </w:r>
          </w:p>
        </w:tc>
        <w:tc>
          <w:tcPr>
            <w:tcW w:w="1796" w:type="dxa"/>
            <w:tcBorders>
              <w:top w:val="nil"/>
              <w:left w:val="nil"/>
              <w:bottom w:val="nil"/>
              <w:right w:val="nil"/>
            </w:tcBorders>
            <w:shd w:val="clear" w:color="auto" w:fill="auto"/>
            <w:noWrap/>
            <w:vAlign w:val="center"/>
          </w:tcPr>
          <w:p w14:paraId="536E794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c>
          <w:tcPr>
            <w:tcW w:w="1647" w:type="dxa"/>
            <w:tcBorders>
              <w:top w:val="nil"/>
              <w:left w:val="nil"/>
              <w:bottom w:val="nil"/>
              <w:right w:val="nil"/>
            </w:tcBorders>
            <w:shd w:val="clear" w:color="auto" w:fill="auto"/>
            <w:noWrap/>
            <w:vAlign w:val="center"/>
          </w:tcPr>
          <w:p w14:paraId="502F22D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r>
      <w:tr w:rsidR="00DB0BFA" w14:paraId="4C27B59F" w14:textId="77777777" w:rsidTr="0051144F">
        <w:trPr>
          <w:trHeight w:val="314"/>
        </w:trPr>
        <w:tc>
          <w:tcPr>
            <w:tcW w:w="3307" w:type="dxa"/>
            <w:tcBorders>
              <w:top w:val="nil"/>
              <w:left w:val="nil"/>
              <w:bottom w:val="nil"/>
              <w:right w:val="nil"/>
            </w:tcBorders>
            <w:shd w:val="clear" w:color="auto" w:fill="auto"/>
            <w:noWrap/>
            <w:vAlign w:val="bottom"/>
          </w:tcPr>
          <w:p w14:paraId="40A6A28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peer-review</w:t>
            </w:r>
          </w:p>
        </w:tc>
        <w:tc>
          <w:tcPr>
            <w:tcW w:w="1796" w:type="dxa"/>
            <w:tcBorders>
              <w:top w:val="nil"/>
              <w:left w:val="nil"/>
              <w:bottom w:val="nil"/>
              <w:right w:val="nil"/>
            </w:tcBorders>
            <w:shd w:val="clear" w:color="auto" w:fill="auto"/>
            <w:noWrap/>
            <w:vAlign w:val="center"/>
          </w:tcPr>
          <w:p w14:paraId="53B560D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c>
          <w:tcPr>
            <w:tcW w:w="1647" w:type="dxa"/>
            <w:tcBorders>
              <w:top w:val="nil"/>
              <w:left w:val="nil"/>
              <w:bottom w:val="nil"/>
              <w:right w:val="nil"/>
            </w:tcBorders>
            <w:shd w:val="clear" w:color="auto" w:fill="auto"/>
            <w:noWrap/>
            <w:vAlign w:val="center"/>
          </w:tcPr>
          <w:p w14:paraId="70501AF9"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r>
      <w:tr w:rsidR="00DB0BFA" w14:paraId="4FB627AB" w14:textId="77777777" w:rsidTr="0051144F">
        <w:trPr>
          <w:trHeight w:val="314"/>
        </w:trPr>
        <w:tc>
          <w:tcPr>
            <w:tcW w:w="3307" w:type="dxa"/>
            <w:tcBorders>
              <w:top w:val="nil"/>
              <w:left w:val="nil"/>
              <w:bottom w:val="nil"/>
              <w:right w:val="nil"/>
            </w:tcBorders>
            <w:shd w:val="clear" w:color="auto" w:fill="auto"/>
            <w:noWrap/>
            <w:vAlign w:val="bottom"/>
          </w:tcPr>
          <w:p w14:paraId="2A6F75A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component</w:t>
            </w:r>
          </w:p>
        </w:tc>
        <w:tc>
          <w:tcPr>
            <w:tcW w:w="1796" w:type="dxa"/>
            <w:tcBorders>
              <w:top w:val="nil"/>
              <w:left w:val="nil"/>
              <w:bottom w:val="nil"/>
              <w:right w:val="nil"/>
            </w:tcBorders>
            <w:shd w:val="clear" w:color="auto" w:fill="auto"/>
            <w:noWrap/>
            <w:vAlign w:val="center"/>
          </w:tcPr>
          <w:p w14:paraId="11010F7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c>
          <w:tcPr>
            <w:tcW w:w="1647" w:type="dxa"/>
            <w:tcBorders>
              <w:top w:val="nil"/>
              <w:left w:val="nil"/>
              <w:bottom w:val="nil"/>
              <w:right w:val="nil"/>
            </w:tcBorders>
            <w:shd w:val="clear" w:color="auto" w:fill="auto"/>
            <w:noWrap/>
            <w:vAlign w:val="center"/>
          </w:tcPr>
          <w:p w14:paraId="70BAF782"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p>
        </w:tc>
      </w:tr>
      <w:tr w:rsidR="00DB0BFA" w14:paraId="458FE537" w14:textId="77777777" w:rsidTr="0051144F">
        <w:trPr>
          <w:trHeight w:val="314"/>
        </w:trPr>
        <w:tc>
          <w:tcPr>
            <w:tcW w:w="3307" w:type="dxa"/>
            <w:tcBorders>
              <w:top w:val="nil"/>
              <w:left w:val="nil"/>
              <w:bottom w:val="nil"/>
              <w:right w:val="nil"/>
            </w:tcBorders>
            <w:shd w:val="clear" w:color="auto" w:fill="auto"/>
            <w:noWrap/>
            <w:vAlign w:val="bottom"/>
          </w:tcPr>
          <w:p w14:paraId="1A1CA54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posted-content</w:t>
            </w:r>
          </w:p>
        </w:tc>
        <w:tc>
          <w:tcPr>
            <w:tcW w:w="1796" w:type="dxa"/>
            <w:tcBorders>
              <w:top w:val="nil"/>
              <w:left w:val="nil"/>
              <w:bottom w:val="nil"/>
              <w:right w:val="nil"/>
            </w:tcBorders>
            <w:shd w:val="clear" w:color="auto" w:fill="auto"/>
            <w:noWrap/>
            <w:vAlign w:val="center"/>
          </w:tcPr>
          <w:p w14:paraId="57FCC28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c>
          <w:tcPr>
            <w:tcW w:w="1647" w:type="dxa"/>
            <w:tcBorders>
              <w:top w:val="nil"/>
              <w:left w:val="nil"/>
              <w:bottom w:val="nil"/>
              <w:right w:val="nil"/>
            </w:tcBorders>
            <w:shd w:val="clear" w:color="auto" w:fill="auto"/>
            <w:noWrap/>
            <w:vAlign w:val="center"/>
          </w:tcPr>
          <w:p w14:paraId="16BF5796"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r>
      <w:tr w:rsidR="00DB0BFA" w14:paraId="62705347" w14:textId="77777777" w:rsidTr="0051144F">
        <w:trPr>
          <w:trHeight w:val="314"/>
        </w:trPr>
        <w:tc>
          <w:tcPr>
            <w:tcW w:w="3307" w:type="dxa"/>
            <w:tcBorders>
              <w:top w:val="nil"/>
              <w:left w:val="nil"/>
              <w:bottom w:val="nil"/>
              <w:right w:val="nil"/>
            </w:tcBorders>
            <w:shd w:val="clear" w:color="auto" w:fill="auto"/>
            <w:noWrap/>
            <w:vAlign w:val="bottom"/>
          </w:tcPr>
          <w:p w14:paraId="3C59530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proceedings</w:t>
            </w:r>
          </w:p>
        </w:tc>
        <w:tc>
          <w:tcPr>
            <w:tcW w:w="1796" w:type="dxa"/>
            <w:tcBorders>
              <w:top w:val="nil"/>
              <w:left w:val="nil"/>
              <w:bottom w:val="nil"/>
              <w:right w:val="nil"/>
            </w:tcBorders>
            <w:shd w:val="clear" w:color="auto" w:fill="auto"/>
            <w:noWrap/>
            <w:vAlign w:val="center"/>
          </w:tcPr>
          <w:p w14:paraId="49D2605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647" w:type="dxa"/>
            <w:tcBorders>
              <w:top w:val="nil"/>
              <w:left w:val="nil"/>
              <w:bottom w:val="nil"/>
              <w:right w:val="nil"/>
            </w:tcBorders>
            <w:shd w:val="clear" w:color="auto" w:fill="auto"/>
            <w:noWrap/>
            <w:vAlign w:val="center"/>
          </w:tcPr>
          <w:p w14:paraId="26C804E4"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p>
        </w:tc>
      </w:tr>
      <w:tr w:rsidR="00DB0BFA" w14:paraId="460FD22D" w14:textId="77777777" w:rsidTr="0051144F">
        <w:trPr>
          <w:trHeight w:val="314"/>
        </w:trPr>
        <w:tc>
          <w:tcPr>
            <w:tcW w:w="3307" w:type="dxa"/>
            <w:tcBorders>
              <w:top w:val="nil"/>
              <w:left w:val="nil"/>
              <w:bottom w:val="nil"/>
              <w:right w:val="nil"/>
            </w:tcBorders>
            <w:shd w:val="clear" w:color="auto" w:fill="auto"/>
            <w:noWrap/>
            <w:vAlign w:val="bottom"/>
          </w:tcPr>
          <w:p w14:paraId="0A37AA5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monograph</w:t>
            </w:r>
          </w:p>
        </w:tc>
        <w:tc>
          <w:tcPr>
            <w:tcW w:w="1796" w:type="dxa"/>
            <w:tcBorders>
              <w:top w:val="nil"/>
              <w:left w:val="nil"/>
              <w:bottom w:val="nil"/>
              <w:right w:val="nil"/>
            </w:tcBorders>
            <w:shd w:val="clear" w:color="auto" w:fill="auto"/>
            <w:noWrap/>
            <w:vAlign w:val="center"/>
          </w:tcPr>
          <w:p w14:paraId="148E22B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647" w:type="dxa"/>
            <w:tcBorders>
              <w:top w:val="nil"/>
              <w:left w:val="nil"/>
              <w:bottom w:val="nil"/>
              <w:right w:val="nil"/>
            </w:tcBorders>
            <w:shd w:val="clear" w:color="auto" w:fill="auto"/>
            <w:noWrap/>
            <w:vAlign w:val="center"/>
          </w:tcPr>
          <w:p w14:paraId="2BD5D9C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p>
        </w:tc>
      </w:tr>
      <w:tr w:rsidR="00DB0BFA" w14:paraId="67F602D9" w14:textId="77777777" w:rsidTr="0051144F">
        <w:trPr>
          <w:trHeight w:val="314"/>
        </w:trPr>
        <w:tc>
          <w:tcPr>
            <w:tcW w:w="3307" w:type="dxa"/>
            <w:tcBorders>
              <w:top w:val="nil"/>
              <w:left w:val="nil"/>
              <w:bottom w:val="nil"/>
              <w:right w:val="nil"/>
            </w:tcBorders>
            <w:shd w:val="clear" w:color="auto" w:fill="auto"/>
            <w:noWrap/>
            <w:vAlign w:val="bottom"/>
          </w:tcPr>
          <w:p w14:paraId="67FED4F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other</w:t>
            </w:r>
          </w:p>
        </w:tc>
        <w:tc>
          <w:tcPr>
            <w:tcW w:w="1796" w:type="dxa"/>
            <w:tcBorders>
              <w:top w:val="nil"/>
              <w:left w:val="nil"/>
              <w:bottom w:val="nil"/>
              <w:right w:val="nil"/>
            </w:tcBorders>
            <w:shd w:val="clear" w:color="auto" w:fill="auto"/>
            <w:noWrap/>
            <w:vAlign w:val="center"/>
          </w:tcPr>
          <w:p w14:paraId="363E33D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c>
          <w:tcPr>
            <w:tcW w:w="1647" w:type="dxa"/>
            <w:tcBorders>
              <w:top w:val="nil"/>
              <w:left w:val="nil"/>
              <w:bottom w:val="nil"/>
              <w:right w:val="nil"/>
            </w:tcBorders>
            <w:shd w:val="clear" w:color="auto" w:fill="auto"/>
            <w:noWrap/>
            <w:vAlign w:val="center"/>
          </w:tcPr>
          <w:p w14:paraId="0B58C7C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0.5</w:t>
            </w:r>
          </w:p>
        </w:tc>
      </w:tr>
      <w:tr w:rsidR="00DB0BFA" w14:paraId="36DEA8F4" w14:textId="77777777" w:rsidTr="0051144F">
        <w:trPr>
          <w:trHeight w:val="314"/>
        </w:trPr>
        <w:tc>
          <w:tcPr>
            <w:tcW w:w="3307" w:type="dxa"/>
            <w:tcBorders>
              <w:top w:val="nil"/>
              <w:left w:val="nil"/>
              <w:bottom w:val="nil"/>
              <w:right w:val="nil"/>
            </w:tcBorders>
            <w:shd w:val="clear" w:color="auto" w:fill="auto"/>
            <w:noWrap/>
            <w:vAlign w:val="bottom"/>
          </w:tcPr>
          <w:p w14:paraId="63D836F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edited-book</w:t>
            </w:r>
          </w:p>
        </w:tc>
        <w:tc>
          <w:tcPr>
            <w:tcW w:w="1796" w:type="dxa"/>
            <w:tcBorders>
              <w:top w:val="nil"/>
              <w:left w:val="nil"/>
              <w:bottom w:val="nil"/>
              <w:right w:val="nil"/>
            </w:tcBorders>
            <w:shd w:val="clear" w:color="auto" w:fill="auto"/>
            <w:noWrap/>
            <w:vAlign w:val="center"/>
          </w:tcPr>
          <w:p w14:paraId="78C09BE8"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647" w:type="dxa"/>
            <w:tcBorders>
              <w:top w:val="nil"/>
              <w:left w:val="nil"/>
              <w:bottom w:val="nil"/>
              <w:right w:val="nil"/>
            </w:tcBorders>
            <w:shd w:val="clear" w:color="auto" w:fill="auto"/>
            <w:noWrap/>
            <w:vAlign w:val="center"/>
          </w:tcPr>
          <w:p w14:paraId="102A03C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0.2</w:t>
            </w:r>
          </w:p>
        </w:tc>
      </w:tr>
      <w:tr w:rsidR="00DB0BFA" w14:paraId="17A503D2" w14:textId="77777777" w:rsidTr="0051144F">
        <w:trPr>
          <w:trHeight w:val="314"/>
        </w:trPr>
        <w:tc>
          <w:tcPr>
            <w:tcW w:w="3307" w:type="dxa"/>
            <w:tcBorders>
              <w:top w:val="nil"/>
              <w:left w:val="nil"/>
              <w:bottom w:val="nil"/>
              <w:right w:val="nil"/>
            </w:tcBorders>
            <w:shd w:val="clear" w:color="auto" w:fill="auto"/>
            <w:noWrap/>
            <w:vAlign w:val="bottom"/>
          </w:tcPr>
          <w:p w14:paraId="1704681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journal-issue</w:t>
            </w:r>
          </w:p>
        </w:tc>
        <w:tc>
          <w:tcPr>
            <w:tcW w:w="1796" w:type="dxa"/>
            <w:tcBorders>
              <w:top w:val="nil"/>
              <w:left w:val="nil"/>
              <w:bottom w:val="nil"/>
              <w:right w:val="nil"/>
            </w:tcBorders>
            <w:shd w:val="clear" w:color="auto" w:fill="auto"/>
            <w:noWrap/>
            <w:vAlign w:val="center"/>
          </w:tcPr>
          <w:p w14:paraId="1F191C56"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647" w:type="dxa"/>
            <w:tcBorders>
              <w:top w:val="nil"/>
              <w:left w:val="nil"/>
              <w:bottom w:val="nil"/>
              <w:right w:val="nil"/>
            </w:tcBorders>
            <w:shd w:val="clear" w:color="auto" w:fill="auto"/>
            <w:noWrap/>
            <w:vAlign w:val="center"/>
          </w:tcPr>
          <w:p w14:paraId="2160BFA6"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0.1</w:t>
            </w:r>
          </w:p>
        </w:tc>
      </w:tr>
      <w:tr w:rsidR="00DB0BFA" w14:paraId="4B9EA22F" w14:textId="77777777" w:rsidTr="0051144F">
        <w:trPr>
          <w:trHeight w:val="314"/>
        </w:trPr>
        <w:tc>
          <w:tcPr>
            <w:tcW w:w="3307" w:type="dxa"/>
            <w:tcBorders>
              <w:top w:val="nil"/>
              <w:left w:val="nil"/>
              <w:bottom w:val="nil"/>
              <w:right w:val="nil"/>
            </w:tcBorders>
            <w:shd w:val="clear" w:color="auto" w:fill="auto"/>
            <w:noWrap/>
            <w:vAlign w:val="bottom"/>
          </w:tcPr>
          <w:p w14:paraId="309051D4"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book-part</w:t>
            </w:r>
          </w:p>
        </w:tc>
        <w:tc>
          <w:tcPr>
            <w:tcW w:w="1796" w:type="dxa"/>
            <w:tcBorders>
              <w:top w:val="nil"/>
              <w:left w:val="nil"/>
              <w:bottom w:val="nil"/>
              <w:right w:val="nil"/>
            </w:tcBorders>
            <w:shd w:val="clear" w:color="auto" w:fill="auto"/>
            <w:noWrap/>
            <w:vAlign w:val="center"/>
          </w:tcPr>
          <w:p w14:paraId="2B9FF0E2"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647" w:type="dxa"/>
            <w:tcBorders>
              <w:top w:val="nil"/>
              <w:left w:val="nil"/>
              <w:bottom w:val="nil"/>
              <w:right w:val="nil"/>
            </w:tcBorders>
            <w:shd w:val="clear" w:color="auto" w:fill="auto"/>
            <w:noWrap/>
            <w:vAlign w:val="center"/>
          </w:tcPr>
          <w:p w14:paraId="31E8D0CA"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0.1</w:t>
            </w:r>
          </w:p>
        </w:tc>
      </w:tr>
      <w:tr w:rsidR="00DB0BFA" w14:paraId="0FAEE908" w14:textId="77777777" w:rsidTr="0051144F">
        <w:trPr>
          <w:trHeight w:val="314"/>
        </w:trPr>
        <w:tc>
          <w:tcPr>
            <w:tcW w:w="3307" w:type="dxa"/>
            <w:tcBorders>
              <w:top w:val="nil"/>
              <w:left w:val="nil"/>
              <w:bottom w:val="nil"/>
              <w:right w:val="nil"/>
            </w:tcBorders>
            <w:shd w:val="clear" w:color="auto" w:fill="auto"/>
            <w:noWrap/>
            <w:vAlign w:val="bottom"/>
          </w:tcPr>
          <w:p w14:paraId="1FC0C5E2"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reference-book</w:t>
            </w:r>
          </w:p>
        </w:tc>
        <w:tc>
          <w:tcPr>
            <w:tcW w:w="1796" w:type="dxa"/>
            <w:tcBorders>
              <w:top w:val="nil"/>
              <w:left w:val="nil"/>
              <w:bottom w:val="nil"/>
              <w:right w:val="nil"/>
            </w:tcBorders>
            <w:shd w:val="clear" w:color="auto" w:fill="auto"/>
            <w:noWrap/>
            <w:vAlign w:val="center"/>
          </w:tcPr>
          <w:p w14:paraId="41743CA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647" w:type="dxa"/>
            <w:tcBorders>
              <w:top w:val="nil"/>
              <w:left w:val="nil"/>
              <w:bottom w:val="nil"/>
              <w:right w:val="nil"/>
            </w:tcBorders>
            <w:shd w:val="clear" w:color="auto" w:fill="auto"/>
            <w:noWrap/>
            <w:vAlign w:val="center"/>
          </w:tcPr>
          <w:p w14:paraId="2347AC6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0.1</w:t>
            </w:r>
          </w:p>
        </w:tc>
      </w:tr>
      <w:tr w:rsidR="00DB0BFA" w14:paraId="235BDE74" w14:textId="77777777" w:rsidTr="0051144F">
        <w:trPr>
          <w:trHeight w:val="314"/>
        </w:trPr>
        <w:tc>
          <w:tcPr>
            <w:tcW w:w="3307" w:type="dxa"/>
            <w:tcBorders>
              <w:top w:val="nil"/>
              <w:left w:val="nil"/>
              <w:bottom w:val="nil"/>
              <w:right w:val="nil"/>
            </w:tcBorders>
            <w:shd w:val="clear" w:color="auto" w:fill="auto"/>
            <w:noWrap/>
            <w:vAlign w:val="bottom"/>
          </w:tcPr>
          <w:p w14:paraId="442E8F0E"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dataset</w:t>
            </w:r>
          </w:p>
        </w:tc>
        <w:tc>
          <w:tcPr>
            <w:tcW w:w="1796" w:type="dxa"/>
            <w:tcBorders>
              <w:top w:val="nil"/>
              <w:left w:val="nil"/>
              <w:bottom w:val="nil"/>
              <w:right w:val="nil"/>
            </w:tcBorders>
            <w:shd w:val="clear" w:color="auto" w:fill="auto"/>
            <w:noWrap/>
            <w:vAlign w:val="center"/>
          </w:tcPr>
          <w:p w14:paraId="4932D9F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647" w:type="dxa"/>
            <w:tcBorders>
              <w:top w:val="nil"/>
              <w:left w:val="nil"/>
              <w:bottom w:val="nil"/>
              <w:right w:val="nil"/>
            </w:tcBorders>
            <w:shd w:val="clear" w:color="auto" w:fill="auto"/>
            <w:noWrap/>
            <w:vAlign w:val="center"/>
          </w:tcPr>
          <w:p w14:paraId="3EDF9B76"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0.1</w:t>
            </w:r>
          </w:p>
        </w:tc>
      </w:tr>
      <w:tr w:rsidR="00DB0BFA" w14:paraId="0FC4F3AE" w14:textId="77777777" w:rsidTr="0051144F">
        <w:trPr>
          <w:trHeight w:val="314"/>
        </w:trPr>
        <w:tc>
          <w:tcPr>
            <w:tcW w:w="3307" w:type="dxa"/>
            <w:tcBorders>
              <w:top w:val="nil"/>
              <w:left w:val="nil"/>
              <w:bottom w:val="nil"/>
              <w:right w:val="nil"/>
            </w:tcBorders>
            <w:shd w:val="clear" w:color="auto" w:fill="auto"/>
            <w:noWrap/>
            <w:vAlign w:val="bottom"/>
          </w:tcPr>
          <w:p w14:paraId="1671C0CA"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database</w:t>
            </w:r>
          </w:p>
        </w:tc>
        <w:tc>
          <w:tcPr>
            <w:tcW w:w="1796" w:type="dxa"/>
            <w:tcBorders>
              <w:top w:val="nil"/>
              <w:left w:val="nil"/>
              <w:bottom w:val="nil"/>
              <w:right w:val="nil"/>
            </w:tcBorders>
            <w:shd w:val="clear" w:color="auto" w:fill="auto"/>
            <w:noWrap/>
            <w:vAlign w:val="center"/>
          </w:tcPr>
          <w:p w14:paraId="24FDC526"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1647" w:type="dxa"/>
            <w:tcBorders>
              <w:top w:val="nil"/>
              <w:left w:val="nil"/>
              <w:bottom w:val="nil"/>
              <w:right w:val="nil"/>
            </w:tcBorders>
            <w:shd w:val="clear" w:color="auto" w:fill="auto"/>
            <w:noWrap/>
            <w:vAlign w:val="center"/>
          </w:tcPr>
          <w:p w14:paraId="36810C6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0.1</w:t>
            </w:r>
          </w:p>
        </w:tc>
      </w:tr>
      <w:tr w:rsidR="00DB0BFA" w14:paraId="2263EF10" w14:textId="77777777" w:rsidTr="0051144F">
        <w:trPr>
          <w:trHeight w:val="328"/>
        </w:trPr>
        <w:tc>
          <w:tcPr>
            <w:tcW w:w="3307" w:type="dxa"/>
            <w:tcBorders>
              <w:top w:val="nil"/>
              <w:left w:val="nil"/>
              <w:bottom w:val="single" w:sz="8" w:space="0" w:color="auto"/>
              <w:right w:val="nil"/>
            </w:tcBorders>
            <w:shd w:val="clear" w:color="auto" w:fill="auto"/>
            <w:noWrap/>
            <w:vAlign w:val="bottom"/>
          </w:tcPr>
          <w:p w14:paraId="11C5192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Jumlah</w:t>
            </w:r>
          </w:p>
        </w:tc>
        <w:tc>
          <w:tcPr>
            <w:tcW w:w="1796" w:type="dxa"/>
            <w:tcBorders>
              <w:top w:val="nil"/>
              <w:left w:val="nil"/>
              <w:bottom w:val="single" w:sz="8" w:space="0" w:color="auto"/>
              <w:right w:val="nil"/>
            </w:tcBorders>
            <w:shd w:val="clear" w:color="auto" w:fill="auto"/>
            <w:noWrap/>
            <w:vAlign w:val="center"/>
          </w:tcPr>
          <w:p w14:paraId="5162B6D2"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1000</w:t>
            </w:r>
          </w:p>
        </w:tc>
        <w:tc>
          <w:tcPr>
            <w:tcW w:w="1647" w:type="dxa"/>
            <w:tcBorders>
              <w:top w:val="nil"/>
              <w:left w:val="nil"/>
              <w:bottom w:val="single" w:sz="8" w:space="0" w:color="auto"/>
              <w:right w:val="nil"/>
            </w:tcBorders>
            <w:shd w:val="clear" w:color="auto" w:fill="auto"/>
            <w:noWrap/>
            <w:vAlign w:val="center"/>
          </w:tcPr>
          <w:p w14:paraId="530C855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w:t>
            </w:r>
          </w:p>
        </w:tc>
      </w:tr>
      <w:tr w:rsidR="00DB0BFA" w14:paraId="02B4D5F4" w14:textId="77777777" w:rsidTr="0051144F">
        <w:trPr>
          <w:trHeight w:val="124"/>
        </w:trPr>
        <w:tc>
          <w:tcPr>
            <w:tcW w:w="3307" w:type="dxa"/>
            <w:tcBorders>
              <w:top w:val="nil"/>
              <w:left w:val="nil"/>
              <w:bottom w:val="nil"/>
              <w:right w:val="nil"/>
            </w:tcBorders>
            <w:shd w:val="clear" w:color="auto" w:fill="auto"/>
            <w:noWrap/>
            <w:vAlign w:val="bottom"/>
          </w:tcPr>
          <w:p w14:paraId="6ED702D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Source : Crossref</w:t>
            </w:r>
          </w:p>
        </w:tc>
        <w:tc>
          <w:tcPr>
            <w:tcW w:w="1796" w:type="dxa"/>
            <w:tcBorders>
              <w:top w:val="nil"/>
              <w:left w:val="nil"/>
              <w:bottom w:val="nil"/>
              <w:right w:val="nil"/>
            </w:tcBorders>
            <w:shd w:val="clear" w:color="auto" w:fill="auto"/>
            <w:noWrap/>
            <w:vAlign w:val="bottom"/>
          </w:tcPr>
          <w:p w14:paraId="4994DDA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p>
        </w:tc>
        <w:tc>
          <w:tcPr>
            <w:tcW w:w="1647" w:type="dxa"/>
            <w:tcBorders>
              <w:top w:val="nil"/>
              <w:left w:val="nil"/>
              <w:bottom w:val="nil"/>
              <w:right w:val="nil"/>
            </w:tcBorders>
            <w:shd w:val="clear" w:color="auto" w:fill="auto"/>
            <w:noWrap/>
            <w:vAlign w:val="bottom"/>
          </w:tcPr>
          <w:p w14:paraId="6F07362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p>
        </w:tc>
      </w:tr>
    </w:tbl>
    <w:p w14:paraId="6E80A138" w14:textId="77777777" w:rsidR="00DB0BFA" w:rsidRDefault="00DB0BFA" w:rsidP="00116A41">
      <w:pPr>
        <w:spacing w:after="0" w:line="240" w:lineRule="auto"/>
        <w:jc w:val="both"/>
        <w:rPr>
          <w:rFonts w:ascii="Times New Roman" w:hAnsi="Times New Roman" w:cs="Times New Roman"/>
          <w:color w:val="000000" w:themeColor="text1"/>
          <w:sz w:val="24"/>
          <w:szCs w:val="24"/>
        </w:rPr>
      </w:pPr>
    </w:p>
    <w:p w14:paraId="57B5C84C"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search results data of 1000 documents were categorized based on predefined criteria in alignment with the research objectives and were analyzed using Microsoft Excel. Meanwhile, for visualizing and mapping the results retrieved from Crossref, the Visualization Of Similarity (VOS) Viewer was used to examine co-authorship based on affiliations or institutions, co-citation network maps of livestock folding container and sea toll publications, and co-occurrence network maps of research topics related to livestock folding containers and sea toll based on keywords.</w:t>
      </w:r>
    </w:p>
    <w:p w14:paraId="73D1EC30" w14:textId="77777777" w:rsidR="00DB0BFA" w:rsidRDefault="00DB0BFA" w:rsidP="00116A41">
      <w:pPr>
        <w:spacing w:after="0" w:line="240" w:lineRule="auto"/>
        <w:jc w:val="both"/>
        <w:rPr>
          <w:rFonts w:ascii="Times New Roman" w:hAnsi="Times New Roman" w:cs="Times New Roman"/>
          <w:color w:val="000000" w:themeColor="text1"/>
          <w:sz w:val="24"/>
          <w:szCs w:val="24"/>
        </w:rPr>
      </w:pPr>
    </w:p>
    <w:p w14:paraId="24F1FB19" w14:textId="723ABB08" w:rsidR="000F145F" w:rsidRDefault="00DB0BFA" w:rsidP="00116A41">
      <w:pPr>
        <w:pStyle w:val="ListParagraph"/>
        <w:spacing w:after="0" w:line="240" w:lineRule="auto"/>
        <w:ind w:left="0"/>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lang w:val="en-US"/>
        </w:rPr>
        <w:t>4.F</w:t>
      </w:r>
      <w:r>
        <w:rPr>
          <w:rFonts w:ascii="Times New Roman" w:hAnsi="Times New Roman" w:cs="Times New Roman"/>
          <w:b/>
          <w:color w:val="000000" w:themeColor="text1"/>
          <w:sz w:val="24"/>
          <w:szCs w:val="24"/>
        </w:rPr>
        <w:t>inding</w:t>
      </w:r>
      <w:proofErr w:type="gramEnd"/>
      <w:r>
        <w:rPr>
          <w:rFonts w:ascii="Times New Roman" w:hAnsi="Times New Roman" w:cs="Times New Roman"/>
          <w:b/>
          <w:color w:val="000000" w:themeColor="text1"/>
          <w:sz w:val="24"/>
          <w:szCs w:val="24"/>
        </w:rPr>
        <w:t xml:space="preserve"> and discussion</w:t>
      </w:r>
    </w:p>
    <w:p w14:paraId="7095D553" w14:textId="0E98CE03" w:rsidR="00DB0BFA" w:rsidRDefault="00BA71DD"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4.1 </w:t>
      </w:r>
      <w:r w:rsidR="00DB0BFA">
        <w:rPr>
          <w:rFonts w:ascii="Times New Roman" w:hAnsi="Times New Roman" w:cs="Times New Roman"/>
          <w:b/>
          <w:color w:val="000000" w:themeColor="text1"/>
          <w:sz w:val="24"/>
          <w:szCs w:val="24"/>
        </w:rPr>
        <w:t xml:space="preserve">Annual publication trends of the research topics on livestock folding container and sea toll. </w:t>
      </w:r>
    </w:p>
    <w:p w14:paraId="3F25C118"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publication trends of the research topics on foldable livestock containers and sea toll based on years can be observed as depicted in Figure 1. Publications related to livestock folding containers and sea toll first appeared in 2017 with the title "Container Shipping Network Efficiency Comparison in Indonesia: Nusantara Pendulum and Sea Tollway." Between the years 2015 and 2017, the number of publications on the topics of livestock folding containers and sea toll experienced a decrease (below 100 documents). It wasn't until 2018 that research topics related to livestock folding containers and sea toll began to steadily increase up to the present. There was a significant increase in the number of publications on livestock folding containers and sea toll research topics in 2019, with a total of 51 publications.</w:t>
      </w:r>
    </w:p>
    <w:p w14:paraId="266D9DF2" w14:textId="77777777" w:rsidR="00DB0BFA" w:rsidRDefault="00DB0BFA" w:rsidP="00116A41">
      <w:pPr>
        <w:spacing w:after="0" w:line="240" w:lineRule="auto"/>
        <w:jc w:val="both"/>
        <w:rPr>
          <w:rFonts w:ascii="Times New Roman" w:hAnsi="Times New Roman" w:cs="Times New Roman"/>
          <w:color w:val="000000" w:themeColor="text1"/>
          <w:sz w:val="24"/>
          <w:szCs w:val="24"/>
        </w:rPr>
      </w:pPr>
    </w:p>
    <w:p w14:paraId="565119CA" w14:textId="77777777" w:rsidR="00DB0BFA" w:rsidRDefault="00DB0BFA" w:rsidP="00116A41">
      <w:pPr>
        <w:spacing w:after="0" w:line="240" w:lineRule="auto"/>
        <w:jc w:val="center"/>
        <w:rPr>
          <w:rFonts w:ascii="Times New Roman" w:hAnsi="Times New Roman" w:cs="Times New Roman"/>
          <w:color w:val="000000" w:themeColor="text1"/>
          <w:sz w:val="24"/>
          <w:szCs w:val="24"/>
        </w:rPr>
      </w:pPr>
      <w:r>
        <w:rPr>
          <w:noProof/>
          <w:color w:val="000000" w:themeColor="text1"/>
          <w:lang w:val="en-US"/>
        </w:rPr>
        <w:drawing>
          <wp:inline distT="0" distB="0" distL="0" distR="0" wp14:anchorId="6FBDC460" wp14:editId="5E239BCC">
            <wp:extent cx="3079115" cy="2055495"/>
            <wp:effectExtent l="0" t="0" r="6985" b="19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057422A"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1</w:t>
      </w:r>
      <w:r>
        <w:rPr>
          <w:rFonts w:ascii="Times New Roman" w:hAnsi="Times New Roman" w:cs="Times New Roman"/>
          <w:color w:val="000000" w:themeColor="text1"/>
          <w:sz w:val="20"/>
          <w:szCs w:val="20"/>
        </w:rPr>
        <w:t>. Annual publication trends of research topics on livestock folding containers and sea toll.</w:t>
      </w:r>
    </w:p>
    <w:p w14:paraId="2E91E853"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0"/>
          <w:szCs w:val="20"/>
        </w:rPr>
        <w:t>(Source : Results of data analysis using Microsoft Excel)</w:t>
      </w:r>
    </w:p>
    <w:p w14:paraId="2E8A924B"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151B1CD1" w14:textId="17240CC1" w:rsidR="00DB0BFA" w:rsidRDefault="00BA71DD"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4.2 </w:t>
      </w:r>
      <w:r w:rsidR="00DB0BFA">
        <w:rPr>
          <w:rFonts w:ascii="Times New Roman" w:hAnsi="Times New Roman" w:cs="Times New Roman"/>
          <w:b/>
          <w:color w:val="000000" w:themeColor="text1"/>
          <w:sz w:val="24"/>
          <w:szCs w:val="24"/>
        </w:rPr>
        <w:t xml:space="preserve">Ten most prolific authors on the research topics of livestock folding containers and sea toll. </w:t>
      </w:r>
    </w:p>
    <w:p w14:paraId="4C2D4209"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 results of VOSviewer analysis of authors' contributions to the discussed topics, the ten most prolific authors can be observed in Table 2, the ten authors with the highest number of citations in Table 3, and the top 20 documents with the highest number of citations in Table 4.</w:t>
      </w:r>
    </w:p>
    <w:p w14:paraId="7F4B3160" w14:textId="77777777" w:rsidR="00DB0BFA" w:rsidRDefault="00DB0BFA" w:rsidP="00116A41">
      <w:pPr>
        <w:spacing w:after="0" w:line="240" w:lineRule="auto"/>
        <w:jc w:val="both"/>
        <w:rPr>
          <w:rFonts w:ascii="Times New Roman" w:hAnsi="Times New Roman" w:cs="Times New Roman"/>
          <w:color w:val="000000" w:themeColor="text1"/>
          <w:sz w:val="24"/>
          <w:szCs w:val="24"/>
        </w:rPr>
      </w:pPr>
    </w:p>
    <w:p w14:paraId="02B2357A"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2</w:t>
      </w:r>
      <w:r>
        <w:rPr>
          <w:rFonts w:ascii="Times New Roman" w:hAnsi="Times New Roman" w:cs="Times New Roman"/>
          <w:color w:val="000000" w:themeColor="text1"/>
          <w:sz w:val="20"/>
          <w:szCs w:val="20"/>
        </w:rPr>
        <w:t>. Ten most prolific authors on the research topics of livestock folding containers and sea toll</w:t>
      </w:r>
    </w:p>
    <w:tbl>
      <w:tblPr>
        <w:tblW w:w="4050" w:type="dxa"/>
        <w:tblInd w:w="2718" w:type="dxa"/>
        <w:tblLook w:val="04A0" w:firstRow="1" w:lastRow="0" w:firstColumn="1" w:lastColumn="0" w:noHBand="0" w:noVBand="1"/>
      </w:tblPr>
      <w:tblGrid>
        <w:gridCol w:w="1800"/>
        <w:gridCol w:w="2250"/>
      </w:tblGrid>
      <w:tr w:rsidR="00DB0BFA" w14:paraId="0570DB7A" w14:textId="77777777" w:rsidTr="0051144F">
        <w:trPr>
          <w:trHeight w:val="330"/>
        </w:trPr>
        <w:tc>
          <w:tcPr>
            <w:tcW w:w="1800" w:type="dxa"/>
            <w:tcBorders>
              <w:top w:val="double" w:sz="6" w:space="0" w:color="auto"/>
              <w:left w:val="nil"/>
              <w:bottom w:val="single" w:sz="8" w:space="0" w:color="auto"/>
              <w:right w:val="nil"/>
            </w:tcBorders>
            <w:shd w:val="clear" w:color="auto" w:fill="auto"/>
            <w:noWrap/>
            <w:vAlign w:val="center"/>
          </w:tcPr>
          <w:p w14:paraId="09BA37B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themeColor="text1"/>
                <w:sz w:val="20"/>
                <w:szCs w:val="20"/>
              </w:rPr>
              <w:t>Authors</w:t>
            </w:r>
          </w:p>
        </w:tc>
        <w:tc>
          <w:tcPr>
            <w:tcW w:w="2250" w:type="dxa"/>
            <w:tcBorders>
              <w:top w:val="double" w:sz="6" w:space="0" w:color="auto"/>
              <w:left w:val="nil"/>
              <w:bottom w:val="single" w:sz="8" w:space="0" w:color="auto"/>
              <w:right w:val="nil"/>
            </w:tcBorders>
            <w:shd w:val="clear" w:color="auto" w:fill="auto"/>
            <w:noWrap/>
            <w:vAlign w:val="center"/>
          </w:tcPr>
          <w:p w14:paraId="47F7B89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Publications</w:t>
            </w:r>
          </w:p>
        </w:tc>
      </w:tr>
      <w:tr w:rsidR="00DB0BFA" w14:paraId="01AA84BF" w14:textId="77777777" w:rsidTr="0051144F">
        <w:trPr>
          <w:trHeight w:val="300"/>
        </w:trPr>
        <w:tc>
          <w:tcPr>
            <w:tcW w:w="1800" w:type="dxa"/>
            <w:tcBorders>
              <w:top w:val="nil"/>
              <w:left w:val="nil"/>
              <w:bottom w:val="nil"/>
              <w:right w:val="nil"/>
            </w:tcBorders>
            <w:shd w:val="clear" w:color="auto" w:fill="auto"/>
            <w:noWrap/>
            <w:vAlign w:val="bottom"/>
          </w:tcPr>
          <w:p w14:paraId="55A09A15"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David C. Barret</w:t>
            </w:r>
          </w:p>
        </w:tc>
        <w:tc>
          <w:tcPr>
            <w:tcW w:w="2250" w:type="dxa"/>
            <w:tcBorders>
              <w:top w:val="nil"/>
              <w:left w:val="nil"/>
              <w:bottom w:val="nil"/>
              <w:right w:val="nil"/>
            </w:tcBorders>
            <w:shd w:val="clear" w:color="auto" w:fill="auto"/>
            <w:noWrap/>
            <w:vAlign w:val="center"/>
          </w:tcPr>
          <w:p w14:paraId="0D43EB67"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r>
      <w:tr w:rsidR="00DB0BFA" w14:paraId="5D0FABC5" w14:textId="77777777" w:rsidTr="0051144F">
        <w:trPr>
          <w:trHeight w:val="300"/>
        </w:trPr>
        <w:tc>
          <w:tcPr>
            <w:tcW w:w="1800" w:type="dxa"/>
            <w:tcBorders>
              <w:top w:val="nil"/>
              <w:left w:val="nil"/>
              <w:bottom w:val="nil"/>
              <w:right w:val="nil"/>
            </w:tcBorders>
            <w:shd w:val="clear" w:color="auto" w:fill="auto"/>
            <w:noWrap/>
            <w:vAlign w:val="bottom"/>
          </w:tcPr>
          <w:p w14:paraId="05B33AF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April Taylor</w:t>
            </w:r>
          </w:p>
        </w:tc>
        <w:tc>
          <w:tcPr>
            <w:tcW w:w="2250" w:type="dxa"/>
            <w:tcBorders>
              <w:top w:val="nil"/>
              <w:left w:val="nil"/>
              <w:bottom w:val="nil"/>
              <w:right w:val="nil"/>
            </w:tcBorders>
            <w:shd w:val="clear" w:color="auto" w:fill="auto"/>
            <w:noWrap/>
            <w:vAlign w:val="center"/>
          </w:tcPr>
          <w:p w14:paraId="47E95286"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DB0BFA" w14:paraId="16D189FF" w14:textId="77777777" w:rsidTr="0051144F">
        <w:trPr>
          <w:trHeight w:val="300"/>
        </w:trPr>
        <w:tc>
          <w:tcPr>
            <w:tcW w:w="1800" w:type="dxa"/>
            <w:tcBorders>
              <w:top w:val="nil"/>
              <w:left w:val="nil"/>
              <w:bottom w:val="nil"/>
              <w:right w:val="nil"/>
            </w:tcBorders>
            <w:shd w:val="clear" w:color="auto" w:fill="auto"/>
            <w:noWrap/>
            <w:vAlign w:val="bottom"/>
          </w:tcPr>
          <w:p w14:paraId="3D3D91F6"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David Rendle</w:t>
            </w:r>
          </w:p>
        </w:tc>
        <w:tc>
          <w:tcPr>
            <w:tcW w:w="2250" w:type="dxa"/>
            <w:tcBorders>
              <w:top w:val="nil"/>
              <w:left w:val="nil"/>
              <w:bottom w:val="nil"/>
              <w:right w:val="nil"/>
            </w:tcBorders>
            <w:shd w:val="clear" w:color="auto" w:fill="auto"/>
            <w:noWrap/>
            <w:vAlign w:val="center"/>
          </w:tcPr>
          <w:p w14:paraId="7E156BB2"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DB0BFA" w14:paraId="379D65CD" w14:textId="77777777" w:rsidTr="0051144F">
        <w:trPr>
          <w:trHeight w:val="300"/>
        </w:trPr>
        <w:tc>
          <w:tcPr>
            <w:tcW w:w="1800" w:type="dxa"/>
            <w:tcBorders>
              <w:top w:val="nil"/>
              <w:left w:val="nil"/>
              <w:bottom w:val="nil"/>
              <w:right w:val="nil"/>
            </w:tcBorders>
            <w:shd w:val="clear" w:color="auto" w:fill="auto"/>
            <w:noWrap/>
            <w:vAlign w:val="bottom"/>
          </w:tcPr>
          <w:p w14:paraId="7FA7B8B3"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Ricard Laven</w:t>
            </w:r>
          </w:p>
        </w:tc>
        <w:tc>
          <w:tcPr>
            <w:tcW w:w="2250" w:type="dxa"/>
            <w:tcBorders>
              <w:top w:val="nil"/>
              <w:left w:val="nil"/>
              <w:bottom w:val="nil"/>
              <w:right w:val="nil"/>
            </w:tcBorders>
            <w:shd w:val="clear" w:color="auto" w:fill="auto"/>
            <w:noWrap/>
            <w:vAlign w:val="center"/>
          </w:tcPr>
          <w:p w14:paraId="6065ACA7"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DB0BFA" w14:paraId="4CA27348" w14:textId="77777777" w:rsidTr="0051144F">
        <w:trPr>
          <w:trHeight w:val="300"/>
        </w:trPr>
        <w:tc>
          <w:tcPr>
            <w:tcW w:w="1800" w:type="dxa"/>
            <w:tcBorders>
              <w:top w:val="nil"/>
              <w:left w:val="nil"/>
              <w:bottom w:val="nil"/>
              <w:right w:val="nil"/>
            </w:tcBorders>
            <w:shd w:val="clear" w:color="auto" w:fill="auto"/>
            <w:noWrap/>
            <w:vAlign w:val="bottom"/>
          </w:tcPr>
          <w:p w14:paraId="2C5728DD"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David Barret</w:t>
            </w:r>
          </w:p>
        </w:tc>
        <w:tc>
          <w:tcPr>
            <w:tcW w:w="2250" w:type="dxa"/>
            <w:tcBorders>
              <w:top w:val="nil"/>
              <w:left w:val="nil"/>
              <w:bottom w:val="nil"/>
              <w:right w:val="nil"/>
            </w:tcBorders>
            <w:shd w:val="clear" w:color="auto" w:fill="auto"/>
            <w:noWrap/>
            <w:vAlign w:val="center"/>
          </w:tcPr>
          <w:p w14:paraId="26C77363"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DB0BFA" w14:paraId="3AF1C418" w14:textId="77777777" w:rsidTr="0051144F">
        <w:trPr>
          <w:trHeight w:val="300"/>
        </w:trPr>
        <w:tc>
          <w:tcPr>
            <w:tcW w:w="1800" w:type="dxa"/>
            <w:tcBorders>
              <w:top w:val="nil"/>
              <w:left w:val="nil"/>
              <w:bottom w:val="nil"/>
              <w:right w:val="nil"/>
            </w:tcBorders>
            <w:shd w:val="clear" w:color="auto" w:fill="auto"/>
            <w:noWrap/>
            <w:vAlign w:val="bottom"/>
          </w:tcPr>
          <w:p w14:paraId="0F2D7497"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James Breen</w:t>
            </w:r>
          </w:p>
        </w:tc>
        <w:tc>
          <w:tcPr>
            <w:tcW w:w="2250" w:type="dxa"/>
            <w:tcBorders>
              <w:top w:val="nil"/>
              <w:left w:val="nil"/>
              <w:bottom w:val="nil"/>
              <w:right w:val="nil"/>
            </w:tcBorders>
            <w:shd w:val="clear" w:color="auto" w:fill="auto"/>
            <w:noWrap/>
            <w:vAlign w:val="center"/>
          </w:tcPr>
          <w:p w14:paraId="5DDE79C1"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DB0BFA" w14:paraId="706EBB1A" w14:textId="77777777" w:rsidTr="0051144F">
        <w:trPr>
          <w:trHeight w:val="300"/>
        </w:trPr>
        <w:tc>
          <w:tcPr>
            <w:tcW w:w="1800" w:type="dxa"/>
            <w:tcBorders>
              <w:top w:val="nil"/>
              <w:left w:val="nil"/>
              <w:bottom w:val="nil"/>
              <w:right w:val="nil"/>
            </w:tcBorders>
            <w:shd w:val="clear" w:color="auto" w:fill="auto"/>
            <w:noWrap/>
            <w:vAlign w:val="bottom"/>
          </w:tcPr>
          <w:p w14:paraId="67FCA488"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Peter de Tender</w:t>
            </w:r>
          </w:p>
        </w:tc>
        <w:tc>
          <w:tcPr>
            <w:tcW w:w="2250" w:type="dxa"/>
            <w:tcBorders>
              <w:top w:val="nil"/>
              <w:left w:val="nil"/>
              <w:bottom w:val="nil"/>
              <w:right w:val="nil"/>
            </w:tcBorders>
            <w:shd w:val="clear" w:color="auto" w:fill="auto"/>
            <w:noWrap/>
            <w:vAlign w:val="center"/>
          </w:tcPr>
          <w:p w14:paraId="6240F11C"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DB0BFA" w14:paraId="0DFEFCCB" w14:textId="77777777" w:rsidTr="0051144F">
        <w:trPr>
          <w:trHeight w:val="300"/>
        </w:trPr>
        <w:tc>
          <w:tcPr>
            <w:tcW w:w="1800" w:type="dxa"/>
            <w:tcBorders>
              <w:top w:val="nil"/>
              <w:left w:val="nil"/>
              <w:bottom w:val="nil"/>
              <w:right w:val="nil"/>
            </w:tcBorders>
            <w:shd w:val="clear" w:color="auto" w:fill="auto"/>
            <w:noWrap/>
            <w:vAlign w:val="bottom"/>
          </w:tcPr>
          <w:p w14:paraId="630CBEEB"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John Carr</w:t>
            </w:r>
          </w:p>
        </w:tc>
        <w:tc>
          <w:tcPr>
            <w:tcW w:w="2250" w:type="dxa"/>
            <w:tcBorders>
              <w:top w:val="nil"/>
              <w:left w:val="nil"/>
              <w:bottom w:val="nil"/>
              <w:right w:val="nil"/>
            </w:tcBorders>
            <w:shd w:val="clear" w:color="auto" w:fill="auto"/>
            <w:noWrap/>
            <w:vAlign w:val="center"/>
          </w:tcPr>
          <w:p w14:paraId="7B051B8D"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DB0BFA" w14:paraId="2E03C730" w14:textId="77777777" w:rsidTr="0051144F">
        <w:trPr>
          <w:trHeight w:val="300"/>
        </w:trPr>
        <w:tc>
          <w:tcPr>
            <w:tcW w:w="1800" w:type="dxa"/>
            <w:tcBorders>
              <w:top w:val="nil"/>
              <w:left w:val="nil"/>
              <w:bottom w:val="nil"/>
              <w:right w:val="nil"/>
            </w:tcBorders>
            <w:shd w:val="clear" w:color="auto" w:fill="auto"/>
            <w:noWrap/>
            <w:vAlign w:val="bottom"/>
          </w:tcPr>
          <w:p w14:paraId="0A34A1EF"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Russel Parker</w:t>
            </w:r>
          </w:p>
        </w:tc>
        <w:tc>
          <w:tcPr>
            <w:tcW w:w="2250" w:type="dxa"/>
            <w:tcBorders>
              <w:top w:val="nil"/>
              <w:left w:val="nil"/>
              <w:bottom w:val="nil"/>
              <w:right w:val="nil"/>
            </w:tcBorders>
            <w:shd w:val="clear" w:color="auto" w:fill="auto"/>
            <w:noWrap/>
            <w:vAlign w:val="center"/>
          </w:tcPr>
          <w:p w14:paraId="20350B6B"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DB0BFA" w14:paraId="4611EC60" w14:textId="77777777" w:rsidTr="0051144F">
        <w:trPr>
          <w:trHeight w:val="315"/>
        </w:trPr>
        <w:tc>
          <w:tcPr>
            <w:tcW w:w="1800" w:type="dxa"/>
            <w:tcBorders>
              <w:top w:val="nil"/>
              <w:left w:val="nil"/>
              <w:bottom w:val="single" w:sz="8" w:space="0" w:color="auto"/>
              <w:right w:val="nil"/>
            </w:tcBorders>
            <w:shd w:val="clear" w:color="auto" w:fill="auto"/>
            <w:noWrap/>
            <w:vAlign w:val="bottom"/>
          </w:tcPr>
          <w:p w14:paraId="61FD4292"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Liu Yuan</w:t>
            </w:r>
          </w:p>
        </w:tc>
        <w:tc>
          <w:tcPr>
            <w:tcW w:w="2250" w:type="dxa"/>
            <w:tcBorders>
              <w:top w:val="nil"/>
              <w:left w:val="nil"/>
              <w:bottom w:val="single" w:sz="8" w:space="0" w:color="auto"/>
              <w:right w:val="nil"/>
            </w:tcBorders>
            <w:shd w:val="clear" w:color="auto" w:fill="auto"/>
            <w:noWrap/>
            <w:vAlign w:val="center"/>
          </w:tcPr>
          <w:p w14:paraId="4BEFB57A"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bl>
    <w:p w14:paraId="38A5FDA9"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0"/>
          <w:szCs w:val="20"/>
        </w:rPr>
        <w:t>(Source : Results of data analysis using Microsoft Excel)</w:t>
      </w:r>
    </w:p>
    <w:p w14:paraId="53010D9E"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6A743C57"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083BBC90"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76BD8373"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5F68DA3F"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54898C4F"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3</w:t>
      </w:r>
      <w:r>
        <w:rPr>
          <w:rFonts w:ascii="Times New Roman" w:hAnsi="Times New Roman" w:cs="Times New Roman"/>
          <w:color w:val="000000" w:themeColor="text1"/>
          <w:sz w:val="20"/>
          <w:szCs w:val="20"/>
        </w:rPr>
        <w:t xml:space="preserve">. Ten authors with the highest number of citations on the research topics of </w:t>
      </w:r>
    </w:p>
    <w:p w14:paraId="3BD8A258"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livestock folding containers and sea toll</w:t>
      </w:r>
    </w:p>
    <w:tbl>
      <w:tblPr>
        <w:tblW w:w="4590" w:type="dxa"/>
        <w:tblInd w:w="2448" w:type="dxa"/>
        <w:tblLook w:val="04A0" w:firstRow="1" w:lastRow="0" w:firstColumn="1" w:lastColumn="0" w:noHBand="0" w:noVBand="1"/>
      </w:tblPr>
      <w:tblGrid>
        <w:gridCol w:w="2610"/>
        <w:gridCol w:w="1980"/>
      </w:tblGrid>
      <w:tr w:rsidR="00DB0BFA" w14:paraId="3CB0F54D" w14:textId="77777777" w:rsidTr="0051144F">
        <w:trPr>
          <w:trHeight w:val="330"/>
        </w:trPr>
        <w:tc>
          <w:tcPr>
            <w:tcW w:w="2610" w:type="dxa"/>
            <w:tcBorders>
              <w:top w:val="double" w:sz="6" w:space="0" w:color="auto"/>
              <w:left w:val="nil"/>
              <w:bottom w:val="single" w:sz="8" w:space="0" w:color="auto"/>
              <w:right w:val="nil"/>
            </w:tcBorders>
            <w:shd w:val="clear" w:color="auto" w:fill="auto"/>
            <w:noWrap/>
            <w:vAlign w:val="center"/>
          </w:tcPr>
          <w:p w14:paraId="00D8D62D"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color w:val="000000" w:themeColor="text1"/>
                <w:sz w:val="20"/>
                <w:szCs w:val="20"/>
              </w:rPr>
              <w:t>Authors</w:t>
            </w:r>
          </w:p>
        </w:tc>
        <w:tc>
          <w:tcPr>
            <w:tcW w:w="1980" w:type="dxa"/>
            <w:tcBorders>
              <w:top w:val="double" w:sz="6" w:space="0" w:color="auto"/>
              <w:left w:val="nil"/>
              <w:bottom w:val="single" w:sz="8" w:space="0" w:color="auto"/>
              <w:right w:val="nil"/>
            </w:tcBorders>
            <w:shd w:val="clear" w:color="auto" w:fill="auto"/>
            <w:noWrap/>
            <w:vAlign w:val="center"/>
          </w:tcPr>
          <w:p w14:paraId="199D2569"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Citations</w:t>
            </w:r>
          </w:p>
        </w:tc>
      </w:tr>
      <w:tr w:rsidR="00DB0BFA" w14:paraId="79A85CF3" w14:textId="77777777" w:rsidTr="0051144F">
        <w:trPr>
          <w:trHeight w:val="300"/>
        </w:trPr>
        <w:tc>
          <w:tcPr>
            <w:tcW w:w="2610" w:type="dxa"/>
            <w:tcBorders>
              <w:top w:val="nil"/>
              <w:left w:val="nil"/>
              <w:bottom w:val="nil"/>
              <w:right w:val="nil"/>
            </w:tcBorders>
            <w:shd w:val="clear" w:color="auto" w:fill="auto"/>
            <w:noWrap/>
            <w:vAlign w:val="bottom"/>
          </w:tcPr>
          <w:p w14:paraId="6BBF6D3D"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Stephen C. Bishop</w:t>
            </w:r>
          </w:p>
        </w:tc>
        <w:tc>
          <w:tcPr>
            <w:tcW w:w="1980" w:type="dxa"/>
            <w:tcBorders>
              <w:top w:val="nil"/>
              <w:left w:val="nil"/>
              <w:bottom w:val="nil"/>
              <w:right w:val="nil"/>
            </w:tcBorders>
            <w:shd w:val="clear" w:color="auto" w:fill="auto"/>
            <w:noWrap/>
            <w:vAlign w:val="center"/>
          </w:tcPr>
          <w:p w14:paraId="29CEB2A6"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w:t>
            </w:r>
          </w:p>
        </w:tc>
      </w:tr>
      <w:tr w:rsidR="00DB0BFA" w14:paraId="4E9AC499" w14:textId="77777777" w:rsidTr="0051144F">
        <w:trPr>
          <w:trHeight w:val="300"/>
        </w:trPr>
        <w:tc>
          <w:tcPr>
            <w:tcW w:w="2610" w:type="dxa"/>
            <w:tcBorders>
              <w:top w:val="nil"/>
              <w:left w:val="nil"/>
              <w:bottom w:val="nil"/>
              <w:right w:val="nil"/>
            </w:tcBorders>
            <w:shd w:val="clear" w:color="auto" w:fill="auto"/>
            <w:noWrap/>
            <w:vAlign w:val="bottom"/>
          </w:tcPr>
          <w:p w14:paraId="4B02BD87"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Saber Qanbari</w:t>
            </w:r>
          </w:p>
        </w:tc>
        <w:tc>
          <w:tcPr>
            <w:tcW w:w="1980" w:type="dxa"/>
            <w:tcBorders>
              <w:top w:val="nil"/>
              <w:left w:val="nil"/>
              <w:bottom w:val="nil"/>
              <w:right w:val="nil"/>
            </w:tcBorders>
            <w:shd w:val="clear" w:color="auto" w:fill="auto"/>
            <w:noWrap/>
            <w:vAlign w:val="center"/>
          </w:tcPr>
          <w:p w14:paraId="432DC992"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w:t>
            </w:r>
          </w:p>
        </w:tc>
      </w:tr>
      <w:tr w:rsidR="00DB0BFA" w14:paraId="47557FC5" w14:textId="77777777" w:rsidTr="0051144F">
        <w:trPr>
          <w:trHeight w:val="300"/>
        </w:trPr>
        <w:tc>
          <w:tcPr>
            <w:tcW w:w="2610" w:type="dxa"/>
            <w:tcBorders>
              <w:top w:val="nil"/>
              <w:left w:val="nil"/>
              <w:bottom w:val="nil"/>
              <w:right w:val="nil"/>
            </w:tcBorders>
            <w:shd w:val="clear" w:color="auto" w:fill="auto"/>
            <w:noWrap/>
            <w:vAlign w:val="bottom"/>
          </w:tcPr>
          <w:p w14:paraId="22750444"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Amir Hossein Gharehgozli</w:t>
            </w:r>
          </w:p>
        </w:tc>
        <w:tc>
          <w:tcPr>
            <w:tcW w:w="1980" w:type="dxa"/>
            <w:tcBorders>
              <w:top w:val="nil"/>
              <w:left w:val="nil"/>
              <w:bottom w:val="nil"/>
              <w:right w:val="nil"/>
            </w:tcBorders>
            <w:shd w:val="clear" w:color="auto" w:fill="auto"/>
            <w:noWrap/>
            <w:vAlign w:val="center"/>
          </w:tcPr>
          <w:p w14:paraId="7E3160A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w:t>
            </w:r>
          </w:p>
        </w:tc>
      </w:tr>
      <w:tr w:rsidR="00DB0BFA" w14:paraId="491D48D7" w14:textId="77777777" w:rsidTr="0051144F">
        <w:trPr>
          <w:trHeight w:val="300"/>
        </w:trPr>
        <w:tc>
          <w:tcPr>
            <w:tcW w:w="2610" w:type="dxa"/>
            <w:tcBorders>
              <w:top w:val="nil"/>
              <w:left w:val="nil"/>
              <w:bottom w:val="nil"/>
              <w:right w:val="nil"/>
            </w:tcBorders>
            <w:shd w:val="clear" w:color="auto" w:fill="auto"/>
            <w:noWrap/>
            <w:vAlign w:val="bottom"/>
          </w:tcPr>
          <w:p w14:paraId="36137CB6"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Dusan Ku</w:t>
            </w:r>
          </w:p>
        </w:tc>
        <w:tc>
          <w:tcPr>
            <w:tcW w:w="1980" w:type="dxa"/>
            <w:tcBorders>
              <w:top w:val="nil"/>
              <w:left w:val="nil"/>
              <w:bottom w:val="nil"/>
              <w:right w:val="nil"/>
            </w:tcBorders>
            <w:shd w:val="clear" w:color="auto" w:fill="auto"/>
            <w:noWrap/>
            <w:vAlign w:val="center"/>
          </w:tcPr>
          <w:p w14:paraId="24A42B49"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r>
      <w:tr w:rsidR="00DB0BFA" w14:paraId="4D843265" w14:textId="77777777" w:rsidTr="0051144F">
        <w:trPr>
          <w:trHeight w:val="300"/>
        </w:trPr>
        <w:tc>
          <w:tcPr>
            <w:tcW w:w="2610" w:type="dxa"/>
            <w:tcBorders>
              <w:top w:val="nil"/>
              <w:left w:val="nil"/>
              <w:bottom w:val="nil"/>
              <w:right w:val="nil"/>
            </w:tcBorders>
            <w:shd w:val="clear" w:color="auto" w:fill="auto"/>
            <w:noWrap/>
            <w:vAlign w:val="bottom"/>
          </w:tcPr>
          <w:p w14:paraId="0380383A"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 McClelland</w:t>
            </w:r>
          </w:p>
        </w:tc>
        <w:tc>
          <w:tcPr>
            <w:tcW w:w="1980" w:type="dxa"/>
            <w:tcBorders>
              <w:top w:val="nil"/>
              <w:left w:val="nil"/>
              <w:bottom w:val="nil"/>
              <w:right w:val="nil"/>
            </w:tcBorders>
            <w:shd w:val="clear" w:color="auto" w:fill="auto"/>
            <w:noWrap/>
            <w:vAlign w:val="center"/>
          </w:tcPr>
          <w:p w14:paraId="68F9AD8F"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r>
      <w:tr w:rsidR="00DB0BFA" w14:paraId="18EB4F33" w14:textId="77777777" w:rsidTr="0051144F">
        <w:trPr>
          <w:trHeight w:val="300"/>
        </w:trPr>
        <w:tc>
          <w:tcPr>
            <w:tcW w:w="2610" w:type="dxa"/>
            <w:tcBorders>
              <w:top w:val="nil"/>
              <w:left w:val="nil"/>
              <w:bottom w:val="nil"/>
              <w:right w:val="nil"/>
            </w:tcBorders>
            <w:shd w:val="clear" w:color="auto" w:fill="auto"/>
            <w:noWrap/>
            <w:vAlign w:val="bottom"/>
          </w:tcPr>
          <w:p w14:paraId="638E38A9"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Craig Martin</w:t>
            </w:r>
          </w:p>
        </w:tc>
        <w:tc>
          <w:tcPr>
            <w:tcW w:w="1980" w:type="dxa"/>
            <w:tcBorders>
              <w:top w:val="nil"/>
              <w:left w:val="nil"/>
              <w:bottom w:val="nil"/>
              <w:right w:val="nil"/>
            </w:tcBorders>
            <w:shd w:val="clear" w:color="auto" w:fill="auto"/>
            <w:noWrap/>
            <w:vAlign w:val="center"/>
          </w:tcPr>
          <w:p w14:paraId="6220A1C8"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r>
      <w:tr w:rsidR="00DB0BFA" w14:paraId="155CC046" w14:textId="77777777" w:rsidTr="0051144F">
        <w:trPr>
          <w:trHeight w:val="300"/>
        </w:trPr>
        <w:tc>
          <w:tcPr>
            <w:tcW w:w="2610" w:type="dxa"/>
            <w:tcBorders>
              <w:top w:val="nil"/>
              <w:left w:val="nil"/>
              <w:bottom w:val="nil"/>
              <w:right w:val="nil"/>
            </w:tcBorders>
            <w:shd w:val="clear" w:color="auto" w:fill="auto"/>
            <w:noWrap/>
            <w:vAlign w:val="bottom"/>
          </w:tcPr>
          <w:p w14:paraId="164A0D54"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Hui Zhao</w:t>
            </w:r>
          </w:p>
        </w:tc>
        <w:tc>
          <w:tcPr>
            <w:tcW w:w="1980" w:type="dxa"/>
            <w:tcBorders>
              <w:top w:val="nil"/>
              <w:left w:val="nil"/>
              <w:bottom w:val="nil"/>
              <w:right w:val="nil"/>
            </w:tcBorders>
            <w:shd w:val="clear" w:color="auto" w:fill="auto"/>
            <w:noWrap/>
            <w:vAlign w:val="center"/>
          </w:tcPr>
          <w:p w14:paraId="31EE1307"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r>
      <w:tr w:rsidR="00DB0BFA" w14:paraId="600CFB07" w14:textId="77777777" w:rsidTr="0051144F">
        <w:trPr>
          <w:trHeight w:val="300"/>
        </w:trPr>
        <w:tc>
          <w:tcPr>
            <w:tcW w:w="2610" w:type="dxa"/>
            <w:tcBorders>
              <w:top w:val="nil"/>
              <w:left w:val="nil"/>
              <w:bottom w:val="nil"/>
              <w:right w:val="nil"/>
            </w:tcBorders>
            <w:shd w:val="clear" w:color="auto" w:fill="auto"/>
            <w:noWrap/>
            <w:vAlign w:val="bottom"/>
          </w:tcPr>
          <w:p w14:paraId="2248F0E8"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Carolina Figueroa</w:t>
            </w:r>
          </w:p>
        </w:tc>
        <w:tc>
          <w:tcPr>
            <w:tcW w:w="1980" w:type="dxa"/>
            <w:tcBorders>
              <w:top w:val="nil"/>
              <w:left w:val="nil"/>
              <w:bottom w:val="nil"/>
              <w:right w:val="nil"/>
            </w:tcBorders>
            <w:shd w:val="clear" w:color="auto" w:fill="auto"/>
            <w:noWrap/>
            <w:vAlign w:val="center"/>
          </w:tcPr>
          <w:p w14:paraId="634EC5F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r>
      <w:tr w:rsidR="00DB0BFA" w14:paraId="517D5BDC" w14:textId="77777777" w:rsidTr="0051144F">
        <w:trPr>
          <w:trHeight w:val="300"/>
        </w:trPr>
        <w:tc>
          <w:tcPr>
            <w:tcW w:w="2610" w:type="dxa"/>
            <w:tcBorders>
              <w:top w:val="nil"/>
              <w:left w:val="nil"/>
              <w:bottom w:val="nil"/>
              <w:right w:val="nil"/>
            </w:tcBorders>
            <w:shd w:val="clear" w:color="auto" w:fill="auto"/>
            <w:noWrap/>
            <w:vAlign w:val="bottom"/>
          </w:tcPr>
          <w:p w14:paraId="6D073021"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 Saravanan</w:t>
            </w:r>
          </w:p>
        </w:tc>
        <w:tc>
          <w:tcPr>
            <w:tcW w:w="1980" w:type="dxa"/>
            <w:tcBorders>
              <w:top w:val="nil"/>
              <w:left w:val="nil"/>
              <w:bottom w:val="nil"/>
              <w:right w:val="nil"/>
            </w:tcBorders>
            <w:shd w:val="clear" w:color="auto" w:fill="auto"/>
            <w:noWrap/>
            <w:vAlign w:val="center"/>
          </w:tcPr>
          <w:p w14:paraId="47CE541B"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DB0BFA" w14:paraId="65225688" w14:textId="77777777" w:rsidTr="0051144F">
        <w:trPr>
          <w:trHeight w:val="315"/>
        </w:trPr>
        <w:tc>
          <w:tcPr>
            <w:tcW w:w="2610" w:type="dxa"/>
            <w:tcBorders>
              <w:top w:val="nil"/>
              <w:left w:val="nil"/>
              <w:bottom w:val="single" w:sz="8" w:space="0" w:color="auto"/>
              <w:right w:val="nil"/>
            </w:tcBorders>
            <w:shd w:val="clear" w:color="auto" w:fill="auto"/>
            <w:noWrap/>
            <w:vAlign w:val="bottom"/>
          </w:tcPr>
          <w:p w14:paraId="5139EEC6" w14:textId="77777777" w:rsidR="00DB0BFA" w:rsidRDefault="00DB0BFA" w:rsidP="00116A4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Morten Svindland</w:t>
            </w:r>
          </w:p>
        </w:tc>
        <w:tc>
          <w:tcPr>
            <w:tcW w:w="1980" w:type="dxa"/>
            <w:tcBorders>
              <w:top w:val="nil"/>
              <w:left w:val="nil"/>
              <w:bottom w:val="single" w:sz="8" w:space="0" w:color="auto"/>
              <w:right w:val="nil"/>
            </w:tcBorders>
            <w:shd w:val="clear" w:color="auto" w:fill="auto"/>
            <w:noWrap/>
            <w:vAlign w:val="center"/>
          </w:tcPr>
          <w:p w14:paraId="3689F25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r>
    </w:tbl>
    <w:p w14:paraId="715E8D53"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(Source : Results of data analysis using Microsoft Excel)</w:t>
      </w:r>
    </w:p>
    <w:p w14:paraId="536094E6"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3B3D1D30"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4</w:t>
      </w:r>
      <w:r>
        <w:rPr>
          <w:rFonts w:ascii="Times New Roman" w:hAnsi="Times New Roman" w:cs="Times New Roman"/>
          <w:color w:val="000000" w:themeColor="text1"/>
          <w:sz w:val="20"/>
          <w:szCs w:val="20"/>
        </w:rPr>
        <w:t xml:space="preserve">. The top 20 documents with the highest number of citations on the research topics of </w:t>
      </w:r>
    </w:p>
    <w:p w14:paraId="329587EA"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livestock folding containers and sea toll</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90"/>
        <w:gridCol w:w="1170"/>
      </w:tblGrid>
      <w:tr w:rsidR="00DB0BFA" w14:paraId="1945E788" w14:textId="77777777" w:rsidTr="0051144F">
        <w:tc>
          <w:tcPr>
            <w:tcW w:w="8190" w:type="dxa"/>
            <w:shd w:val="clear" w:color="auto" w:fill="auto"/>
          </w:tcPr>
          <w:p w14:paraId="2D8BEECE" w14:textId="77777777" w:rsidR="00DB0BFA" w:rsidRDefault="00DB0BFA" w:rsidP="00116A41">
            <w:pPr>
              <w:widowControl w:val="0"/>
              <w:spacing w:after="0" w:line="240" w:lineRule="auto"/>
              <w:jc w:val="center"/>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zh-CN"/>
              </w:rPr>
              <w:t>Documents</w:t>
            </w:r>
          </w:p>
        </w:tc>
        <w:tc>
          <w:tcPr>
            <w:tcW w:w="1170" w:type="dxa"/>
            <w:shd w:val="clear" w:color="auto" w:fill="auto"/>
          </w:tcPr>
          <w:p w14:paraId="6C5523A8"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kern w:val="2"/>
                <w:sz w:val="14"/>
                <w:szCs w:val="14"/>
                <w:lang w:eastAsia="zh-CN"/>
              </w:rPr>
              <w:t>Publication year</w:t>
            </w:r>
          </w:p>
        </w:tc>
      </w:tr>
      <w:tr w:rsidR="00DB0BFA" w14:paraId="5BB1C395" w14:textId="77777777" w:rsidTr="0051144F">
        <w:tc>
          <w:tcPr>
            <w:tcW w:w="8190" w:type="dxa"/>
            <w:shd w:val="clear" w:color="auto" w:fill="auto"/>
          </w:tcPr>
          <w:p w14:paraId="29D01DDB" w14:textId="77777777" w:rsidR="00DB0BFA" w:rsidRDefault="00DB0BFA" w:rsidP="00116A41">
            <w:pPr>
              <w:widowControl w:val="0"/>
              <w:spacing w:after="0" w:line="240" w:lineRule="auto"/>
              <w:jc w:val="center"/>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zh-CN"/>
              </w:rPr>
              <w:t>Genomics and disease resistance studies in livestock</w:t>
            </w:r>
          </w:p>
        </w:tc>
        <w:tc>
          <w:tcPr>
            <w:tcW w:w="1170" w:type="dxa"/>
            <w:shd w:val="clear" w:color="auto" w:fill="auto"/>
            <w:vAlign w:val="center"/>
          </w:tcPr>
          <w:p w14:paraId="30161F0B"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2014</w:t>
            </w:r>
          </w:p>
        </w:tc>
      </w:tr>
      <w:tr w:rsidR="00DB0BFA" w14:paraId="403A5BCF" w14:textId="77777777" w:rsidTr="0051144F">
        <w:tc>
          <w:tcPr>
            <w:tcW w:w="8190" w:type="dxa"/>
            <w:shd w:val="clear" w:color="auto" w:fill="auto"/>
          </w:tcPr>
          <w:p w14:paraId="4DA91C1F" w14:textId="77777777" w:rsidR="00DB0BFA" w:rsidRDefault="00DB0BFA" w:rsidP="00116A41">
            <w:pPr>
              <w:widowControl w:val="0"/>
              <w:spacing w:after="0" w:line="240" w:lineRule="auto"/>
              <w:jc w:val="center"/>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zh-CN"/>
              </w:rPr>
              <w:t>Mapping signatures of positive selection in the genome of livestock</w:t>
            </w:r>
          </w:p>
        </w:tc>
        <w:tc>
          <w:tcPr>
            <w:tcW w:w="1170" w:type="dxa"/>
            <w:shd w:val="clear" w:color="auto" w:fill="auto"/>
            <w:vAlign w:val="center"/>
          </w:tcPr>
          <w:p w14:paraId="6BA8A7CD"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2014</w:t>
            </w:r>
          </w:p>
        </w:tc>
      </w:tr>
      <w:tr w:rsidR="00DB0BFA" w14:paraId="7B074477" w14:textId="77777777" w:rsidTr="0051144F">
        <w:tc>
          <w:tcPr>
            <w:tcW w:w="8190" w:type="dxa"/>
            <w:shd w:val="clear" w:color="auto" w:fill="auto"/>
          </w:tcPr>
          <w:p w14:paraId="19E0E340" w14:textId="77777777" w:rsidR="00DB0BFA" w:rsidRDefault="00DB0BFA" w:rsidP="00116A41">
            <w:pPr>
              <w:widowControl w:val="0"/>
              <w:spacing w:after="0" w:line="240" w:lineRule="auto"/>
              <w:jc w:val="center"/>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zh-CN"/>
              </w:rPr>
              <w:t>Sea container terminals: New technologies and OR models</w:t>
            </w:r>
          </w:p>
        </w:tc>
        <w:tc>
          <w:tcPr>
            <w:tcW w:w="1170" w:type="dxa"/>
            <w:shd w:val="clear" w:color="auto" w:fill="auto"/>
            <w:vAlign w:val="center"/>
          </w:tcPr>
          <w:p w14:paraId="637AD9ED"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2015</w:t>
            </w:r>
          </w:p>
        </w:tc>
      </w:tr>
      <w:tr w:rsidR="00DB0BFA" w14:paraId="1CAE09BD" w14:textId="77777777" w:rsidTr="0051144F">
        <w:tc>
          <w:tcPr>
            <w:tcW w:w="8190" w:type="dxa"/>
            <w:shd w:val="clear" w:color="auto" w:fill="auto"/>
          </w:tcPr>
          <w:p w14:paraId="60DA9498" w14:textId="77777777" w:rsidR="00DB0BFA" w:rsidRDefault="00DB0BFA" w:rsidP="00116A41">
            <w:pPr>
              <w:widowControl w:val="0"/>
              <w:spacing w:after="0" w:line="240" w:lineRule="auto"/>
              <w:jc w:val="center"/>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zh-CN"/>
              </w:rPr>
              <w:t>Container relocation problem with time windows for container departure</w:t>
            </w:r>
          </w:p>
        </w:tc>
        <w:tc>
          <w:tcPr>
            <w:tcW w:w="1170" w:type="dxa"/>
            <w:shd w:val="clear" w:color="auto" w:fill="auto"/>
            <w:vAlign w:val="center"/>
          </w:tcPr>
          <w:p w14:paraId="3C8385BA"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2016</w:t>
            </w:r>
          </w:p>
        </w:tc>
      </w:tr>
      <w:tr w:rsidR="00DB0BFA" w14:paraId="4091A5D4" w14:textId="77777777" w:rsidTr="0051144F">
        <w:tc>
          <w:tcPr>
            <w:tcW w:w="8190" w:type="dxa"/>
            <w:shd w:val="clear" w:color="auto" w:fill="auto"/>
          </w:tcPr>
          <w:p w14:paraId="5BB850FB" w14:textId="77777777" w:rsidR="00DB0BFA" w:rsidRDefault="00DB0BFA" w:rsidP="00116A41">
            <w:pPr>
              <w:widowControl w:val="0"/>
              <w:spacing w:after="0" w:line="240" w:lineRule="auto"/>
              <w:jc w:val="center"/>
              <w:rPr>
                <w:rFonts w:ascii="Times New Roman" w:eastAsia="SimSun" w:hAnsi="Times New Roman" w:cs="Times New Roman"/>
                <w:kern w:val="2"/>
                <w:sz w:val="16"/>
                <w:szCs w:val="16"/>
                <w:lang w:eastAsia="zh-CN"/>
              </w:rPr>
            </w:pPr>
            <w:r>
              <w:rPr>
                <w:rFonts w:ascii="Times New Roman" w:eastAsia="SimSun" w:hAnsi="Times New Roman" w:cs="Times New Roman"/>
                <w:kern w:val="2"/>
                <w:sz w:val="16"/>
                <w:szCs w:val="16"/>
                <w:lang w:eastAsia="zh-CN"/>
              </w:rPr>
              <w:t>Type and number of environmental impact categories used in livestock life cycle assessment: A systematic review</w:t>
            </w:r>
          </w:p>
        </w:tc>
        <w:tc>
          <w:tcPr>
            <w:tcW w:w="1170" w:type="dxa"/>
            <w:shd w:val="clear" w:color="auto" w:fill="auto"/>
            <w:vAlign w:val="center"/>
          </w:tcPr>
          <w:p w14:paraId="4907854D"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2018</w:t>
            </w:r>
          </w:p>
        </w:tc>
      </w:tr>
      <w:tr w:rsidR="00DB0BFA" w14:paraId="22199B1D" w14:textId="77777777" w:rsidTr="0051144F">
        <w:tc>
          <w:tcPr>
            <w:tcW w:w="8190" w:type="dxa"/>
            <w:shd w:val="clear" w:color="auto" w:fill="auto"/>
          </w:tcPr>
          <w:p w14:paraId="2E937B1A" w14:textId="77777777" w:rsidR="00DB0BFA" w:rsidRDefault="00DB0BFA" w:rsidP="00116A41">
            <w:pPr>
              <w:widowControl w:val="0"/>
              <w:spacing w:after="0" w:line="240" w:lineRule="auto"/>
              <w:jc w:val="center"/>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zh-CN"/>
              </w:rPr>
              <w:t>shipping container</w:t>
            </w:r>
          </w:p>
        </w:tc>
        <w:tc>
          <w:tcPr>
            <w:tcW w:w="1170" w:type="dxa"/>
            <w:shd w:val="clear" w:color="auto" w:fill="auto"/>
            <w:vAlign w:val="center"/>
          </w:tcPr>
          <w:p w14:paraId="6AE65A0D"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2016</w:t>
            </w:r>
          </w:p>
        </w:tc>
      </w:tr>
      <w:tr w:rsidR="00DB0BFA" w14:paraId="64D091AA" w14:textId="77777777" w:rsidTr="0051144F">
        <w:tc>
          <w:tcPr>
            <w:tcW w:w="8190" w:type="dxa"/>
            <w:shd w:val="clear" w:color="auto" w:fill="auto"/>
          </w:tcPr>
          <w:p w14:paraId="4B605AB6" w14:textId="77777777" w:rsidR="00DB0BFA" w:rsidRDefault="00DB0BFA" w:rsidP="00116A41">
            <w:pPr>
              <w:widowControl w:val="0"/>
              <w:spacing w:after="0" w:line="240" w:lineRule="auto"/>
              <w:jc w:val="center"/>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zh-CN"/>
              </w:rPr>
              <w:t>Study on China-EU container shipping network in the context of Northern Sea Route</w:t>
            </w:r>
          </w:p>
        </w:tc>
        <w:tc>
          <w:tcPr>
            <w:tcW w:w="1170" w:type="dxa"/>
            <w:shd w:val="clear" w:color="auto" w:fill="auto"/>
            <w:vAlign w:val="center"/>
          </w:tcPr>
          <w:p w14:paraId="4A84D447"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2016</w:t>
            </w:r>
          </w:p>
        </w:tc>
      </w:tr>
      <w:tr w:rsidR="00DB0BFA" w14:paraId="65D75F27" w14:textId="77777777" w:rsidTr="0051144F">
        <w:tc>
          <w:tcPr>
            <w:tcW w:w="8190" w:type="dxa"/>
            <w:shd w:val="clear" w:color="auto" w:fill="auto"/>
          </w:tcPr>
          <w:p w14:paraId="307119D9"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kern w:val="2"/>
                <w:sz w:val="14"/>
                <w:szCs w:val="14"/>
                <w:lang w:eastAsia="zh-CN"/>
              </w:rPr>
              <w:t>Coinfection takes its toll: Sea lice override the protective effects of vaccination against a bacterial pathogen in Atlantic salmon</w:t>
            </w:r>
          </w:p>
        </w:tc>
        <w:tc>
          <w:tcPr>
            <w:tcW w:w="1170" w:type="dxa"/>
            <w:shd w:val="clear" w:color="auto" w:fill="auto"/>
            <w:vAlign w:val="center"/>
          </w:tcPr>
          <w:p w14:paraId="7DF973AB"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2017</w:t>
            </w:r>
          </w:p>
        </w:tc>
      </w:tr>
      <w:tr w:rsidR="00DB0BFA" w14:paraId="1E92C5E7" w14:textId="77777777" w:rsidTr="0051144F">
        <w:tc>
          <w:tcPr>
            <w:tcW w:w="8190" w:type="dxa"/>
            <w:shd w:val="clear" w:color="auto" w:fill="auto"/>
          </w:tcPr>
          <w:p w14:paraId="126A5B13" w14:textId="77777777" w:rsidR="00DB0BFA" w:rsidRDefault="00DB0BFA" w:rsidP="00116A41">
            <w:pPr>
              <w:widowControl w:val="0"/>
              <w:spacing w:after="0" w:line="240" w:lineRule="auto"/>
              <w:jc w:val="center"/>
              <w:rPr>
                <w:rFonts w:ascii="Times New Roman" w:eastAsia="SimSun" w:hAnsi="Times New Roman" w:cs="Times New Roman"/>
                <w:kern w:val="2"/>
                <w:sz w:val="18"/>
                <w:szCs w:val="18"/>
                <w:lang w:eastAsia="zh-CN"/>
              </w:rPr>
            </w:pPr>
            <w:r>
              <w:rPr>
                <w:rFonts w:ascii="Times New Roman" w:eastAsia="SimSun" w:hAnsi="Times New Roman" w:cs="Times New Roman"/>
                <w:kern w:val="2"/>
                <w:sz w:val="18"/>
                <w:szCs w:val="18"/>
                <w:lang w:eastAsia="zh-CN"/>
              </w:rPr>
              <w:t>Selection signatures in livestock genome: A review of concepts, approaches and applications</w:t>
            </w:r>
          </w:p>
        </w:tc>
        <w:tc>
          <w:tcPr>
            <w:tcW w:w="1170" w:type="dxa"/>
            <w:shd w:val="clear" w:color="auto" w:fill="auto"/>
            <w:vAlign w:val="center"/>
          </w:tcPr>
          <w:p w14:paraId="15349DB4"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2020</w:t>
            </w:r>
          </w:p>
        </w:tc>
      </w:tr>
      <w:tr w:rsidR="00DB0BFA" w14:paraId="1CE54468" w14:textId="77777777" w:rsidTr="0051144F">
        <w:tc>
          <w:tcPr>
            <w:tcW w:w="8190" w:type="dxa"/>
            <w:shd w:val="clear" w:color="auto" w:fill="auto"/>
          </w:tcPr>
          <w:p w14:paraId="7FBEFBA4"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kern w:val="2"/>
                <w:sz w:val="14"/>
                <w:szCs w:val="14"/>
                <w:lang w:eastAsia="zh-CN"/>
              </w:rPr>
              <w:t>The environmental effects of emission control area regulations on short sea shipping in Northern Europe: The case of container feeder vessels</w:t>
            </w:r>
          </w:p>
        </w:tc>
        <w:tc>
          <w:tcPr>
            <w:tcW w:w="1170" w:type="dxa"/>
            <w:shd w:val="clear" w:color="auto" w:fill="auto"/>
            <w:vAlign w:val="center"/>
          </w:tcPr>
          <w:p w14:paraId="5CC8C2C7"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2018</w:t>
            </w:r>
          </w:p>
        </w:tc>
      </w:tr>
      <w:tr w:rsidR="00DB0BFA" w14:paraId="26E61C2F" w14:textId="77777777" w:rsidTr="0051144F">
        <w:tc>
          <w:tcPr>
            <w:tcW w:w="8190" w:type="dxa"/>
            <w:shd w:val="clear" w:color="auto" w:fill="auto"/>
          </w:tcPr>
          <w:p w14:paraId="227E03C7" w14:textId="77777777" w:rsidR="00DB0BFA" w:rsidRDefault="00DB0BFA" w:rsidP="00116A41">
            <w:pPr>
              <w:widowControl w:val="0"/>
              <w:spacing w:after="0" w:line="240" w:lineRule="auto"/>
              <w:jc w:val="center"/>
              <w:rPr>
                <w:rFonts w:ascii="Times New Roman" w:eastAsia="SimSun" w:hAnsi="Times New Roman" w:cs="Times New Roman"/>
                <w:kern w:val="2"/>
                <w:sz w:val="20"/>
                <w:szCs w:val="20"/>
                <w:lang w:eastAsia="zh-CN"/>
              </w:rPr>
            </w:pPr>
            <w:r>
              <w:rPr>
                <w:rFonts w:ascii="Times New Roman" w:eastAsia="SimSun" w:hAnsi="Times New Roman" w:cs="Times New Roman"/>
                <w:kern w:val="2"/>
                <w:sz w:val="20"/>
                <w:szCs w:val="20"/>
                <w:lang w:eastAsia="zh-CN"/>
              </w:rPr>
              <w:lastRenderedPageBreak/>
              <w:t>Economic feasibility of an NSR/SCR-combined container service on the Asia-Europe lane: a new approach dynamically considering sea ice extent</w:t>
            </w:r>
          </w:p>
        </w:tc>
        <w:tc>
          <w:tcPr>
            <w:tcW w:w="1170" w:type="dxa"/>
            <w:shd w:val="clear" w:color="auto" w:fill="auto"/>
            <w:vAlign w:val="center"/>
          </w:tcPr>
          <w:p w14:paraId="5763B365"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2018</w:t>
            </w:r>
          </w:p>
        </w:tc>
      </w:tr>
      <w:tr w:rsidR="00DB0BFA" w14:paraId="51989FF7" w14:textId="77777777" w:rsidTr="0051144F">
        <w:tc>
          <w:tcPr>
            <w:tcW w:w="8190" w:type="dxa"/>
            <w:shd w:val="clear" w:color="auto" w:fill="auto"/>
          </w:tcPr>
          <w:p w14:paraId="64D3FF87" w14:textId="77777777" w:rsidR="00DB0BFA" w:rsidRDefault="00DB0BFA" w:rsidP="00116A41">
            <w:pPr>
              <w:widowControl w:val="0"/>
              <w:spacing w:after="0" w:line="240" w:lineRule="auto"/>
              <w:jc w:val="center"/>
              <w:rPr>
                <w:rFonts w:ascii="Times New Roman" w:eastAsia="SimSun" w:hAnsi="Times New Roman" w:cs="Times New Roman"/>
                <w:kern w:val="2"/>
                <w:sz w:val="18"/>
                <w:szCs w:val="18"/>
                <w:lang w:eastAsia="zh-CN"/>
              </w:rPr>
            </w:pPr>
            <w:r>
              <w:rPr>
                <w:rFonts w:ascii="Times New Roman" w:eastAsia="SimSun" w:hAnsi="Times New Roman" w:cs="Times New Roman"/>
                <w:kern w:val="2"/>
                <w:sz w:val="18"/>
                <w:szCs w:val="18"/>
                <w:lang w:eastAsia="zh-CN"/>
              </w:rPr>
              <w:t>LNG-fuelled container ship sailing on the Arctic Sea: Economic and emission assessment</w:t>
            </w:r>
          </w:p>
        </w:tc>
        <w:tc>
          <w:tcPr>
            <w:tcW w:w="1170" w:type="dxa"/>
            <w:shd w:val="clear" w:color="auto" w:fill="auto"/>
            <w:vAlign w:val="center"/>
          </w:tcPr>
          <w:p w14:paraId="33FED0AF"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2020</w:t>
            </w:r>
          </w:p>
        </w:tc>
      </w:tr>
      <w:tr w:rsidR="00DB0BFA" w14:paraId="3E7AD358" w14:textId="77777777" w:rsidTr="0051144F">
        <w:tc>
          <w:tcPr>
            <w:tcW w:w="8190" w:type="dxa"/>
            <w:shd w:val="clear" w:color="auto" w:fill="auto"/>
          </w:tcPr>
          <w:p w14:paraId="673DB120" w14:textId="77777777" w:rsidR="00DB0BFA" w:rsidRDefault="00DB0BFA" w:rsidP="00116A41">
            <w:pPr>
              <w:widowControl w:val="0"/>
              <w:spacing w:after="0" w:line="240" w:lineRule="auto"/>
              <w:jc w:val="center"/>
              <w:rPr>
                <w:rFonts w:ascii="Times New Roman" w:eastAsia="SimSun" w:hAnsi="Times New Roman" w:cs="Times New Roman"/>
                <w:kern w:val="2"/>
                <w:sz w:val="18"/>
                <w:szCs w:val="18"/>
                <w:lang w:eastAsia="zh-CN"/>
              </w:rPr>
            </w:pPr>
            <w:r>
              <w:rPr>
                <w:rFonts w:ascii="Times New Roman" w:eastAsia="SimSun" w:hAnsi="Times New Roman" w:cs="Times New Roman"/>
                <w:kern w:val="2"/>
                <w:sz w:val="18"/>
                <w:szCs w:val="18"/>
                <w:lang w:eastAsia="zh-CN"/>
              </w:rPr>
              <w:t>Perceptions of antibiotic use in livestock farming in Germany, Italy and the United States</w:t>
            </w:r>
          </w:p>
        </w:tc>
        <w:tc>
          <w:tcPr>
            <w:tcW w:w="1170" w:type="dxa"/>
            <w:shd w:val="clear" w:color="auto" w:fill="auto"/>
            <w:vAlign w:val="center"/>
          </w:tcPr>
          <w:p w14:paraId="44C11621"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2020</w:t>
            </w:r>
          </w:p>
        </w:tc>
      </w:tr>
      <w:tr w:rsidR="00DB0BFA" w14:paraId="68D8967D" w14:textId="77777777" w:rsidTr="0051144F">
        <w:tc>
          <w:tcPr>
            <w:tcW w:w="8190" w:type="dxa"/>
            <w:shd w:val="clear" w:color="auto" w:fill="auto"/>
          </w:tcPr>
          <w:p w14:paraId="090AAB44" w14:textId="77777777" w:rsidR="00DB0BFA" w:rsidRDefault="00DB0BFA" w:rsidP="00116A41">
            <w:pPr>
              <w:widowControl w:val="0"/>
              <w:spacing w:after="0" w:line="240" w:lineRule="auto"/>
              <w:jc w:val="center"/>
              <w:rPr>
                <w:rFonts w:ascii="Times New Roman" w:eastAsia="SimSun" w:hAnsi="Times New Roman" w:cs="Times New Roman"/>
                <w:kern w:val="2"/>
                <w:sz w:val="18"/>
                <w:szCs w:val="18"/>
                <w:lang w:eastAsia="zh-CN"/>
              </w:rPr>
            </w:pPr>
            <w:r>
              <w:rPr>
                <w:rFonts w:ascii="Times New Roman" w:eastAsia="SimSun" w:hAnsi="Times New Roman" w:cs="Times New Roman"/>
                <w:kern w:val="2"/>
                <w:sz w:val="18"/>
                <w:szCs w:val="18"/>
                <w:lang w:eastAsia="zh-CN"/>
              </w:rPr>
              <w:t>Scheduling of container-handling equipment during the loading process at an automated container terminal</w:t>
            </w:r>
          </w:p>
        </w:tc>
        <w:tc>
          <w:tcPr>
            <w:tcW w:w="1170" w:type="dxa"/>
            <w:shd w:val="clear" w:color="auto" w:fill="auto"/>
            <w:vAlign w:val="center"/>
          </w:tcPr>
          <w:p w14:paraId="79591070"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2020</w:t>
            </w:r>
          </w:p>
        </w:tc>
      </w:tr>
      <w:tr w:rsidR="00DB0BFA" w14:paraId="5282BB74" w14:textId="77777777" w:rsidTr="0051144F">
        <w:tc>
          <w:tcPr>
            <w:tcW w:w="8190" w:type="dxa"/>
            <w:shd w:val="clear" w:color="auto" w:fill="auto"/>
          </w:tcPr>
          <w:p w14:paraId="581238B6" w14:textId="77777777" w:rsidR="00DB0BFA" w:rsidRDefault="00DB0BFA" w:rsidP="00116A41">
            <w:pPr>
              <w:widowControl w:val="0"/>
              <w:spacing w:after="0" w:line="240" w:lineRule="auto"/>
              <w:jc w:val="center"/>
              <w:rPr>
                <w:rFonts w:ascii="Times New Roman" w:eastAsia="SimSun" w:hAnsi="Times New Roman" w:cs="Times New Roman"/>
                <w:kern w:val="2"/>
                <w:sz w:val="18"/>
                <w:szCs w:val="18"/>
                <w:lang w:eastAsia="zh-CN"/>
              </w:rPr>
            </w:pPr>
            <w:r>
              <w:rPr>
                <w:rFonts w:ascii="Times New Roman" w:eastAsia="SimSun" w:hAnsi="Times New Roman" w:cs="Times New Roman"/>
                <w:kern w:val="2"/>
                <w:sz w:val="18"/>
                <w:szCs w:val="18"/>
                <w:lang w:eastAsia="zh-CN"/>
              </w:rPr>
              <w:t>Berth allocation in container terminals that service feeder ships and deep-sea vessels</w:t>
            </w:r>
          </w:p>
        </w:tc>
        <w:tc>
          <w:tcPr>
            <w:tcW w:w="1170" w:type="dxa"/>
            <w:shd w:val="clear" w:color="auto" w:fill="auto"/>
            <w:vAlign w:val="center"/>
          </w:tcPr>
          <w:p w14:paraId="4E168F42"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2016</w:t>
            </w:r>
          </w:p>
        </w:tc>
      </w:tr>
      <w:tr w:rsidR="00DB0BFA" w14:paraId="6975748C" w14:textId="77777777" w:rsidTr="0051144F">
        <w:tc>
          <w:tcPr>
            <w:tcW w:w="8190" w:type="dxa"/>
            <w:shd w:val="clear" w:color="auto" w:fill="auto"/>
          </w:tcPr>
          <w:p w14:paraId="7C5E413B" w14:textId="77777777" w:rsidR="00DB0BFA" w:rsidRDefault="00DB0BFA" w:rsidP="00116A41">
            <w:pPr>
              <w:widowControl w:val="0"/>
              <w:spacing w:after="0" w:line="240" w:lineRule="auto"/>
              <w:jc w:val="center"/>
              <w:rPr>
                <w:rFonts w:ascii="Times New Roman" w:eastAsia="SimSun" w:hAnsi="Times New Roman" w:cs="Times New Roman"/>
                <w:kern w:val="2"/>
                <w:sz w:val="16"/>
                <w:szCs w:val="16"/>
                <w:lang w:eastAsia="zh-CN"/>
              </w:rPr>
            </w:pPr>
            <w:r>
              <w:rPr>
                <w:rFonts w:ascii="Times New Roman" w:eastAsia="SimSun" w:hAnsi="Times New Roman" w:cs="Times New Roman"/>
                <w:kern w:val="2"/>
                <w:sz w:val="16"/>
                <w:szCs w:val="16"/>
                <w:lang w:eastAsia="zh-CN"/>
              </w:rPr>
              <w:t>Haematological changes and plasma fluid dynamics in livestock during thermal stress, and response to mitigative measures</w:t>
            </w:r>
          </w:p>
        </w:tc>
        <w:tc>
          <w:tcPr>
            <w:tcW w:w="1170" w:type="dxa"/>
            <w:shd w:val="clear" w:color="auto" w:fill="auto"/>
            <w:vAlign w:val="center"/>
          </w:tcPr>
          <w:p w14:paraId="46F96A72"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2018</w:t>
            </w:r>
          </w:p>
        </w:tc>
      </w:tr>
      <w:tr w:rsidR="00DB0BFA" w14:paraId="1BA402CB" w14:textId="77777777" w:rsidTr="0051144F">
        <w:tc>
          <w:tcPr>
            <w:tcW w:w="8190" w:type="dxa"/>
            <w:shd w:val="clear" w:color="auto" w:fill="auto"/>
          </w:tcPr>
          <w:p w14:paraId="5A051698" w14:textId="77777777" w:rsidR="00DB0BFA" w:rsidRDefault="00DB0BFA" w:rsidP="00116A41">
            <w:pPr>
              <w:widowControl w:val="0"/>
              <w:spacing w:after="0" w:line="240" w:lineRule="auto"/>
              <w:jc w:val="center"/>
              <w:rPr>
                <w:rFonts w:ascii="Times New Roman" w:eastAsia="SimSun" w:hAnsi="Times New Roman" w:cs="Times New Roman"/>
                <w:kern w:val="2"/>
                <w:sz w:val="18"/>
                <w:szCs w:val="18"/>
                <w:lang w:eastAsia="zh-CN"/>
              </w:rPr>
            </w:pPr>
            <w:r>
              <w:rPr>
                <w:rFonts w:ascii="Times New Roman" w:eastAsia="SimSun" w:hAnsi="Times New Roman" w:cs="Times New Roman"/>
                <w:kern w:val="2"/>
                <w:sz w:val="18"/>
                <w:szCs w:val="18"/>
                <w:lang w:eastAsia="zh-CN"/>
              </w:rPr>
              <w:t>The feeder network design problem: Application to container services in the Black Sea region</w:t>
            </w:r>
          </w:p>
        </w:tc>
        <w:tc>
          <w:tcPr>
            <w:tcW w:w="1170" w:type="dxa"/>
            <w:shd w:val="clear" w:color="auto" w:fill="auto"/>
            <w:vAlign w:val="center"/>
          </w:tcPr>
          <w:p w14:paraId="1040A91A"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2014</w:t>
            </w:r>
          </w:p>
        </w:tc>
      </w:tr>
      <w:tr w:rsidR="00DB0BFA" w14:paraId="2EA5EE8A" w14:textId="77777777" w:rsidTr="0051144F">
        <w:tc>
          <w:tcPr>
            <w:tcW w:w="8190" w:type="dxa"/>
            <w:shd w:val="clear" w:color="auto" w:fill="auto"/>
          </w:tcPr>
          <w:p w14:paraId="7E0BEFFF" w14:textId="77777777" w:rsidR="00DB0BFA" w:rsidRDefault="00DB0BFA" w:rsidP="00116A41">
            <w:pPr>
              <w:widowControl w:val="0"/>
              <w:spacing w:after="0" w:line="240" w:lineRule="auto"/>
              <w:jc w:val="center"/>
              <w:rPr>
                <w:rFonts w:ascii="Times New Roman" w:eastAsia="SimSun" w:hAnsi="Times New Roman" w:cs="Times New Roman"/>
                <w:kern w:val="2"/>
                <w:sz w:val="18"/>
                <w:szCs w:val="18"/>
                <w:lang w:eastAsia="zh-CN"/>
              </w:rPr>
            </w:pPr>
            <w:r>
              <w:rPr>
                <w:rFonts w:ascii="Times New Roman" w:eastAsia="SimSun" w:hAnsi="Times New Roman" w:cs="Times New Roman"/>
                <w:kern w:val="2"/>
                <w:sz w:val="18"/>
                <w:szCs w:val="18"/>
                <w:lang w:eastAsia="zh-CN"/>
              </w:rPr>
              <w:t>Energy-Saving Potential and an Economic Feasibility Analysis for an Arctic Route between Shanghai and Rotterdam: Case Study from China’s Largest Container Sea Freight Operator</w:t>
            </w:r>
          </w:p>
        </w:tc>
        <w:tc>
          <w:tcPr>
            <w:tcW w:w="1170" w:type="dxa"/>
            <w:shd w:val="clear" w:color="auto" w:fill="auto"/>
            <w:vAlign w:val="center"/>
          </w:tcPr>
          <w:p w14:paraId="2B030A11"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2018</w:t>
            </w:r>
          </w:p>
        </w:tc>
      </w:tr>
      <w:tr w:rsidR="00DB0BFA" w14:paraId="5F9FFEBC" w14:textId="77777777" w:rsidTr="0051144F">
        <w:tc>
          <w:tcPr>
            <w:tcW w:w="8190" w:type="dxa"/>
            <w:shd w:val="clear" w:color="auto" w:fill="auto"/>
          </w:tcPr>
          <w:p w14:paraId="2EBCFF19" w14:textId="77777777" w:rsidR="00DB0BFA" w:rsidRDefault="00DB0BFA" w:rsidP="00116A41">
            <w:pPr>
              <w:widowControl w:val="0"/>
              <w:spacing w:after="0" w:line="240" w:lineRule="auto"/>
              <w:jc w:val="center"/>
              <w:rPr>
                <w:rFonts w:ascii="Times New Roman" w:eastAsia="SimSun" w:hAnsi="Times New Roman" w:cs="Times New Roman"/>
                <w:kern w:val="2"/>
                <w:sz w:val="16"/>
                <w:szCs w:val="16"/>
                <w:lang w:eastAsia="zh-CN"/>
              </w:rPr>
            </w:pPr>
            <w:r>
              <w:rPr>
                <w:rFonts w:ascii="Times New Roman" w:eastAsia="SimSun" w:hAnsi="Times New Roman" w:cs="Times New Roman"/>
                <w:kern w:val="2"/>
                <w:sz w:val="16"/>
                <w:szCs w:val="16"/>
                <w:lang w:eastAsia="zh-CN"/>
              </w:rPr>
              <w:t>Combinable containers: A container innovation to save container fleet and empty container repositioning costs</w:t>
            </w:r>
          </w:p>
        </w:tc>
        <w:tc>
          <w:tcPr>
            <w:tcW w:w="1170" w:type="dxa"/>
            <w:shd w:val="clear" w:color="auto" w:fill="auto"/>
            <w:vAlign w:val="center"/>
          </w:tcPr>
          <w:p w14:paraId="23932931"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2019</w:t>
            </w:r>
          </w:p>
        </w:tc>
      </w:tr>
      <w:tr w:rsidR="00DB0BFA" w14:paraId="0311DC20" w14:textId="77777777" w:rsidTr="0051144F">
        <w:tc>
          <w:tcPr>
            <w:tcW w:w="8190" w:type="dxa"/>
            <w:shd w:val="clear" w:color="auto" w:fill="auto"/>
          </w:tcPr>
          <w:p w14:paraId="17FC6C82" w14:textId="77777777" w:rsidR="00DB0BFA" w:rsidRDefault="00DB0BFA" w:rsidP="00116A41">
            <w:pPr>
              <w:widowControl w:val="0"/>
              <w:spacing w:after="0" w:line="240" w:lineRule="auto"/>
              <w:jc w:val="center"/>
              <w:rPr>
                <w:rFonts w:ascii="Times New Roman" w:eastAsia="SimSun" w:hAnsi="Times New Roman" w:cs="Times New Roman"/>
                <w:kern w:val="2"/>
                <w:sz w:val="16"/>
                <w:szCs w:val="16"/>
                <w:lang w:eastAsia="zh-CN"/>
              </w:rPr>
            </w:pPr>
            <w:r>
              <w:rPr>
                <w:rFonts w:ascii="Times New Roman" w:eastAsia="SimSun" w:hAnsi="Times New Roman" w:cs="Times New Roman"/>
                <w:kern w:val="2"/>
                <w:sz w:val="16"/>
                <w:szCs w:val="16"/>
                <w:lang w:eastAsia="zh-CN"/>
              </w:rPr>
              <w:t>A simulation optimization method for deep-sea vessel berth planning and feeder arrival scheduling at a container port</w:t>
            </w:r>
          </w:p>
        </w:tc>
        <w:tc>
          <w:tcPr>
            <w:tcW w:w="1170" w:type="dxa"/>
            <w:shd w:val="clear" w:color="auto" w:fill="auto"/>
            <w:vAlign w:val="center"/>
          </w:tcPr>
          <w:p w14:paraId="49DB7485" w14:textId="77777777" w:rsidR="00DB0BFA" w:rsidRDefault="00DB0BFA" w:rsidP="00116A41">
            <w:pPr>
              <w:widowControl w:val="0"/>
              <w:spacing w:after="0" w:line="240" w:lineRule="auto"/>
              <w:jc w:val="center"/>
              <w:rPr>
                <w:rFonts w:ascii="Times New Roman" w:eastAsia="SimSun" w:hAnsi="Times New Roman" w:cs="Times New Roman"/>
                <w:kern w:val="2"/>
                <w:sz w:val="14"/>
                <w:szCs w:val="14"/>
                <w:lang w:eastAsia="zh-CN"/>
              </w:rPr>
            </w:pPr>
            <w:r>
              <w:rPr>
                <w:rFonts w:ascii="Times New Roman" w:eastAsia="SimSun" w:hAnsi="Times New Roman" w:cs="Times New Roman"/>
                <w:color w:val="000000"/>
                <w:kern w:val="2"/>
                <w:sz w:val="14"/>
                <w:szCs w:val="14"/>
                <w:lang w:eastAsia="zh-CN"/>
              </w:rPr>
              <w:t>2020</w:t>
            </w:r>
          </w:p>
        </w:tc>
      </w:tr>
    </w:tbl>
    <w:p w14:paraId="5F3667E1"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(Source : Results of data analysis using Microsoft Excel)</w:t>
      </w:r>
    </w:p>
    <w:p w14:paraId="453BFBAE"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293323FE" w14:textId="5D09FC69" w:rsidR="00DB0BFA" w:rsidRDefault="00BA71DD"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4.3 </w:t>
      </w:r>
      <w:r w:rsidR="00DB0BFA">
        <w:rPr>
          <w:rFonts w:ascii="Times New Roman" w:hAnsi="Times New Roman" w:cs="Times New Roman"/>
          <w:b/>
          <w:color w:val="000000" w:themeColor="text1"/>
          <w:sz w:val="24"/>
          <w:szCs w:val="24"/>
        </w:rPr>
        <w:t>The ten most productive countries publishing research on livestock folding containers and sea tolls</w:t>
      </w:r>
    </w:p>
    <w:p w14:paraId="29F8A2B0"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search results indicate that a total of 56 countries have published research findings on livestock folding containers and sea tolls. The most productive country in terms of publishing research on livestock folding containers and sea tolls is the United Kingdom. Detailed information on the top ten productive countries publishing research on livestock folding containers and sea tolls can be found in Table 5.</w:t>
      </w:r>
    </w:p>
    <w:p w14:paraId="4286047E" w14:textId="77777777" w:rsidR="00DB0BFA" w:rsidRDefault="00DB0BFA" w:rsidP="00116A41">
      <w:pPr>
        <w:spacing w:after="0" w:line="240" w:lineRule="auto"/>
        <w:jc w:val="both"/>
        <w:rPr>
          <w:rFonts w:ascii="Times New Roman" w:hAnsi="Times New Roman" w:cs="Times New Roman"/>
          <w:color w:val="000000" w:themeColor="text1"/>
          <w:sz w:val="24"/>
          <w:szCs w:val="24"/>
        </w:rPr>
      </w:pPr>
    </w:p>
    <w:p w14:paraId="2A672559"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5</w:t>
      </w:r>
      <w:r>
        <w:rPr>
          <w:rFonts w:ascii="Times New Roman" w:hAnsi="Times New Roman" w:cs="Times New Roman"/>
          <w:color w:val="000000" w:themeColor="text1"/>
          <w:sz w:val="20"/>
          <w:szCs w:val="20"/>
        </w:rPr>
        <w:t>. Ten most productive countries publishing research on livestock folding containers and sea tolls</w:t>
      </w:r>
    </w:p>
    <w:tbl>
      <w:tblPr>
        <w:tblW w:w="3870" w:type="dxa"/>
        <w:tblInd w:w="2808" w:type="dxa"/>
        <w:tblLook w:val="04A0" w:firstRow="1" w:lastRow="0" w:firstColumn="1" w:lastColumn="0" w:noHBand="0" w:noVBand="1"/>
      </w:tblPr>
      <w:tblGrid>
        <w:gridCol w:w="1440"/>
        <w:gridCol w:w="2430"/>
      </w:tblGrid>
      <w:tr w:rsidR="00DB0BFA" w14:paraId="1DF3E5E4" w14:textId="77777777" w:rsidTr="0051144F">
        <w:trPr>
          <w:trHeight w:val="330"/>
        </w:trPr>
        <w:tc>
          <w:tcPr>
            <w:tcW w:w="1440" w:type="dxa"/>
            <w:tcBorders>
              <w:top w:val="double" w:sz="6" w:space="0" w:color="auto"/>
              <w:left w:val="nil"/>
              <w:bottom w:val="single" w:sz="8" w:space="0" w:color="auto"/>
              <w:right w:val="nil"/>
            </w:tcBorders>
            <w:shd w:val="clear" w:color="auto" w:fill="auto"/>
            <w:noWrap/>
            <w:vAlign w:val="center"/>
          </w:tcPr>
          <w:p w14:paraId="52109D6D"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Countries</w:t>
            </w:r>
          </w:p>
        </w:tc>
        <w:tc>
          <w:tcPr>
            <w:tcW w:w="2430" w:type="dxa"/>
            <w:tcBorders>
              <w:top w:val="double" w:sz="6" w:space="0" w:color="auto"/>
              <w:left w:val="nil"/>
              <w:bottom w:val="single" w:sz="8" w:space="0" w:color="auto"/>
              <w:right w:val="nil"/>
            </w:tcBorders>
            <w:shd w:val="clear" w:color="auto" w:fill="auto"/>
            <w:noWrap/>
            <w:vAlign w:val="center"/>
          </w:tcPr>
          <w:p w14:paraId="62742D1F"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Publications</w:t>
            </w:r>
          </w:p>
        </w:tc>
      </w:tr>
      <w:tr w:rsidR="00DB0BFA" w14:paraId="210C696B" w14:textId="77777777" w:rsidTr="0051144F">
        <w:trPr>
          <w:trHeight w:val="300"/>
        </w:trPr>
        <w:tc>
          <w:tcPr>
            <w:tcW w:w="1440" w:type="dxa"/>
            <w:tcBorders>
              <w:top w:val="nil"/>
              <w:left w:val="nil"/>
              <w:bottom w:val="nil"/>
              <w:right w:val="nil"/>
            </w:tcBorders>
            <w:shd w:val="clear" w:color="auto" w:fill="auto"/>
            <w:noWrap/>
            <w:vAlign w:val="center"/>
          </w:tcPr>
          <w:p w14:paraId="30C71753"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UK</w:t>
            </w:r>
          </w:p>
        </w:tc>
        <w:tc>
          <w:tcPr>
            <w:tcW w:w="2430" w:type="dxa"/>
            <w:tcBorders>
              <w:top w:val="nil"/>
              <w:left w:val="nil"/>
              <w:bottom w:val="nil"/>
              <w:right w:val="nil"/>
            </w:tcBorders>
            <w:shd w:val="clear" w:color="auto" w:fill="auto"/>
            <w:noWrap/>
            <w:vAlign w:val="center"/>
          </w:tcPr>
          <w:p w14:paraId="60D6872B"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299</w:t>
            </w:r>
          </w:p>
        </w:tc>
      </w:tr>
      <w:tr w:rsidR="00DB0BFA" w14:paraId="2CA45F5B" w14:textId="77777777" w:rsidTr="0051144F">
        <w:trPr>
          <w:trHeight w:val="300"/>
        </w:trPr>
        <w:tc>
          <w:tcPr>
            <w:tcW w:w="1440" w:type="dxa"/>
            <w:tcBorders>
              <w:top w:val="nil"/>
              <w:left w:val="nil"/>
              <w:bottom w:val="nil"/>
              <w:right w:val="nil"/>
            </w:tcBorders>
            <w:shd w:val="clear" w:color="auto" w:fill="auto"/>
            <w:noWrap/>
            <w:vAlign w:val="center"/>
          </w:tcPr>
          <w:p w14:paraId="7434FDD1"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USA</w:t>
            </w:r>
          </w:p>
        </w:tc>
        <w:tc>
          <w:tcPr>
            <w:tcW w:w="2430" w:type="dxa"/>
            <w:tcBorders>
              <w:top w:val="nil"/>
              <w:left w:val="nil"/>
              <w:bottom w:val="nil"/>
              <w:right w:val="nil"/>
            </w:tcBorders>
            <w:shd w:val="clear" w:color="auto" w:fill="auto"/>
            <w:noWrap/>
            <w:vAlign w:val="center"/>
          </w:tcPr>
          <w:p w14:paraId="2FFA33DD"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w:t>
            </w:r>
          </w:p>
        </w:tc>
      </w:tr>
      <w:tr w:rsidR="00DB0BFA" w14:paraId="09AFE141" w14:textId="77777777" w:rsidTr="0051144F">
        <w:trPr>
          <w:trHeight w:val="300"/>
        </w:trPr>
        <w:tc>
          <w:tcPr>
            <w:tcW w:w="1440" w:type="dxa"/>
            <w:tcBorders>
              <w:top w:val="nil"/>
              <w:left w:val="nil"/>
              <w:bottom w:val="nil"/>
              <w:right w:val="nil"/>
            </w:tcBorders>
            <w:shd w:val="clear" w:color="auto" w:fill="auto"/>
            <w:noWrap/>
            <w:vAlign w:val="center"/>
          </w:tcPr>
          <w:p w14:paraId="38EAF722"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Denmark</w:t>
            </w:r>
          </w:p>
        </w:tc>
        <w:tc>
          <w:tcPr>
            <w:tcW w:w="2430" w:type="dxa"/>
            <w:tcBorders>
              <w:top w:val="nil"/>
              <w:left w:val="nil"/>
              <w:bottom w:val="nil"/>
              <w:right w:val="nil"/>
            </w:tcBorders>
            <w:shd w:val="clear" w:color="auto" w:fill="auto"/>
            <w:noWrap/>
            <w:vAlign w:val="center"/>
          </w:tcPr>
          <w:p w14:paraId="29179B5C"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w:t>
            </w:r>
          </w:p>
        </w:tc>
      </w:tr>
      <w:tr w:rsidR="00DB0BFA" w14:paraId="606F30E1" w14:textId="77777777" w:rsidTr="0051144F">
        <w:trPr>
          <w:trHeight w:val="300"/>
        </w:trPr>
        <w:tc>
          <w:tcPr>
            <w:tcW w:w="1440" w:type="dxa"/>
            <w:tcBorders>
              <w:top w:val="nil"/>
              <w:left w:val="nil"/>
              <w:bottom w:val="nil"/>
              <w:right w:val="nil"/>
            </w:tcBorders>
            <w:shd w:val="clear" w:color="auto" w:fill="auto"/>
            <w:noWrap/>
            <w:vAlign w:val="center"/>
          </w:tcPr>
          <w:p w14:paraId="3B61435F"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China</w:t>
            </w:r>
          </w:p>
        </w:tc>
        <w:tc>
          <w:tcPr>
            <w:tcW w:w="2430" w:type="dxa"/>
            <w:tcBorders>
              <w:top w:val="nil"/>
              <w:left w:val="nil"/>
              <w:bottom w:val="nil"/>
              <w:right w:val="nil"/>
            </w:tcBorders>
            <w:shd w:val="clear" w:color="auto" w:fill="auto"/>
            <w:noWrap/>
            <w:vAlign w:val="center"/>
          </w:tcPr>
          <w:p w14:paraId="1D62554D"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w:t>
            </w:r>
          </w:p>
        </w:tc>
      </w:tr>
      <w:tr w:rsidR="00DB0BFA" w14:paraId="3040BDBA" w14:textId="77777777" w:rsidTr="0051144F">
        <w:trPr>
          <w:trHeight w:val="300"/>
        </w:trPr>
        <w:tc>
          <w:tcPr>
            <w:tcW w:w="1440" w:type="dxa"/>
            <w:tcBorders>
              <w:top w:val="nil"/>
              <w:left w:val="nil"/>
              <w:bottom w:val="nil"/>
              <w:right w:val="nil"/>
            </w:tcBorders>
            <w:shd w:val="clear" w:color="auto" w:fill="auto"/>
            <w:noWrap/>
            <w:vAlign w:val="center"/>
          </w:tcPr>
          <w:p w14:paraId="24B313A3"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Spain</w:t>
            </w:r>
          </w:p>
        </w:tc>
        <w:tc>
          <w:tcPr>
            <w:tcW w:w="2430" w:type="dxa"/>
            <w:tcBorders>
              <w:top w:val="nil"/>
              <w:left w:val="nil"/>
              <w:bottom w:val="nil"/>
              <w:right w:val="nil"/>
            </w:tcBorders>
            <w:shd w:val="clear" w:color="auto" w:fill="auto"/>
            <w:noWrap/>
            <w:vAlign w:val="center"/>
          </w:tcPr>
          <w:p w14:paraId="05051D46"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r>
      <w:tr w:rsidR="00DB0BFA" w14:paraId="1B1A177A" w14:textId="77777777" w:rsidTr="0051144F">
        <w:trPr>
          <w:trHeight w:val="300"/>
        </w:trPr>
        <w:tc>
          <w:tcPr>
            <w:tcW w:w="1440" w:type="dxa"/>
            <w:tcBorders>
              <w:top w:val="nil"/>
              <w:left w:val="nil"/>
              <w:bottom w:val="nil"/>
              <w:right w:val="nil"/>
            </w:tcBorders>
            <w:shd w:val="clear" w:color="auto" w:fill="auto"/>
            <w:noWrap/>
            <w:vAlign w:val="center"/>
          </w:tcPr>
          <w:p w14:paraId="3EBB645C"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India</w:t>
            </w:r>
          </w:p>
        </w:tc>
        <w:tc>
          <w:tcPr>
            <w:tcW w:w="2430" w:type="dxa"/>
            <w:tcBorders>
              <w:top w:val="nil"/>
              <w:left w:val="nil"/>
              <w:bottom w:val="nil"/>
              <w:right w:val="nil"/>
            </w:tcBorders>
            <w:shd w:val="clear" w:color="auto" w:fill="auto"/>
            <w:noWrap/>
            <w:vAlign w:val="center"/>
          </w:tcPr>
          <w:p w14:paraId="3605E47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r>
      <w:tr w:rsidR="00DB0BFA" w14:paraId="73DBF7C7" w14:textId="77777777" w:rsidTr="0051144F">
        <w:trPr>
          <w:trHeight w:val="300"/>
        </w:trPr>
        <w:tc>
          <w:tcPr>
            <w:tcW w:w="1440" w:type="dxa"/>
            <w:tcBorders>
              <w:top w:val="nil"/>
              <w:left w:val="nil"/>
              <w:bottom w:val="nil"/>
              <w:right w:val="nil"/>
            </w:tcBorders>
            <w:shd w:val="clear" w:color="auto" w:fill="auto"/>
            <w:noWrap/>
            <w:vAlign w:val="center"/>
          </w:tcPr>
          <w:p w14:paraId="530354EC"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Indonesia</w:t>
            </w:r>
          </w:p>
        </w:tc>
        <w:tc>
          <w:tcPr>
            <w:tcW w:w="2430" w:type="dxa"/>
            <w:tcBorders>
              <w:top w:val="nil"/>
              <w:left w:val="nil"/>
              <w:bottom w:val="nil"/>
              <w:right w:val="nil"/>
            </w:tcBorders>
            <w:shd w:val="clear" w:color="auto" w:fill="auto"/>
            <w:noWrap/>
            <w:vAlign w:val="center"/>
          </w:tcPr>
          <w:p w14:paraId="41DDC50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DB0BFA" w14:paraId="63DF7712" w14:textId="77777777" w:rsidTr="0051144F">
        <w:trPr>
          <w:trHeight w:val="300"/>
        </w:trPr>
        <w:tc>
          <w:tcPr>
            <w:tcW w:w="1440" w:type="dxa"/>
            <w:tcBorders>
              <w:top w:val="nil"/>
              <w:left w:val="nil"/>
              <w:bottom w:val="nil"/>
              <w:right w:val="nil"/>
            </w:tcBorders>
            <w:shd w:val="clear" w:color="auto" w:fill="auto"/>
            <w:noWrap/>
            <w:vAlign w:val="center"/>
          </w:tcPr>
          <w:p w14:paraId="58BD7884"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Germany</w:t>
            </w:r>
          </w:p>
        </w:tc>
        <w:tc>
          <w:tcPr>
            <w:tcW w:w="2430" w:type="dxa"/>
            <w:tcBorders>
              <w:top w:val="nil"/>
              <w:left w:val="nil"/>
              <w:bottom w:val="nil"/>
              <w:right w:val="nil"/>
            </w:tcBorders>
            <w:shd w:val="clear" w:color="auto" w:fill="auto"/>
            <w:noWrap/>
            <w:vAlign w:val="center"/>
          </w:tcPr>
          <w:p w14:paraId="77C53717"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r>
      <w:tr w:rsidR="00DB0BFA" w14:paraId="5767B4ED" w14:textId="77777777" w:rsidTr="0051144F">
        <w:trPr>
          <w:trHeight w:val="300"/>
        </w:trPr>
        <w:tc>
          <w:tcPr>
            <w:tcW w:w="1440" w:type="dxa"/>
            <w:tcBorders>
              <w:top w:val="nil"/>
              <w:left w:val="nil"/>
              <w:bottom w:val="nil"/>
              <w:right w:val="nil"/>
            </w:tcBorders>
            <w:shd w:val="clear" w:color="auto" w:fill="auto"/>
            <w:noWrap/>
            <w:vAlign w:val="center"/>
          </w:tcPr>
          <w:p w14:paraId="0EE7E85A"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Rusia</w:t>
            </w:r>
          </w:p>
        </w:tc>
        <w:tc>
          <w:tcPr>
            <w:tcW w:w="2430" w:type="dxa"/>
            <w:tcBorders>
              <w:top w:val="nil"/>
              <w:left w:val="nil"/>
              <w:bottom w:val="nil"/>
              <w:right w:val="nil"/>
            </w:tcBorders>
            <w:shd w:val="clear" w:color="auto" w:fill="auto"/>
            <w:noWrap/>
            <w:vAlign w:val="center"/>
          </w:tcPr>
          <w:p w14:paraId="71C96D01"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r>
      <w:tr w:rsidR="00DB0BFA" w14:paraId="63522E87" w14:textId="77777777" w:rsidTr="0051144F">
        <w:trPr>
          <w:trHeight w:val="315"/>
        </w:trPr>
        <w:tc>
          <w:tcPr>
            <w:tcW w:w="1440" w:type="dxa"/>
            <w:tcBorders>
              <w:top w:val="nil"/>
              <w:left w:val="nil"/>
              <w:bottom w:val="single" w:sz="8" w:space="0" w:color="auto"/>
              <w:right w:val="nil"/>
            </w:tcBorders>
            <w:shd w:val="clear" w:color="auto" w:fill="auto"/>
            <w:noWrap/>
            <w:vAlign w:val="center"/>
          </w:tcPr>
          <w:p w14:paraId="4094C1CA"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France</w:t>
            </w:r>
          </w:p>
        </w:tc>
        <w:tc>
          <w:tcPr>
            <w:tcW w:w="2430" w:type="dxa"/>
            <w:tcBorders>
              <w:top w:val="nil"/>
              <w:left w:val="nil"/>
              <w:bottom w:val="single" w:sz="8" w:space="0" w:color="auto"/>
              <w:right w:val="nil"/>
            </w:tcBorders>
            <w:shd w:val="clear" w:color="auto" w:fill="auto"/>
            <w:noWrap/>
            <w:vAlign w:val="center"/>
          </w:tcPr>
          <w:p w14:paraId="25DB261F" w14:textId="77777777" w:rsidR="00DB0BFA" w:rsidRDefault="00DB0BFA" w:rsidP="00116A4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bl>
    <w:p w14:paraId="62CFE4E1"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0"/>
          <w:szCs w:val="20"/>
        </w:rPr>
        <w:t>(Source : Results of data analysis using Microsoft Excel)</w:t>
      </w:r>
    </w:p>
    <w:p w14:paraId="5C8C84E5"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15D33A62" w14:textId="6325401A" w:rsidR="00DB0BFA" w:rsidRDefault="00BA71DD"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4.4 </w:t>
      </w:r>
      <w:r w:rsidR="00DB0BFA">
        <w:rPr>
          <w:rFonts w:ascii="Times New Roman" w:hAnsi="Times New Roman" w:cs="Times New Roman"/>
          <w:b/>
          <w:color w:val="000000" w:themeColor="text1"/>
          <w:sz w:val="24"/>
          <w:szCs w:val="24"/>
        </w:rPr>
        <w:t xml:space="preserve">Co-authorship network of organizations or affiliations in publications on livestock folding containers and sea tolls. </w:t>
      </w:r>
    </w:p>
    <w:p w14:paraId="6373785F"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visualization of the co-authorship network of organizations or affiliations, as shown in Figure 2, reveals that these institutions do not collaborate with each other in publishing research on livestock folding containers and sea tolls. Meanwhile, Table 6 presents the top 10 institutions with the highest citations and document counts.</w:t>
      </w:r>
    </w:p>
    <w:p w14:paraId="5FDDCC3F" w14:textId="77777777" w:rsidR="00DB0BFA" w:rsidRDefault="00DB0BFA" w:rsidP="00116A4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lastRenderedPageBreak/>
        <w:drawing>
          <wp:inline distT="0" distB="0" distL="0" distR="0" wp14:anchorId="171CC3F1" wp14:editId="4595BE6E">
            <wp:extent cx="5367020" cy="3408045"/>
            <wp:effectExtent l="0" t="0" r="5080" b="1905"/>
            <wp:docPr id="7" name="Picture 7" descr="C:\Users\a\Downloads\DISERTASI BU SUTINI\JURNAL BU SUTINI\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ownloads\DISERTASI BU SUTINI\JURNAL BU SUTINI\V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5975" cy="3433112"/>
                    </a:xfrm>
                    <a:prstGeom prst="rect">
                      <a:avLst/>
                    </a:prstGeom>
                    <a:noFill/>
                    <a:ln>
                      <a:noFill/>
                    </a:ln>
                  </pic:spPr>
                </pic:pic>
              </a:graphicData>
            </a:graphic>
          </wp:inline>
        </w:drawing>
      </w:r>
    </w:p>
    <w:p w14:paraId="5AF170C4"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0"/>
          <w:szCs w:val="20"/>
        </w:rPr>
        <w:t>Figure 2</w:t>
      </w:r>
      <w:r>
        <w:rPr>
          <w:rFonts w:ascii="Times New Roman" w:hAnsi="Times New Roman" w:cs="Times New Roman"/>
          <w:color w:val="000000" w:themeColor="text1"/>
          <w:sz w:val="20"/>
          <w:szCs w:val="20"/>
        </w:rPr>
        <w:t>. Co-authorship network of organizations or affiliations in publications on livestock folding containers and sea tolls (Source : Results of data analysis using VOSviewer)</w:t>
      </w:r>
    </w:p>
    <w:p w14:paraId="7B7FEDE9"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6</w:t>
      </w:r>
      <w:r>
        <w:rPr>
          <w:rFonts w:ascii="Times New Roman" w:hAnsi="Times New Roman" w:cs="Times New Roman"/>
          <w:color w:val="000000" w:themeColor="text1"/>
          <w:sz w:val="20"/>
          <w:szCs w:val="20"/>
        </w:rPr>
        <w:t xml:space="preserve">. The top 10 institutions with the highest citations and document counts </w:t>
      </w:r>
    </w:p>
    <w:p w14:paraId="75D6F442"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on livestock folding containers and sea tolls</w:t>
      </w:r>
    </w:p>
    <w:tbl>
      <w:tblPr>
        <w:tblW w:w="6660" w:type="dxa"/>
        <w:tblInd w:w="1278" w:type="dxa"/>
        <w:tblLook w:val="04A0" w:firstRow="1" w:lastRow="0" w:firstColumn="1" w:lastColumn="0" w:noHBand="0" w:noVBand="1"/>
      </w:tblPr>
      <w:tblGrid>
        <w:gridCol w:w="3600"/>
        <w:gridCol w:w="1800"/>
        <w:gridCol w:w="1260"/>
      </w:tblGrid>
      <w:tr w:rsidR="00DB0BFA" w14:paraId="25EE7F34" w14:textId="77777777" w:rsidTr="0051144F">
        <w:trPr>
          <w:trHeight w:val="330"/>
        </w:trPr>
        <w:tc>
          <w:tcPr>
            <w:tcW w:w="3600" w:type="dxa"/>
            <w:tcBorders>
              <w:top w:val="double" w:sz="6" w:space="0" w:color="auto"/>
              <w:left w:val="nil"/>
              <w:bottom w:val="single" w:sz="8" w:space="0" w:color="auto"/>
              <w:right w:val="nil"/>
            </w:tcBorders>
            <w:shd w:val="clear" w:color="auto" w:fill="auto"/>
            <w:noWrap/>
            <w:vAlign w:val="center"/>
          </w:tcPr>
          <w:p w14:paraId="5265887A"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Organization</w:t>
            </w:r>
          </w:p>
        </w:tc>
        <w:tc>
          <w:tcPr>
            <w:tcW w:w="1800" w:type="dxa"/>
            <w:tcBorders>
              <w:top w:val="double" w:sz="6" w:space="0" w:color="auto"/>
              <w:left w:val="nil"/>
              <w:bottom w:val="single" w:sz="8" w:space="0" w:color="auto"/>
              <w:right w:val="nil"/>
            </w:tcBorders>
            <w:shd w:val="clear" w:color="auto" w:fill="auto"/>
            <w:noWrap/>
            <w:vAlign w:val="center"/>
          </w:tcPr>
          <w:p w14:paraId="1C319DF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documents</w:t>
            </w:r>
          </w:p>
        </w:tc>
        <w:tc>
          <w:tcPr>
            <w:tcW w:w="1260" w:type="dxa"/>
            <w:tcBorders>
              <w:top w:val="double" w:sz="6" w:space="0" w:color="auto"/>
              <w:left w:val="nil"/>
              <w:bottom w:val="single" w:sz="8" w:space="0" w:color="auto"/>
              <w:right w:val="nil"/>
            </w:tcBorders>
            <w:shd w:val="clear" w:color="auto" w:fill="auto"/>
            <w:noWrap/>
            <w:vAlign w:val="center"/>
          </w:tcPr>
          <w:p w14:paraId="3684F66D"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citation</w:t>
            </w:r>
          </w:p>
        </w:tc>
      </w:tr>
      <w:tr w:rsidR="00DB0BFA" w14:paraId="0D9DFF08" w14:textId="77777777" w:rsidTr="0051144F">
        <w:trPr>
          <w:trHeight w:val="300"/>
        </w:trPr>
        <w:tc>
          <w:tcPr>
            <w:tcW w:w="3600" w:type="dxa"/>
            <w:tcBorders>
              <w:top w:val="nil"/>
              <w:left w:val="nil"/>
              <w:bottom w:val="nil"/>
              <w:right w:val="nil"/>
            </w:tcBorders>
            <w:shd w:val="clear" w:color="auto" w:fill="auto"/>
            <w:noWrap/>
            <w:vAlign w:val="bottom"/>
          </w:tcPr>
          <w:p w14:paraId="4992ABEE"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Professor of bovine medicine, University</w:t>
            </w:r>
          </w:p>
        </w:tc>
        <w:tc>
          <w:tcPr>
            <w:tcW w:w="1800" w:type="dxa"/>
            <w:tcBorders>
              <w:top w:val="nil"/>
              <w:left w:val="nil"/>
              <w:bottom w:val="nil"/>
              <w:right w:val="nil"/>
            </w:tcBorders>
            <w:shd w:val="clear" w:color="auto" w:fill="auto"/>
            <w:noWrap/>
            <w:vAlign w:val="bottom"/>
          </w:tcPr>
          <w:p w14:paraId="1ADAB29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w:t>
            </w:r>
          </w:p>
        </w:tc>
        <w:tc>
          <w:tcPr>
            <w:tcW w:w="1260" w:type="dxa"/>
            <w:tcBorders>
              <w:top w:val="nil"/>
              <w:left w:val="nil"/>
              <w:bottom w:val="nil"/>
              <w:right w:val="nil"/>
            </w:tcBorders>
            <w:shd w:val="clear" w:color="auto" w:fill="auto"/>
            <w:noWrap/>
            <w:vAlign w:val="bottom"/>
          </w:tcPr>
          <w:p w14:paraId="5301F84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r w:rsidR="00DB0BFA" w14:paraId="3765B5C7" w14:textId="77777777" w:rsidTr="0051144F">
        <w:trPr>
          <w:trHeight w:val="300"/>
        </w:trPr>
        <w:tc>
          <w:tcPr>
            <w:tcW w:w="3600" w:type="dxa"/>
            <w:tcBorders>
              <w:top w:val="nil"/>
              <w:left w:val="nil"/>
              <w:bottom w:val="nil"/>
              <w:right w:val="nil"/>
            </w:tcBorders>
            <w:shd w:val="clear" w:color="auto" w:fill="auto"/>
            <w:noWrap/>
            <w:vAlign w:val="bottom"/>
          </w:tcPr>
          <w:p w14:paraId="014D7D79"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Editorial board member</w:t>
            </w:r>
          </w:p>
        </w:tc>
        <w:tc>
          <w:tcPr>
            <w:tcW w:w="1800" w:type="dxa"/>
            <w:tcBorders>
              <w:top w:val="nil"/>
              <w:left w:val="nil"/>
              <w:bottom w:val="nil"/>
              <w:right w:val="nil"/>
            </w:tcBorders>
            <w:shd w:val="clear" w:color="auto" w:fill="auto"/>
            <w:noWrap/>
            <w:vAlign w:val="bottom"/>
          </w:tcPr>
          <w:p w14:paraId="14D33AD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w:t>
            </w:r>
          </w:p>
        </w:tc>
        <w:tc>
          <w:tcPr>
            <w:tcW w:w="1260" w:type="dxa"/>
            <w:tcBorders>
              <w:top w:val="nil"/>
              <w:left w:val="nil"/>
              <w:bottom w:val="nil"/>
              <w:right w:val="nil"/>
            </w:tcBorders>
            <w:shd w:val="clear" w:color="auto" w:fill="auto"/>
            <w:noWrap/>
            <w:vAlign w:val="bottom"/>
          </w:tcPr>
          <w:p w14:paraId="0685003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r>
      <w:tr w:rsidR="00DB0BFA" w14:paraId="694337F1" w14:textId="77777777" w:rsidTr="0051144F">
        <w:trPr>
          <w:trHeight w:val="300"/>
        </w:trPr>
        <w:tc>
          <w:tcPr>
            <w:tcW w:w="3600" w:type="dxa"/>
            <w:tcBorders>
              <w:top w:val="nil"/>
              <w:left w:val="nil"/>
              <w:bottom w:val="nil"/>
              <w:right w:val="nil"/>
            </w:tcBorders>
            <w:shd w:val="clear" w:color="auto" w:fill="auto"/>
            <w:noWrap/>
            <w:vAlign w:val="bottom"/>
          </w:tcPr>
          <w:p w14:paraId="53FB5E2F"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Professor of bovine medicine, Product</w:t>
            </w:r>
          </w:p>
        </w:tc>
        <w:tc>
          <w:tcPr>
            <w:tcW w:w="1800" w:type="dxa"/>
            <w:tcBorders>
              <w:top w:val="nil"/>
              <w:left w:val="nil"/>
              <w:bottom w:val="nil"/>
              <w:right w:val="nil"/>
            </w:tcBorders>
            <w:shd w:val="clear" w:color="auto" w:fill="auto"/>
            <w:noWrap/>
            <w:vAlign w:val="bottom"/>
          </w:tcPr>
          <w:p w14:paraId="6D590CC9"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p>
        </w:tc>
        <w:tc>
          <w:tcPr>
            <w:tcW w:w="1260" w:type="dxa"/>
            <w:tcBorders>
              <w:top w:val="nil"/>
              <w:left w:val="nil"/>
              <w:bottom w:val="nil"/>
              <w:right w:val="nil"/>
            </w:tcBorders>
            <w:shd w:val="clear" w:color="auto" w:fill="auto"/>
            <w:noWrap/>
            <w:vAlign w:val="bottom"/>
          </w:tcPr>
          <w:p w14:paraId="0C4C617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r>
      <w:tr w:rsidR="00DB0BFA" w14:paraId="619CD453" w14:textId="77777777" w:rsidTr="0051144F">
        <w:trPr>
          <w:trHeight w:val="300"/>
        </w:trPr>
        <w:tc>
          <w:tcPr>
            <w:tcW w:w="3600" w:type="dxa"/>
            <w:tcBorders>
              <w:top w:val="nil"/>
              <w:left w:val="nil"/>
              <w:bottom w:val="nil"/>
              <w:right w:val="nil"/>
            </w:tcBorders>
            <w:shd w:val="clear" w:color="auto" w:fill="auto"/>
            <w:noWrap/>
            <w:vAlign w:val="bottom"/>
          </w:tcPr>
          <w:p w14:paraId="52C5F71C"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Consultant editor</w:t>
            </w:r>
          </w:p>
        </w:tc>
        <w:tc>
          <w:tcPr>
            <w:tcW w:w="1800" w:type="dxa"/>
            <w:tcBorders>
              <w:top w:val="nil"/>
              <w:left w:val="nil"/>
              <w:bottom w:val="nil"/>
              <w:right w:val="nil"/>
            </w:tcBorders>
            <w:shd w:val="clear" w:color="auto" w:fill="auto"/>
            <w:noWrap/>
            <w:vAlign w:val="bottom"/>
          </w:tcPr>
          <w:p w14:paraId="0FA5CFD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p>
        </w:tc>
        <w:tc>
          <w:tcPr>
            <w:tcW w:w="1260" w:type="dxa"/>
            <w:tcBorders>
              <w:top w:val="nil"/>
              <w:left w:val="nil"/>
              <w:bottom w:val="nil"/>
              <w:right w:val="nil"/>
            </w:tcBorders>
            <w:shd w:val="clear" w:color="auto" w:fill="auto"/>
            <w:noWrap/>
            <w:vAlign w:val="bottom"/>
          </w:tcPr>
          <w:p w14:paraId="6723C08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p>
        </w:tc>
      </w:tr>
      <w:tr w:rsidR="00DB0BFA" w14:paraId="68D579C3" w14:textId="77777777" w:rsidTr="0051144F">
        <w:trPr>
          <w:trHeight w:val="300"/>
        </w:trPr>
        <w:tc>
          <w:tcPr>
            <w:tcW w:w="3600" w:type="dxa"/>
            <w:tcBorders>
              <w:top w:val="nil"/>
              <w:left w:val="nil"/>
              <w:bottom w:val="nil"/>
              <w:right w:val="nil"/>
            </w:tcBorders>
            <w:shd w:val="clear" w:color="auto" w:fill="auto"/>
            <w:noWrap/>
            <w:vAlign w:val="bottom"/>
          </w:tcPr>
          <w:p w14:paraId="588A6E96"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Central university of tamil nadu</w:t>
            </w:r>
          </w:p>
        </w:tc>
        <w:tc>
          <w:tcPr>
            <w:tcW w:w="1800" w:type="dxa"/>
            <w:tcBorders>
              <w:top w:val="nil"/>
              <w:left w:val="nil"/>
              <w:bottom w:val="nil"/>
              <w:right w:val="nil"/>
            </w:tcBorders>
            <w:shd w:val="clear" w:color="auto" w:fill="auto"/>
            <w:noWrap/>
            <w:vAlign w:val="bottom"/>
          </w:tcPr>
          <w:p w14:paraId="51C142B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260" w:type="dxa"/>
            <w:tcBorders>
              <w:top w:val="nil"/>
              <w:left w:val="nil"/>
              <w:bottom w:val="nil"/>
              <w:right w:val="nil"/>
            </w:tcBorders>
            <w:shd w:val="clear" w:color="auto" w:fill="auto"/>
            <w:noWrap/>
            <w:vAlign w:val="bottom"/>
          </w:tcPr>
          <w:p w14:paraId="7E283DBD"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p>
        </w:tc>
      </w:tr>
      <w:tr w:rsidR="00DB0BFA" w14:paraId="07491B13" w14:textId="77777777" w:rsidTr="0051144F">
        <w:trPr>
          <w:trHeight w:val="300"/>
        </w:trPr>
        <w:tc>
          <w:tcPr>
            <w:tcW w:w="3600" w:type="dxa"/>
            <w:tcBorders>
              <w:top w:val="nil"/>
              <w:left w:val="nil"/>
              <w:bottom w:val="nil"/>
              <w:right w:val="nil"/>
            </w:tcBorders>
            <w:shd w:val="clear" w:color="auto" w:fill="auto"/>
            <w:noWrap/>
            <w:vAlign w:val="bottom"/>
          </w:tcPr>
          <w:p w14:paraId="60AD22A7"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European specialist in equine internal</w:t>
            </w:r>
          </w:p>
        </w:tc>
        <w:tc>
          <w:tcPr>
            <w:tcW w:w="1800" w:type="dxa"/>
            <w:tcBorders>
              <w:top w:val="nil"/>
              <w:left w:val="nil"/>
              <w:bottom w:val="nil"/>
              <w:right w:val="nil"/>
            </w:tcBorders>
            <w:shd w:val="clear" w:color="auto" w:fill="auto"/>
            <w:noWrap/>
            <w:vAlign w:val="bottom"/>
          </w:tcPr>
          <w:p w14:paraId="6D17415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260" w:type="dxa"/>
            <w:tcBorders>
              <w:top w:val="nil"/>
              <w:left w:val="nil"/>
              <w:bottom w:val="nil"/>
              <w:right w:val="nil"/>
            </w:tcBorders>
            <w:shd w:val="clear" w:color="auto" w:fill="auto"/>
            <w:noWrap/>
            <w:vAlign w:val="bottom"/>
          </w:tcPr>
          <w:p w14:paraId="3031F322"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r>
      <w:tr w:rsidR="00DB0BFA" w14:paraId="772C845D" w14:textId="77777777" w:rsidTr="0051144F">
        <w:trPr>
          <w:trHeight w:val="300"/>
        </w:trPr>
        <w:tc>
          <w:tcPr>
            <w:tcW w:w="3600" w:type="dxa"/>
            <w:tcBorders>
              <w:top w:val="nil"/>
              <w:left w:val="nil"/>
              <w:bottom w:val="nil"/>
              <w:right w:val="nil"/>
            </w:tcBorders>
            <w:shd w:val="clear" w:color="auto" w:fill="auto"/>
            <w:noWrap/>
            <w:vAlign w:val="bottom"/>
          </w:tcPr>
          <w:p w14:paraId="1AA05277"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Los alamos national lab</w:t>
            </w:r>
          </w:p>
        </w:tc>
        <w:tc>
          <w:tcPr>
            <w:tcW w:w="1800" w:type="dxa"/>
            <w:tcBorders>
              <w:top w:val="nil"/>
              <w:left w:val="nil"/>
              <w:bottom w:val="nil"/>
              <w:right w:val="nil"/>
            </w:tcBorders>
            <w:shd w:val="clear" w:color="auto" w:fill="auto"/>
            <w:noWrap/>
            <w:vAlign w:val="bottom"/>
          </w:tcPr>
          <w:p w14:paraId="1388594E"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1260" w:type="dxa"/>
            <w:tcBorders>
              <w:top w:val="nil"/>
              <w:left w:val="nil"/>
              <w:bottom w:val="nil"/>
              <w:right w:val="nil"/>
            </w:tcBorders>
            <w:shd w:val="clear" w:color="auto" w:fill="auto"/>
            <w:noWrap/>
            <w:vAlign w:val="bottom"/>
          </w:tcPr>
          <w:p w14:paraId="70D6B00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p>
        </w:tc>
      </w:tr>
      <w:tr w:rsidR="00DB0BFA" w14:paraId="4C140A9C" w14:textId="77777777" w:rsidTr="0051144F">
        <w:trPr>
          <w:trHeight w:val="300"/>
        </w:trPr>
        <w:tc>
          <w:tcPr>
            <w:tcW w:w="3600" w:type="dxa"/>
            <w:tcBorders>
              <w:top w:val="nil"/>
              <w:left w:val="nil"/>
              <w:bottom w:val="nil"/>
              <w:right w:val="nil"/>
            </w:tcBorders>
            <w:shd w:val="clear" w:color="auto" w:fill="auto"/>
            <w:noWrap/>
            <w:vAlign w:val="bottom"/>
          </w:tcPr>
          <w:p w14:paraId="01DED30F"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Howells veterinary services</w:t>
            </w:r>
          </w:p>
        </w:tc>
        <w:tc>
          <w:tcPr>
            <w:tcW w:w="1800" w:type="dxa"/>
            <w:tcBorders>
              <w:top w:val="nil"/>
              <w:left w:val="nil"/>
              <w:bottom w:val="nil"/>
              <w:right w:val="nil"/>
            </w:tcBorders>
            <w:shd w:val="clear" w:color="auto" w:fill="auto"/>
            <w:noWrap/>
            <w:vAlign w:val="bottom"/>
          </w:tcPr>
          <w:p w14:paraId="5C538FE2"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w:t>
            </w:r>
          </w:p>
        </w:tc>
        <w:tc>
          <w:tcPr>
            <w:tcW w:w="1260" w:type="dxa"/>
            <w:tcBorders>
              <w:top w:val="nil"/>
              <w:left w:val="nil"/>
              <w:bottom w:val="nil"/>
              <w:right w:val="nil"/>
            </w:tcBorders>
            <w:shd w:val="clear" w:color="auto" w:fill="auto"/>
            <w:noWrap/>
            <w:vAlign w:val="bottom"/>
          </w:tcPr>
          <w:p w14:paraId="0CC3BC1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0</w:t>
            </w:r>
          </w:p>
        </w:tc>
      </w:tr>
      <w:tr w:rsidR="00DB0BFA" w14:paraId="773451F9" w14:textId="77777777" w:rsidTr="0051144F">
        <w:trPr>
          <w:trHeight w:val="300"/>
        </w:trPr>
        <w:tc>
          <w:tcPr>
            <w:tcW w:w="3600" w:type="dxa"/>
            <w:tcBorders>
              <w:top w:val="nil"/>
              <w:left w:val="nil"/>
              <w:bottom w:val="nil"/>
              <w:right w:val="nil"/>
            </w:tcBorders>
            <w:shd w:val="clear" w:color="auto" w:fill="auto"/>
            <w:noWrap/>
            <w:vAlign w:val="bottom"/>
          </w:tcPr>
          <w:p w14:paraId="37E7E25B"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Scottish center for production animal</w:t>
            </w:r>
          </w:p>
        </w:tc>
        <w:tc>
          <w:tcPr>
            <w:tcW w:w="1800" w:type="dxa"/>
            <w:tcBorders>
              <w:top w:val="nil"/>
              <w:left w:val="nil"/>
              <w:bottom w:val="nil"/>
              <w:right w:val="nil"/>
            </w:tcBorders>
            <w:shd w:val="clear" w:color="auto" w:fill="auto"/>
            <w:noWrap/>
            <w:vAlign w:val="bottom"/>
          </w:tcPr>
          <w:p w14:paraId="55E3952C"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260" w:type="dxa"/>
            <w:tcBorders>
              <w:top w:val="nil"/>
              <w:left w:val="nil"/>
              <w:bottom w:val="nil"/>
              <w:right w:val="nil"/>
            </w:tcBorders>
            <w:shd w:val="clear" w:color="auto" w:fill="auto"/>
            <w:noWrap/>
            <w:vAlign w:val="bottom"/>
          </w:tcPr>
          <w:p w14:paraId="16DEAA34"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w:t>
            </w:r>
          </w:p>
        </w:tc>
      </w:tr>
      <w:tr w:rsidR="00DB0BFA" w14:paraId="068ECB0C" w14:textId="77777777" w:rsidTr="0051144F">
        <w:trPr>
          <w:trHeight w:val="315"/>
        </w:trPr>
        <w:tc>
          <w:tcPr>
            <w:tcW w:w="3600" w:type="dxa"/>
            <w:tcBorders>
              <w:top w:val="nil"/>
              <w:left w:val="nil"/>
              <w:bottom w:val="single" w:sz="8" w:space="0" w:color="auto"/>
              <w:right w:val="nil"/>
            </w:tcBorders>
            <w:shd w:val="clear" w:color="auto" w:fill="auto"/>
            <w:noWrap/>
            <w:vAlign w:val="bottom"/>
          </w:tcPr>
          <w:p w14:paraId="2D39A96E"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Veterinary surgeon and consultant</w:t>
            </w:r>
          </w:p>
        </w:tc>
        <w:tc>
          <w:tcPr>
            <w:tcW w:w="1800" w:type="dxa"/>
            <w:tcBorders>
              <w:top w:val="nil"/>
              <w:left w:val="nil"/>
              <w:bottom w:val="single" w:sz="8" w:space="0" w:color="auto"/>
              <w:right w:val="nil"/>
            </w:tcBorders>
            <w:shd w:val="clear" w:color="auto" w:fill="auto"/>
            <w:noWrap/>
            <w:vAlign w:val="bottom"/>
          </w:tcPr>
          <w:p w14:paraId="1825B11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1260" w:type="dxa"/>
            <w:tcBorders>
              <w:top w:val="nil"/>
              <w:left w:val="nil"/>
              <w:bottom w:val="single" w:sz="8" w:space="0" w:color="auto"/>
              <w:right w:val="nil"/>
            </w:tcBorders>
            <w:shd w:val="clear" w:color="auto" w:fill="auto"/>
            <w:noWrap/>
            <w:vAlign w:val="bottom"/>
          </w:tcPr>
          <w:p w14:paraId="79066CF4"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r>
    </w:tbl>
    <w:p w14:paraId="2F104F52"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(Source : Results of data analysis using VOSviewer)</w:t>
      </w:r>
    </w:p>
    <w:p w14:paraId="1FBFCCF7"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1C26E0D8" w14:textId="48FDB709" w:rsidR="00DB0BFA" w:rsidRDefault="00BA71DD"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4.5 </w:t>
      </w:r>
      <w:r w:rsidR="00DB0BFA">
        <w:rPr>
          <w:rFonts w:ascii="Times New Roman" w:hAnsi="Times New Roman" w:cs="Times New Roman"/>
          <w:b/>
          <w:color w:val="000000" w:themeColor="text1"/>
          <w:sz w:val="24"/>
          <w:szCs w:val="24"/>
        </w:rPr>
        <w:t xml:space="preserve">Co-citation network map of journals in the research topics of livestock folding containers and sea tolls. </w:t>
      </w:r>
    </w:p>
    <w:p w14:paraId="1A8C9264"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visualization results of co-citation in publications related to livestock folding containers and sea tolls, based on publication sources using VOSviewer software, reveal the presence of 18 items grouped into 5 clusters, as shown in Figure 3. Among the 18 items, it is evident from Table 7 that the European Journal of Operational Research, OR Spectrum, Transportation Research Part E: Logistics, and Transportation Science have the highest total link strength.</w:t>
      </w:r>
    </w:p>
    <w:p w14:paraId="1DD8CA97" w14:textId="77777777" w:rsidR="00DB0BFA" w:rsidRDefault="00DB0BFA" w:rsidP="00116A4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lastRenderedPageBreak/>
        <w:drawing>
          <wp:inline distT="0" distB="0" distL="0" distR="0" wp14:anchorId="1CB75F8D" wp14:editId="41D952AE">
            <wp:extent cx="5694680" cy="3616325"/>
            <wp:effectExtent l="0" t="0" r="1270" b="3175"/>
            <wp:docPr id="8" name="Picture 8" descr="C:\Users\a\Downloads\DISERTASI BU SUTINI\JURNAL BU SUTINI\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ownloads\DISERTASI BU SUTINI\JURNAL BU SUTINI\V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718098" cy="3631332"/>
                    </a:xfrm>
                    <a:prstGeom prst="rect">
                      <a:avLst/>
                    </a:prstGeom>
                    <a:noFill/>
                    <a:ln>
                      <a:noFill/>
                    </a:ln>
                  </pic:spPr>
                </pic:pic>
              </a:graphicData>
            </a:graphic>
          </wp:inline>
        </w:drawing>
      </w:r>
    </w:p>
    <w:p w14:paraId="20E0C88A"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3</w:t>
      </w:r>
      <w:r>
        <w:rPr>
          <w:rFonts w:ascii="Times New Roman" w:hAnsi="Times New Roman" w:cs="Times New Roman"/>
          <w:color w:val="000000" w:themeColor="text1"/>
          <w:sz w:val="20"/>
          <w:szCs w:val="20"/>
        </w:rPr>
        <w:t>. Co-citation network analysis map based on sources.</w:t>
      </w:r>
    </w:p>
    <w:p w14:paraId="6A7A2D1F"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(Source : Results of data analysis using VOSviewer)</w:t>
      </w:r>
    </w:p>
    <w:p w14:paraId="6C21FA0A"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p>
    <w:p w14:paraId="6E825488"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7</w:t>
      </w:r>
      <w:r>
        <w:rPr>
          <w:rFonts w:ascii="Times New Roman" w:hAnsi="Times New Roman" w:cs="Times New Roman"/>
          <w:color w:val="000000" w:themeColor="text1"/>
          <w:sz w:val="20"/>
          <w:szCs w:val="20"/>
        </w:rPr>
        <w:t>. The top ten journals with the highest total link strength in the research topic of livestock folding containers and sea tolls.</w:t>
      </w:r>
    </w:p>
    <w:tbl>
      <w:tblPr>
        <w:tblW w:w="7740" w:type="dxa"/>
        <w:tblInd w:w="828" w:type="dxa"/>
        <w:tblLook w:val="04A0" w:firstRow="1" w:lastRow="0" w:firstColumn="1" w:lastColumn="0" w:noHBand="0" w:noVBand="1"/>
      </w:tblPr>
      <w:tblGrid>
        <w:gridCol w:w="4140"/>
        <w:gridCol w:w="1265"/>
        <w:gridCol w:w="2335"/>
      </w:tblGrid>
      <w:tr w:rsidR="00DB0BFA" w14:paraId="5D973BC9" w14:textId="77777777" w:rsidTr="0051144F">
        <w:trPr>
          <w:trHeight w:val="330"/>
        </w:trPr>
        <w:tc>
          <w:tcPr>
            <w:tcW w:w="4140" w:type="dxa"/>
            <w:tcBorders>
              <w:top w:val="double" w:sz="6" w:space="0" w:color="auto"/>
              <w:left w:val="nil"/>
              <w:bottom w:val="single" w:sz="8" w:space="0" w:color="auto"/>
              <w:right w:val="nil"/>
            </w:tcBorders>
            <w:shd w:val="clear" w:color="auto" w:fill="auto"/>
            <w:noWrap/>
            <w:vAlign w:val="center"/>
          </w:tcPr>
          <w:p w14:paraId="18F1CBD6"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Sources</w:t>
            </w:r>
          </w:p>
        </w:tc>
        <w:tc>
          <w:tcPr>
            <w:tcW w:w="1265" w:type="dxa"/>
            <w:tcBorders>
              <w:top w:val="double" w:sz="6" w:space="0" w:color="auto"/>
              <w:left w:val="nil"/>
              <w:bottom w:val="single" w:sz="8" w:space="0" w:color="auto"/>
              <w:right w:val="nil"/>
            </w:tcBorders>
            <w:shd w:val="clear" w:color="auto" w:fill="auto"/>
            <w:noWrap/>
            <w:vAlign w:val="center"/>
          </w:tcPr>
          <w:p w14:paraId="0F258FE9"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Citation</w:t>
            </w:r>
          </w:p>
        </w:tc>
        <w:tc>
          <w:tcPr>
            <w:tcW w:w="2335" w:type="dxa"/>
            <w:tcBorders>
              <w:top w:val="double" w:sz="6" w:space="0" w:color="auto"/>
              <w:left w:val="nil"/>
              <w:bottom w:val="single" w:sz="8" w:space="0" w:color="auto"/>
              <w:right w:val="nil"/>
            </w:tcBorders>
            <w:shd w:val="clear" w:color="auto" w:fill="auto"/>
            <w:noWrap/>
            <w:vAlign w:val="center"/>
          </w:tcPr>
          <w:p w14:paraId="2F0E95D8"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Total Link Strength</w:t>
            </w:r>
          </w:p>
        </w:tc>
      </w:tr>
      <w:tr w:rsidR="00DB0BFA" w14:paraId="73A789CF" w14:textId="77777777" w:rsidTr="0051144F">
        <w:trPr>
          <w:trHeight w:val="300"/>
        </w:trPr>
        <w:tc>
          <w:tcPr>
            <w:tcW w:w="4140" w:type="dxa"/>
            <w:tcBorders>
              <w:top w:val="nil"/>
              <w:left w:val="nil"/>
              <w:bottom w:val="nil"/>
              <w:right w:val="nil"/>
            </w:tcBorders>
            <w:shd w:val="clear" w:color="auto" w:fill="auto"/>
            <w:noWrap/>
            <w:vAlign w:val="bottom"/>
          </w:tcPr>
          <w:p w14:paraId="0DDD7054"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European journal of operational research</w:t>
            </w:r>
          </w:p>
        </w:tc>
        <w:tc>
          <w:tcPr>
            <w:tcW w:w="1265" w:type="dxa"/>
            <w:tcBorders>
              <w:top w:val="nil"/>
              <w:left w:val="nil"/>
              <w:bottom w:val="nil"/>
              <w:right w:val="nil"/>
            </w:tcBorders>
            <w:shd w:val="clear" w:color="auto" w:fill="auto"/>
            <w:noWrap/>
            <w:vAlign w:val="center"/>
          </w:tcPr>
          <w:p w14:paraId="032B05FC"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72</w:t>
            </w:r>
          </w:p>
        </w:tc>
        <w:tc>
          <w:tcPr>
            <w:tcW w:w="2335" w:type="dxa"/>
            <w:tcBorders>
              <w:top w:val="nil"/>
              <w:left w:val="nil"/>
              <w:bottom w:val="nil"/>
              <w:right w:val="nil"/>
            </w:tcBorders>
            <w:shd w:val="clear" w:color="auto" w:fill="auto"/>
            <w:noWrap/>
            <w:vAlign w:val="center"/>
          </w:tcPr>
          <w:p w14:paraId="2491424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2815</w:t>
            </w:r>
          </w:p>
        </w:tc>
      </w:tr>
      <w:tr w:rsidR="00DB0BFA" w14:paraId="7EDF62C5" w14:textId="77777777" w:rsidTr="0051144F">
        <w:trPr>
          <w:trHeight w:val="300"/>
        </w:trPr>
        <w:tc>
          <w:tcPr>
            <w:tcW w:w="4140" w:type="dxa"/>
            <w:tcBorders>
              <w:top w:val="nil"/>
              <w:left w:val="nil"/>
              <w:bottom w:val="nil"/>
              <w:right w:val="nil"/>
            </w:tcBorders>
            <w:shd w:val="clear" w:color="auto" w:fill="auto"/>
            <w:noWrap/>
            <w:vAlign w:val="bottom"/>
          </w:tcPr>
          <w:p w14:paraId="7D5EC501"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Or spectrum</w:t>
            </w:r>
          </w:p>
        </w:tc>
        <w:tc>
          <w:tcPr>
            <w:tcW w:w="1265" w:type="dxa"/>
            <w:tcBorders>
              <w:top w:val="nil"/>
              <w:left w:val="nil"/>
              <w:bottom w:val="nil"/>
              <w:right w:val="nil"/>
            </w:tcBorders>
            <w:shd w:val="clear" w:color="auto" w:fill="auto"/>
            <w:noWrap/>
            <w:vAlign w:val="center"/>
          </w:tcPr>
          <w:p w14:paraId="37B8AC7A"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57</w:t>
            </w:r>
          </w:p>
        </w:tc>
        <w:tc>
          <w:tcPr>
            <w:tcW w:w="2335" w:type="dxa"/>
            <w:tcBorders>
              <w:top w:val="nil"/>
              <w:left w:val="nil"/>
              <w:bottom w:val="nil"/>
              <w:right w:val="nil"/>
            </w:tcBorders>
            <w:shd w:val="clear" w:color="auto" w:fill="auto"/>
            <w:noWrap/>
            <w:vAlign w:val="center"/>
          </w:tcPr>
          <w:p w14:paraId="42BD9A9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2815</w:t>
            </w:r>
          </w:p>
        </w:tc>
      </w:tr>
      <w:tr w:rsidR="00DB0BFA" w14:paraId="2B055B58" w14:textId="77777777" w:rsidTr="0051144F">
        <w:trPr>
          <w:trHeight w:val="300"/>
        </w:trPr>
        <w:tc>
          <w:tcPr>
            <w:tcW w:w="4140" w:type="dxa"/>
            <w:tcBorders>
              <w:top w:val="nil"/>
              <w:left w:val="nil"/>
              <w:bottom w:val="nil"/>
              <w:right w:val="nil"/>
            </w:tcBorders>
            <w:shd w:val="clear" w:color="auto" w:fill="auto"/>
            <w:noWrap/>
            <w:vAlign w:val="bottom"/>
          </w:tcPr>
          <w:p w14:paraId="5ADD2550"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Transportation Research Part e: logistic</w:t>
            </w:r>
          </w:p>
        </w:tc>
        <w:tc>
          <w:tcPr>
            <w:tcW w:w="1265" w:type="dxa"/>
            <w:tcBorders>
              <w:top w:val="nil"/>
              <w:left w:val="nil"/>
              <w:bottom w:val="nil"/>
              <w:right w:val="nil"/>
            </w:tcBorders>
            <w:shd w:val="clear" w:color="auto" w:fill="auto"/>
            <w:noWrap/>
            <w:vAlign w:val="center"/>
          </w:tcPr>
          <w:p w14:paraId="70ED50BE"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58</w:t>
            </w:r>
          </w:p>
        </w:tc>
        <w:tc>
          <w:tcPr>
            <w:tcW w:w="2335" w:type="dxa"/>
            <w:tcBorders>
              <w:top w:val="nil"/>
              <w:left w:val="nil"/>
              <w:bottom w:val="nil"/>
              <w:right w:val="nil"/>
            </w:tcBorders>
            <w:shd w:val="clear" w:color="auto" w:fill="auto"/>
            <w:noWrap/>
            <w:vAlign w:val="center"/>
          </w:tcPr>
          <w:p w14:paraId="5B3F6B54"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2794</w:t>
            </w:r>
          </w:p>
        </w:tc>
      </w:tr>
      <w:tr w:rsidR="00DB0BFA" w14:paraId="27FE5008" w14:textId="77777777" w:rsidTr="0051144F">
        <w:trPr>
          <w:trHeight w:val="300"/>
        </w:trPr>
        <w:tc>
          <w:tcPr>
            <w:tcW w:w="4140" w:type="dxa"/>
            <w:tcBorders>
              <w:top w:val="nil"/>
              <w:left w:val="nil"/>
              <w:bottom w:val="nil"/>
              <w:right w:val="nil"/>
            </w:tcBorders>
            <w:shd w:val="clear" w:color="auto" w:fill="auto"/>
            <w:noWrap/>
            <w:vAlign w:val="bottom"/>
          </w:tcPr>
          <w:p w14:paraId="078E130B"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Transportation science</w:t>
            </w:r>
          </w:p>
        </w:tc>
        <w:tc>
          <w:tcPr>
            <w:tcW w:w="1265" w:type="dxa"/>
            <w:tcBorders>
              <w:top w:val="nil"/>
              <w:left w:val="nil"/>
              <w:bottom w:val="nil"/>
              <w:right w:val="nil"/>
            </w:tcBorders>
            <w:shd w:val="clear" w:color="auto" w:fill="auto"/>
            <w:noWrap/>
            <w:vAlign w:val="center"/>
          </w:tcPr>
          <w:p w14:paraId="707D38D4"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40</w:t>
            </w:r>
          </w:p>
        </w:tc>
        <w:tc>
          <w:tcPr>
            <w:tcW w:w="2335" w:type="dxa"/>
            <w:tcBorders>
              <w:top w:val="nil"/>
              <w:left w:val="nil"/>
              <w:bottom w:val="nil"/>
              <w:right w:val="nil"/>
            </w:tcBorders>
            <w:shd w:val="clear" w:color="auto" w:fill="auto"/>
            <w:noWrap/>
            <w:vAlign w:val="center"/>
          </w:tcPr>
          <w:p w14:paraId="0EFA00D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1936</w:t>
            </w:r>
          </w:p>
        </w:tc>
      </w:tr>
      <w:tr w:rsidR="00DB0BFA" w14:paraId="4D09144F" w14:textId="77777777" w:rsidTr="0051144F">
        <w:trPr>
          <w:trHeight w:val="300"/>
        </w:trPr>
        <w:tc>
          <w:tcPr>
            <w:tcW w:w="4140" w:type="dxa"/>
            <w:tcBorders>
              <w:top w:val="nil"/>
              <w:left w:val="nil"/>
              <w:bottom w:val="nil"/>
              <w:right w:val="nil"/>
            </w:tcBorders>
            <w:shd w:val="clear" w:color="auto" w:fill="auto"/>
            <w:noWrap/>
            <w:vAlign w:val="bottom"/>
          </w:tcPr>
          <w:p w14:paraId="62511148"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Computers and operation research</w:t>
            </w:r>
          </w:p>
        </w:tc>
        <w:tc>
          <w:tcPr>
            <w:tcW w:w="1265" w:type="dxa"/>
            <w:tcBorders>
              <w:top w:val="nil"/>
              <w:left w:val="nil"/>
              <w:bottom w:val="nil"/>
              <w:right w:val="nil"/>
            </w:tcBorders>
            <w:shd w:val="clear" w:color="auto" w:fill="auto"/>
            <w:noWrap/>
            <w:vAlign w:val="center"/>
          </w:tcPr>
          <w:p w14:paraId="5B10D0D8"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23</w:t>
            </w:r>
          </w:p>
        </w:tc>
        <w:tc>
          <w:tcPr>
            <w:tcW w:w="2335" w:type="dxa"/>
            <w:tcBorders>
              <w:top w:val="nil"/>
              <w:left w:val="nil"/>
              <w:bottom w:val="nil"/>
              <w:right w:val="nil"/>
            </w:tcBorders>
            <w:shd w:val="clear" w:color="auto" w:fill="auto"/>
            <w:noWrap/>
            <w:vAlign w:val="center"/>
          </w:tcPr>
          <w:p w14:paraId="2F28D892"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1340</w:t>
            </w:r>
          </w:p>
        </w:tc>
      </w:tr>
      <w:tr w:rsidR="00DB0BFA" w14:paraId="0C9B00B7" w14:textId="77777777" w:rsidTr="0051144F">
        <w:trPr>
          <w:trHeight w:val="300"/>
        </w:trPr>
        <w:tc>
          <w:tcPr>
            <w:tcW w:w="4140" w:type="dxa"/>
            <w:tcBorders>
              <w:top w:val="nil"/>
              <w:left w:val="nil"/>
              <w:bottom w:val="nil"/>
              <w:right w:val="nil"/>
            </w:tcBorders>
            <w:shd w:val="clear" w:color="auto" w:fill="auto"/>
            <w:noWrap/>
            <w:vAlign w:val="bottom"/>
          </w:tcPr>
          <w:p w14:paraId="705CE82C"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 Climate</w:t>
            </w:r>
          </w:p>
        </w:tc>
        <w:tc>
          <w:tcPr>
            <w:tcW w:w="1265" w:type="dxa"/>
            <w:tcBorders>
              <w:top w:val="nil"/>
              <w:left w:val="nil"/>
              <w:bottom w:val="nil"/>
              <w:right w:val="nil"/>
            </w:tcBorders>
            <w:shd w:val="clear" w:color="auto" w:fill="auto"/>
            <w:noWrap/>
            <w:vAlign w:val="center"/>
          </w:tcPr>
          <w:p w14:paraId="3743D92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38</w:t>
            </w:r>
          </w:p>
        </w:tc>
        <w:tc>
          <w:tcPr>
            <w:tcW w:w="2335" w:type="dxa"/>
            <w:tcBorders>
              <w:top w:val="nil"/>
              <w:left w:val="nil"/>
              <w:bottom w:val="nil"/>
              <w:right w:val="nil"/>
            </w:tcBorders>
            <w:shd w:val="clear" w:color="auto" w:fill="auto"/>
            <w:noWrap/>
            <w:vAlign w:val="center"/>
          </w:tcPr>
          <w:p w14:paraId="40EE2F5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1216</w:t>
            </w:r>
          </w:p>
        </w:tc>
      </w:tr>
      <w:tr w:rsidR="00DB0BFA" w14:paraId="0752A153" w14:textId="77777777" w:rsidTr="0051144F">
        <w:trPr>
          <w:trHeight w:val="300"/>
        </w:trPr>
        <w:tc>
          <w:tcPr>
            <w:tcW w:w="4140" w:type="dxa"/>
            <w:tcBorders>
              <w:top w:val="nil"/>
              <w:left w:val="nil"/>
              <w:bottom w:val="nil"/>
              <w:right w:val="nil"/>
            </w:tcBorders>
            <w:shd w:val="clear" w:color="auto" w:fill="auto"/>
            <w:noWrap/>
            <w:vAlign w:val="bottom"/>
          </w:tcPr>
          <w:p w14:paraId="3177135F"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Maritime policy and management</w:t>
            </w:r>
          </w:p>
        </w:tc>
        <w:tc>
          <w:tcPr>
            <w:tcW w:w="1265" w:type="dxa"/>
            <w:tcBorders>
              <w:top w:val="nil"/>
              <w:left w:val="nil"/>
              <w:bottom w:val="nil"/>
              <w:right w:val="nil"/>
            </w:tcBorders>
            <w:shd w:val="clear" w:color="auto" w:fill="auto"/>
            <w:noWrap/>
            <w:vAlign w:val="center"/>
          </w:tcPr>
          <w:p w14:paraId="402EE16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34</w:t>
            </w:r>
          </w:p>
        </w:tc>
        <w:tc>
          <w:tcPr>
            <w:tcW w:w="2335" w:type="dxa"/>
            <w:tcBorders>
              <w:top w:val="nil"/>
              <w:left w:val="nil"/>
              <w:bottom w:val="nil"/>
              <w:right w:val="nil"/>
            </w:tcBorders>
            <w:shd w:val="clear" w:color="auto" w:fill="auto"/>
            <w:noWrap/>
            <w:vAlign w:val="center"/>
          </w:tcPr>
          <w:p w14:paraId="618A079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1116</w:t>
            </w:r>
          </w:p>
        </w:tc>
      </w:tr>
      <w:tr w:rsidR="00DB0BFA" w14:paraId="20C8EC6D" w14:textId="77777777" w:rsidTr="0051144F">
        <w:trPr>
          <w:trHeight w:val="300"/>
        </w:trPr>
        <w:tc>
          <w:tcPr>
            <w:tcW w:w="4140" w:type="dxa"/>
            <w:tcBorders>
              <w:top w:val="nil"/>
              <w:left w:val="nil"/>
              <w:bottom w:val="nil"/>
              <w:right w:val="nil"/>
            </w:tcBorders>
            <w:shd w:val="clear" w:color="auto" w:fill="auto"/>
            <w:noWrap/>
            <w:vAlign w:val="bottom"/>
          </w:tcPr>
          <w:p w14:paraId="0803A2BB"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Geophys</w:t>
            </w:r>
          </w:p>
        </w:tc>
        <w:tc>
          <w:tcPr>
            <w:tcW w:w="1265" w:type="dxa"/>
            <w:tcBorders>
              <w:top w:val="nil"/>
              <w:left w:val="nil"/>
              <w:bottom w:val="nil"/>
              <w:right w:val="nil"/>
            </w:tcBorders>
            <w:shd w:val="clear" w:color="auto" w:fill="auto"/>
            <w:noWrap/>
            <w:vAlign w:val="center"/>
          </w:tcPr>
          <w:p w14:paraId="0E868E8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24</w:t>
            </w:r>
          </w:p>
        </w:tc>
        <w:tc>
          <w:tcPr>
            <w:tcW w:w="2335" w:type="dxa"/>
            <w:tcBorders>
              <w:top w:val="nil"/>
              <w:left w:val="nil"/>
              <w:bottom w:val="nil"/>
              <w:right w:val="nil"/>
            </w:tcBorders>
            <w:shd w:val="clear" w:color="auto" w:fill="auto"/>
            <w:noWrap/>
            <w:vAlign w:val="center"/>
          </w:tcPr>
          <w:p w14:paraId="5B171D39"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1012</w:t>
            </w:r>
          </w:p>
        </w:tc>
      </w:tr>
      <w:tr w:rsidR="00DB0BFA" w14:paraId="7004F388" w14:textId="77777777" w:rsidTr="0051144F">
        <w:trPr>
          <w:trHeight w:val="300"/>
        </w:trPr>
        <w:tc>
          <w:tcPr>
            <w:tcW w:w="4140" w:type="dxa"/>
            <w:tcBorders>
              <w:top w:val="nil"/>
              <w:left w:val="nil"/>
              <w:bottom w:val="nil"/>
              <w:right w:val="nil"/>
            </w:tcBorders>
            <w:shd w:val="clear" w:color="auto" w:fill="auto"/>
            <w:noWrap/>
            <w:vAlign w:val="bottom"/>
          </w:tcPr>
          <w:p w14:paraId="5722C778"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Nature</w:t>
            </w:r>
          </w:p>
        </w:tc>
        <w:tc>
          <w:tcPr>
            <w:tcW w:w="1265" w:type="dxa"/>
            <w:tcBorders>
              <w:top w:val="nil"/>
              <w:left w:val="nil"/>
              <w:bottom w:val="nil"/>
              <w:right w:val="nil"/>
            </w:tcBorders>
            <w:shd w:val="clear" w:color="auto" w:fill="auto"/>
            <w:noWrap/>
            <w:vAlign w:val="center"/>
          </w:tcPr>
          <w:p w14:paraId="6C4B376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55</w:t>
            </w:r>
          </w:p>
        </w:tc>
        <w:tc>
          <w:tcPr>
            <w:tcW w:w="2335" w:type="dxa"/>
            <w:tcBorders>
              <w:top w:val="nil"/>
              <w:left w:val="nil"/>
              <w:bottom w:val="nil"/>
              <w:right w:val="nil"/>
            </w:tcBorders>
            <w:shd w:val="clear" w:color="auto" w:fill="auto"/>
            <w:noWrap/>
            <w:vAlign w:val="center"/>
          </w:tcPr>
          <w:p w14:paraId="1C9A8C4C"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1001</w:t>
            </w:r>
          </w:p>
        </w:tc>
      </w:tr>
      <w:tr w:rsidR="00DB0BFA" w14:paraId="37B1A9E0" w14:textId="77777777" w:rsidTr="0051144F">
        <w:trPr>
          <w:trHeight w:val="315"/>
        </w:trPr>
        <w:tc>
          <w:tcPr>
            <w:tcW w:w="4140" w:type="dxa"/>
            <w:tcBorders>
              <w:top w:val="nil"/>
              <w:left w:val="nil"/>
              <w:bottom w:val="single" w:sz="8" w:space="0" w:color="auto"/>
              <w:right w:val="nil"/>
            </w:tcBorders>
            <w:shd w:val="clear" w:color="auto" w:fill="auto"/>
            <w:noWrap/>
            <w:vAlign w:val="bottom"/>
          </w:tcPr>
          <w:p w14:paraId="08FFA3E4" w14:textId="77777777" w:rsidR="00DB0BFA" w:rsidRDefault="00DB0BFA" w:rsidP="00116A41">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Transportation Research Part b : methodological</w:t>
            </w:r>
          </w:p>
        </w:tc>
        <w:tc>
          <w:tcPr>
            <w:tcW w:w="1265" w:type="dxa"/>
            <w:tcBorders>
              <w:top w:val="nil"/>
              <w:left w:val="nil"/>
              <w:bottom w:val="single" w:sz="8" w:space="0" w:color="auto"/>
              <w:right w:val="nil"/>
            </w:tcBorders>
            <w:shd w:val="clear" w:color="auto" w:fill="auto"/>
            <w:noWrap/>
            <w:vAlign w:val="center"/>
          </w:tcPr>
          <w:p w14:paraId="523F227E"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20</w:t>
            </w:r>
          </w:p>
        </w:tc>
        <w:tc>
          <w:tcPr>
            <w:tcW w:w="2335" w:type="dxa"/>
            <w:tcBorders>
              <w:top w:val="nil"/>
              <w:left w:val="nil"/>
              <w:bottom w:val="single" w:sz="8" w:space="0" w:color="auto"/>
              <w:right w:val="nil"/>
            </w:tcBorders>
            <w:shd w:val="clear" w:color="auto" w:fill="auto"/>
            <w:noWrap/>
            <w:vAlign w:val="center"/>
          </w:tcPr>
          <w:p w14:paraId="5B1B0C3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994</w:t>
            </w:r>
          </w:p>
        </w:tc>
      </w:tr>
    </w:tbl>
    <w:p w14:paraId="35CEB9D0"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0"/>
          <w:szCs w:val="20"/>
        </w:rPr>
        <w:t>(Source : Results of data analysis using VOSviewer)</w:t>
      </w:r>
    </w:p>
    <w:p w14:paraId="56BB2652"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64B9F5BF" w14:textId="318E8BB1" w:rsidR="00DB0BFA" w:rsidRDefault="00BA71DD"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n-US"/>
        </w:rPr>
        <w:t xml:space="preserve">4.6 </w:t>
      </w:r>
      <w:r w:rsidR="00DB0BFA">
        <w:rPr>
          <w:rFonts w:ascii="Times New Roman" w:hAnsi="Times New Roman" w:cs="Times New Roman"/>
          <w:b/>
          <w:color w:val="000000" w:themeColor="text1"/>
          <w:sz w:val="24"/>
          <w:szCs w:val="24"/>
        </w:rPr>
        <w:t xml:space="preserve">Co-occurrence network map of research topics on livestock folding containers and sea tolls based on keywords. </w:t>
      </w:r>
    </w:p>
    <w:p w14:paraId="4D15980C" w14:textId="77777777" w:rsidR="00DB0BFA" w:rsidRDefault="00DB0BFA"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analysis of keyword co-occurrence using VOSviewer software reveals the utilization of 70 keywords in publications related to livestock folding containers and sea tolls, distributed across 4 clusters as depicted in Figure 4. Table 8 presents the top 10 most frequently used keywords in the research topic of livestock folding containers and sea tolls. Overlay analysis indicates that keywords present in the research topic of livestock folding containers and sea tolls, such as 'container,' 'cargo,' 'livestock,' 'toll,' 'northern sea route,' 'ship,' 'vessel,' 'transportation,' 'sea transport,' and 'container transportation,' have been explored from 2018 to the present.</w:t>
      </w:r>
    </w:p>
    <w:p w14:paraId="5076E145"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en-US"/>
        </w:rPr>
        <w:lastRenderedPageBreak/>
        <w:drawing>
          <wp:inline distT="0" distB="0" distL="0" distR="0" wp14:anchorId="4945A85D" wp14:editId="1058D8BF">
            <wp:extent cx="4746625" cy="30079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56458" cy="3014533"/>
                    </a:xfrm>
                    <a:prstGeom prst="rect">
                      <a:avLst/>
                    </a:prstGeom>
                    <a:noFill/>
                  </pic:spPr>
                </pic:pic>
              </a:graphicData>
            </a:graphic>
          </wp:inline>
        </w:drawing>
      </w:r>
    </w:p>
    <w:p w14:paraId="7BACF6E5"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0"/>
          <w:szCs w:val="20"/>
        </w:rPr>
        <w:t>Figure 4</w:t>
      </w:r>
      <w:r>
        <w:rPr>
          <w:rFonts w:ascii="Times New Roman" w:hAnsi="Times New Roman" w:cs="Times New Roman"/>
          <w:color w:val="000000" w:themeColor="text1"/>
          <w:sz w:val="20"/>
          <w:szCs w:val="20"/>
        </w:rPr>
        <w:t>. Co-occurrence network map of the research topic of livestock folding containers and sea tolls based on keywords. (Source : Results of data analysis using VOSviewer)</w:t>
      </w:r>
    </w:p>
    <w:p w14:paraId="35889F6F" w14:textId="77777777" w:rsidR="00DB0BFA" w:rsidRDefault="00DB0BFA" w:rsidP="00116A41">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8</w:t>
      </w:r>
      <w:r>
        <w:rPr>
          <w:rFonts w:ascii="Times New Roman" w:hAnsi="Times New Roman" w:cs="Times New Roman"/>
          <w:color w:val="000000" w:themeColor="text1"/>
          <w:sz w:val="20"/>
          <w:szCs w:val="20"/>
        </w:rPr>
        <w:t>. The top ten keywords frequently used in the research topic of livestock folding containers and sea tolls</w:t>
      </w:r>
    </w:p>
    <w:tbl>
      <w:tblPr>
        <w:tblW w:w="6840" w:type="dxa"/>
        <w:tblInd w:w="1188" w:type="dxa"/>
        <w:tblLook w:val="04A0" w:firstRow="1" w:lastRow="0" w:firstColumn="1" w:lastColumn="0" w:noHBand="0" w:noVBand="1"/>
      </w:tblPr>
      <w:tblGrid>
        <w:gridCol w:w="1925"/>
        <w:gridCol w:w="1980"/>
        <w:gridCol w:w="2935"/>
      </w:tblGrid>
      <w:tr w:rsidR="00DB0BFA" w14:paraId="6D6291F6" w14:textId="77777777" w:rsidTr="0051144F">
        <w:trPr>
          <w:trHeight w:val="330"/>
        </w:trPr>
        <w:tc>
          <w:tcPr>
            <w:tcW w:w="1925" w:type="dxa"/>
            <w:tcBorders>
              <w:top w:val="double" w:sz="6" w:space="0" w:color="auto"/>
              <w:left w:val="nil"/>
              <w:bottom w:val="single" w:sz="8" w:space="0" w:color="auto"/>
              <w:right w:val="nil"/>
            </w:tcBorders>
            <w:shd w:val="clear" w:color="auto" w:fill="auto"/>
            <w:noWrap/>
            <w:vAlign w:val="center"/>
          </w:tcPr>
          <w:p w14:paraId="5559430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Keyword</w:t>
            </w:r>
          </w:p>
        </w:tc>
        <w:tc>
          <w:tcPr>
            <w:tcW w:w="1980" w:type="dxa"/>
            <w:tcBorders>
              <w:top w:val="double" w:sz="6" w:space="0" w:color="auto"/>
              <w:left w:val="nil"/>
              <w:bottom w:val="single" w:sz="8" w:space="0" w:color="auto"/>
              <w:right w:val="nil"/>
            </w:tcBorders>
            <w:shd w:val="clear" w:color="auto" w:fill="auto"/>
            <w:noWrap/>
            <w:vAlign w:val="center"/>
          </w:tcPr>
          <w:p w14:paraId="5C6E7934"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Occurrances</w:t>
            </w:r>
          </w:p>
        </w:tc>
        <w:tc>
          <w:tcPr>
            <w:tcW w:w="2935" w:type="dxa"/>
            <w:tcBorders>
              <w:top w:val="double" w:sz="6" w:space="0" w:color="auto"/>
              <w:left w:val="nil"/>
              <w:bottom w:val="single" w:sz="8" w:space="0" w:color="auto"/>
              <w:right w:val="nil"/>
            </w:tcBorders>
            <w:shd w:val="clear" w:color="auto" w:fill="auto"/>
            <w:noWrap/>
            <w:vAlign w:val="center"/>
          </w:tcPr>
          <w:p w14:paraId="152CA92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Total Link Strength</w:t>
            </w:r>
          </w:p>
        </w:tc>
      </w:tr>
      <w:tr w:rsidR="00DB0BFA" w14:paraId="6138BB9D" w14:textId="77777777" w:rsidTr="0051144F">
        <w:trPr>
          <w:trHeight w:val="300"/>
        </w:trPr>
        <w:tc>
          <w:tcPr>
            <w:tcW w:w="1925" w:type="dxa"/>
            <w:tcBorders>
              <w:top w:val="nil"/>
              <w:left w:val="nil"/>
              <w:bottom w:val="nil"/>
              <w:right w:val="nil"/>
            </w:tcBorders>
            <w:shd w:val="clear" w:color="auto" w:fill="auto"/>
            <w:noWrap/>
            <w:vAlign w:val="center"/>
          </w:tcPr>
          <w:p w14:paraId="7986852C"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container</w:t>
            </w:r>
          </w:p>
        </w:tc>
        <w:tc>
          <w:tcPr>
            <w:tcW w:w="1980" w:type="dxa"/>
            <w:tcBorders>
              <w:top w:val="nil"/>
              <w:left w:val="nil"/>
              <w:bottom w:val="nil"/>
              <w:right w:val="nil"/>
            </w:tcBorders>
            <w:shd w:val="clear" w:color="auto" w:fill="auto"/>
            <w:noWrap/>
            <w:vAlign w:val="center"/>
          </w:tcPr>
          <w:p w14:paraId="38AFDE19"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117</w:t>
            </w:r>
          </w:p>
        </w:tc>
        <w:tc>
          <w:tcPr>
            <w:tcW w:w="2935" w:type="dxa"/>
            <w:tcBorders>
              <w:top w:val="nil"/>
              <w:left w:val="nil"/>
              <w:bottom w:val="nil"/>
              <w:right w:val="nil"/>
            </w:tcBorders>
            <w:shd w:val="clear" w:color="auto" w:fill="auto"/>
            <w:noWrap/>
            <w:vAlign w:val="center"/>
          </w:tcPr>
          <w:p w14:paraId="4DE83B5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384</w:t>
            </w:r>
          </w:p>
        </w:tc>
      </w:tr>
      <w:tr w:rsidR="00DB0BFA" w14:paraId="28CEF9FB" w14:textId="77777777" w:rsidTr="0051144F">
        <w:trPr>
          <w:trHeight w:val="300"/>
        </w:trPr>
        <w:tc>
          <w:tcPr>
            <w:tcW w:w="1925" w:type="dxa"/>
            <w:tcBorders>
              <w:top w:val="nil"/>
              <w:left w:val="nil"/>
              <w:bottom w:val="nil"/>
              <w:right w:val="nil"/>
            </w:tcBorders>
            <w:shd w:val="clear" w:color="auto" w:fill="auto"/>
            <w:noWrap/>
            <w:vAlign w:val="center"/>
          </w:tcPr>
          <w:p w14:paraId="5882556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livestock</w:t>
            </w:r>
          </w:p>
        </w:tc>
        <w:tc>
          <w:tcPr>
            <w:tcW w:w="1980" w:type="dxa"/>
            <w:tcBorders>
              <w:top w:val="nil"/>
              <w:left w:val="nil"/>
              <w:bottom w:val="nil"/>
              <w:right w:val="nil"/>
            </w:tcBorders>
            <w:shd w:val="clear" w:color="auto" w:fill="auto"/>
            <w:noWrap/>
            <w:vAlign w:val="center"/>
          </w:tcPr>
          <w:p w14:paraId="1B13CC7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94</w:t>
            </w:r>
          </w:p>
        </w:tc>
        <w:tc>
          <w:tcPr>
            <w:tcW w:w="2935" w:type="dxa"/>
            <w:tcBorders>
              <w:top w:val="nil"/>
              <w:left w:val="nil"/>
              <w:bottom w:val="nil"/>
              <w:right w:val="nil"/>
            </w:tcBorders>
            <w:shd w:val="clear" w:color="auto" w:fill="auto"/>
            <w:noWrap/>
            <w:vAlign w:val="center"/>
          </w:tcPr>
          <w:p w14:paraId="61983FA8"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420</w:t>
            </w:r>
          </w:p>
        </w:tc>
      </w:tr>
      <w:tr w:rsidR="00DB0BFA" w14:paraId="55CED717" w14:textId="77777777" w:rsidTr="0051144F">
        <w:trPr>
          <w:trHeight w:val="300"/>
        </w:trPr>
        <w:tc>
          <w:tcPr>
            <w:tcW w:w="1925" w:type="dxa"/>
            <w:tcBorders>
              <w:top w:val="nil"/>
              <w:left w:val="nil"/>
              <w:bottom w:val="nil"/>
              <w:right w:val="nil"/>
            </w:tcBorders>
            <w:shd w:val="clear" w:color="auto" w:fill="auto"/>
            <w:noWrap/>
            <w:vAlign w:val="center"/>
          </w:tcPr>
          <w:p w14:paraId="2758E5E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paper</w:t>
            </w:r>
          </w:p>
        </w:tc>
        <w:tc>
          <w:tcPr>
            <w:tcW w:w="1980" w:type="dxa"/>
            <w:tcBorders>
              <w:top w:val="nil"/>
              <w:left w:val="nil"/>
              <w:bottom w:val="nil"/>
              <w:right w:val="nil"/>
            </w:tcBorders>
            <w:shd w:val="clear" w:color="auto" w:fill="auto"/>
            <w:noWrap/>
            <w:vAlign w:val="center"/>
          </w:tcPr>
          <w:p w14:paraId="1877BE76"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86</w:t>
            </w:r>
          </w:p>
        </w:tc>
        <w:tc>
          <w:tcPr>
            <w:tcW w:w="2935" w:type="dxa"/>
            <w:tcBorders>
              <w:top w:val="nil"/>
              <w:left w:val="nil"/>
              <w:bottom w:val="nil"/>
              <w:right w:val="nil"/>
            </w:tcBorders>
            <w:shd w:val="clear" w:color="auto" w:fill="auto"/>
            <w:noWrap/>
            <w:vAlign w:val="center"/>
          </w:tcPr>
          <w:p w14:paraId="44D2608D"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430</w:t>
            </w:r>
          </w:p>
        </w:tc>
      </w:tr>
      <w:tr w:rsidR="00DB0BFA" w14:paraId="730C0033" w14:textId="77777777" w:rsidTr="0051144F">
        <w:trPr>
          <w:trHeight w:val="300"/>
        </w:trPr>
        <w:tc>
          <w:tcPr>
            <w:tcW w:w="1925" w:type="dxa"/>
            <w:tcBorders>
              <w:top w:val="nil"/>
              <w:left w:val="nil"/>
              <w:bottom w:val="nil"/>
              <w:right w:val="nil"/>
            </w:tcBorders>
            <w:shd w:val="clear" w:color="auto" w:fill="auto"/>
            <w:noWrap/>
            <w:vAlign w:val="center"/>
          </w:tcPr>
          <w:p w14:paraId="7B1E6D56"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port</w:t>
            </w:r>
          </w:p>
        </w:tc>
        <w:tc>
          <w:tcPr>
            <w:tcW w:w="1980" w:type="dxa"/>
            <w:tcBorders>
              <w:top w:val="nil"/>
              <w:left w:val="nil"/>
              <w:bottom w:val="nil"/>
              <w:right w:val="nil"/>
            </w:tcBorders>
            <w:shd w:val="clear" w:color="auto" w:fill="auto"/>
            <w:noWrap/>
            <w:vAlign w:val="center"/>
          </w:tcPr>
          <w:p w14:paraId="5955703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73</w:t>
            </w:r>
          </w:p>
        </w:tc>
        <w:tc>
          <w:tcPr>
            <w:tcW w:w="2935" w:type="dxa"/>
            <w:tcBorders>
              <w:top w:val="nil"/>
              <w:left w:val="nil"/>
              <w:bottom w:val="nil"/>
              <w:right w:val="nil"/>
            </w:tcBorders>
            <w:shd w:val="clear" w:color="auto" w:fill="auto"/>
            <w:noWrap/>
            <w:vAlign w:val="center"/>
          </w:tcPr>
          <w:p w14:paraId="3DBF682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331</w:t>
            </w:r>
          </w:p>
        </w:tc>
      </w:tr>
      <w:tr w:rsidR="00DB0BFA" w14:paraId="6992E017" w14:textId="77777777" w:rsidTr="0051144F">
        <w:trPr>
          <w:trHeight w:val="300"/>
        </w:trPr>
        <w:tc>
          <w:tcPr>
            <w:tcW w:w="1925" w:type="dxa"/>
            <w:tcBorders>
              <w:top w:val="nil"/>
              <w:left w:val="nil"/>
              <w:bottom w:val="nil"/>
              <w:right w:val="nil"/>
            </w:tcBorders>
            <w:shd w:val="clear" w:color="auto" w:fill="auto"/>
            <w:noWrap/>
            <w:vAlign w:val="center"/>
          </w:tcPr>
          <w:p w14:paraId="2E70A8C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area</w:t>
            </w:r>
          </w:p>
        </w:tc>
        <w:tc>
          <w:tcPr>
            <w:tcW w:w="1980" w:type="dxa"/>
            <w:tcBorders>
              <w:top w:val="nil"/>
              <w:left w:val="nil"/>
              <w:bottom w:val="nil"/>
              <w:right w:val="nil"/>
            </w:tcBorders>
            <w:shd w:val="clear" w:color="auto" w:fill="auto"/>
            <w:noWrap/>
            <w:vAlign w:val="center"/>
          </w:tcPr>
          <w:p w14:paraId="3307A4B3"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67</w:t>
            </w:r>
          </w:p>
        </w:tc>
        <w:tc>
          <w:tcPr>
            <w:tcW w:w="2935" w:type="dxa"/>
            <w:tcBorders>
              <w:top w:val="nil"/>
              <w:left w:val="nil"/>
              <w:bottom w:val="nil"/>
              <w:right w:val="nil"/>
            </w:tcBorders>
            <w:shd w:val="clear" w:color="auto" w:fill="auto"/>
            <w:noWrap/>
            <w:vAlign w:val="center"/>
          </w:tcPr>
          <w:p w14:paraId="474628AA"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910</w:t>
            </w:r>
          </w:p>
        </w:tc>
      </w:tr>
      <w:tr w:rsidR="00DB0BFA" w14:paraId="0CE69FC0" w14:textId="77777777" w:rsidTr="0051144F">
        <w:trPr>
          <w:trHeight w:val="300"/>
        </w:trPr>
        <w:tc>
          <w:tcPr>
            <w:tcW w:w="1925" w:type="dxa"/>
            <w:tcBorders>
              <w:top w:val="nil"/>
              <w:left w:val="nil"/>
              <w:bottom w:val="nil"/>
              <w:right w:val="nil"/>
            </w:tcBorders>
            <w:shd w:val="clear" w:color="auto" w:fill="auto"/>
            <w:noWrap/>
            <w:vAlign w:val="center"/>
          </w:tcPr>
          <w:p w14:paraId="42ABC67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ship</w:t>
            </w:r>
          </w:p>
        </w:tc>
        <w:tc>
          <w:tcPr>
            <w:tcW w:w="1980" w:type="dxa"/>
            <w:tcBorders>
              <w:top w:val="nil"/>
              <w:left w:val="nil"/>
              <w:bottom w:val="nil"/>
              <w:right w:val="nil"/>
            </w:tcBorders>
            <w:shd w:val="clear" w:color="auto" w:fill="auto"/>
            <w:noWrap/>
            <w:vAlign w:val="center"/>
          </w:tcPr>
          <w:p w14:paraId="52EABE7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62</w:t>
            </w:r>
          </w:p>
        </w:tc>
        <w:tc>
          <w:tcPr>
            <w:tcW w:w="2935" w:type="dxa"/>
            <w:tcBorders>
              <w:top w:val="nil"/>
              <w:left w:val="nil"/>
              <w:bottom w:val="nil"/>
              <w:right w:val="nil"/>
            </w:tcBorders>
            <w:shd w:val="clear" w:color="auto" w:fill="auto"/>
            <w:noWrap/>
            <w:vAlign w:val="center"/>
          </w:tcPr>
          <w:p w14:paraId="1298D9C2"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346</w:t>
            </w:r>
          </w:p>
        </w:tc>
      </w:tr>
      <w:tr w:rsidR="00DB0BFA" w14:paraId="51A6D384" w14:textId="77777777" w:rsidTr="0051144F">
        <w:trPr>
          <w:trHeight w:val="300"/>
        </w:trPr>
        <w:tc>
          <w:tcPr>
            <w:tcW w:w="1925" w:type="dxa"/>
            <w:tcBorders>
              <w:top w:val="nil"/>
              <w:left w:val="nil"/>
              <w:bottom w:val="nil"/>
              <w:right w:val="nil"/>
            </w:tcBorders>
            <w:shd w:val="clear" w:color="auto" w:fill="auto"/>
            <w:noWrap/>
            <w:vAlign w:val="center"/>
          </w:tcPr>
          <w:p w14:paraId="068B4C0A"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cattle</w:t>
            </w:r>
          </w:p>
        </w:tc>
        <w:tc>
          <w:tcPr>
            <w:tcW w:w="1980" w:type="dxa"/>
            <w:tcBorders>
              <w:top w:val="nil"/>
              <w:left w:val="nil"/>
              <w:bottom w:val="nil"/>
              <w:right w:val="nil"/>
            </w:tcBorders>
            <w:shd w:val="clear" w:color="auto" w:fill="auto"/>
            <w:noWrap/>
            <w:vAlign w:val="center"/>
          </w:tcPr>
          <w:p w14:paraId="28F0D375"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61</w:t>
            </w:r>
          </w:p>
        </w:tc>
        <w:tc>
          <w:tcPr>
            <w:tcW w:w="2935" w:type="dxa"/>
            <w:tcBorders>
              <w:top w:val="nil"/>
              <w:left w:val="nil"/>
              <w:bottom w:val="nil"/>
              <w:right w:val="nil"/>
            </w:tcBorders>
            <w:shd w:val="clear" w:color="auto" w:fill="auto"/>
            <w:noWrap/>
            <w:vAlign w:val="center"/>
          </w:tcPr>
          <w:p w14:paraId="39ECEF58"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278</w:t>
            </w:r>
          </w:p>
        </w:tc>
      </w:tr>
      <w:tr w:rsidR="00DB0BFA" w14:paraId="1FDD8AF1" w14:textId="77777777" w:rsidTr="0051144F">
        <w:trPr>
          <w:trHeight w:val="300"/>
        </w:trPr>
        <w:tc>
          <w:tcPr>
            <w:tcW w:w="1925" w:type="dxa"/>
            <w:tcBorders>
              <w:top w:val="nil"/>
              <w:left w:val="nil"/>
              <w:bottom w:val="nil"/>
              <w:right w:val="nil"/>
            </w:tcBorders>
            <w:shd w:val="clear" w:color="auto" w:fill="auto"/>
            <w:noWrap/>
            <w:vAlign w:val="center"/>
          </w:tcPr>
          <w:p w14:paraId="080D52E9"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management</w:t>
            </w:r>
          </w:p>
        </w:tc>
        <w:tc>
          <w:tcPr>
            <w:tcW w:w="1980" w:type="dxa"/>
            <w:tcBorders>
              <w:top w:val="nil"/>
              <w:left w:val="nil"/>
              <w:bottom w:val="nil"/>
              <w:right w:val="nil"/>
            </w:tcBorders>
            <w:shd w:val="clear" w:color="auto" w:fill="auto"/>
            <w:noWrap/>
            <w:vAlign w:val="center"/>
          </w:tcPr>
          <w:p w14:paraId="023273F7"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55</w:t>
            </w:r>
          </w:p>
        </w:tc>
        <w:tc>
          <w:tcPr>
            <w:tcW w:w="2935" w:type="dxa"/>
            <w:tcBorders>
              <w:top w:val="nil"/>
              <w:left w:val="nil"/>
              <w:bottom w:val="nil"/>
              <w:right w:val="nil"/>
            </w:tcBorders>
            <w:shd w:val="clear" w:color="auto" w:fill="auto"/>
            <w:noWrap/>
            <w:vAlign w:val="center"/>
          </w:tcPr>
          <w:p w14:paraId="64976A8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218</w:t>
            </w:r>
          </w:p>
        </w:tc>
      </w:tr>
      <w:tr w:rsidR="00DB0BFA" w14:paraId="0EC629EE" w14:textId="77777777" w:rsidTr="0051144F">
        <w:trPr>
          <w:trHeight w:val="300"/>
        </w:trPr>
        <w:tc>
          <w:tcPr>
            <w:tcW w:w="1925" w:type="dxa"/>
            <w:tcBorders>
              <w:top w:val="nil"/>
              <w:left w:val="nil"/>
              <w:bottom w:val="nil"/>
              <w:right w:val="nil"/>
            </w:tcBorders>
            <w:shd w:val="clear" w:color="auto" w:fill="auto"/>
            <w:noWrap/>
            <w:vAlign w:val="center"/>
          </w:tcPr>
          <w:p w14:paraId="11281340"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vessel</w:t>
            </w:r>
          </w:p>
        </w:tc>
        <w:tc>
          <w:tcPr>
            <w:tcW w:w="1980" w:type="dxa"/>
            <w:tcBorders>
              <w:top w:val="nil"/>
              <w:left w:val="nil"/>
              <w:bottom w:val="nil"/>
              <w:right w:val="nil"/>
            </w:tcBorders>
            <w:shd w:val="clear" w:color="auto" w:fill="auto"/>
            <w:noWrap/>
            <w:vAlign w:val="center"/>
          </w:tcPr>
          <w:p w14:paraId="49772D9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52</w:t>
            </w:r>
          </w:p>
        </w:tc>
        <w:tc>
          <w:tcPr>
            <w:tcW w:w="2935" w:type="dxa"/>
            <w:tcBorders>
              <w:top w:val="nil"/>
              <w:left w:val="nil"/>
              <w:bottom w:val="nil"/>
              <w:right w:val="nil"/>
            </w:tcBorders>
            <w:shd w:val="clear" w:color="auto" w:fill="auto"/>
            <w:noWrap/>
            <w:vAlign w:val="center"/>
          </w:tcPr>
          <w:p w14:paraId="7C1D655A"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294</w:t>
            </w:r>
          </w:p>
        </w:tc>
      </w:tr>
      <w:tr w:rsidR="00DB0BFA" w14:paraId="53A35B52" w14:textId="77777777" w:rsidTr="0051144F">
        <w:trPr>
          <w:trHeight w:val="315"/>
        </w:trPr>
        <w:tc>
          <w:tcPr>
            <w:tcW w:w="1925" w:type="dxa"/>
            <w:tcBorders>
              <w:top w:val="nil"/>
              <w:left w:val="nil"/>
              <w:bottom w:val="single" w:sz="8" w:space="0" w:color="auto"/>
              <w:right w:val="nil"/>
            </w:tcBorders>
            <w:shd w:val="clear" w:color="auto" w:fill="auto"/>
            <w:noWrap/>
            <w:vAlign w:val="center"/>
          </w:tcPr>
          <w:p w14:paraId="6343493B"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transportation</w:t>
            </w:r>
          </w:p>
        </w:tc>
        <w:tc>
          <w:tcPr>
            <w:tcW w:w="1980" w:type="dxa"/>
            <w:tcBorders>
              <w:top w:val="nil"/>
              <w:left w:val="nil"/>
              <w:bottom w:val="single" w:sz="8" w:space="0" w:color="auto"/>
              <w:right w:val="nil"/>
            </w:tcBorders>
            <w:shd w:val="clear" w:color="auto" w:fill="auto"/>
            <w:noWrap/>
            <w:vAlign w:val="center"/>
          </w:tcPr>
          <w:p w14:paraId="275D37FF"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51</w:t>
            </w:r>
          </w:p>
        </w:tc>
        <w:tc>
          <w:tcPr>
            <w:tcW w:w="2935" w:type="dxa"/>
            <w:tcBorders>
              <w:top w:val="nil"/>
              <w:left w:val="nil"/>
              <w:bottom w:val="single" w:sz="8" w:space="0" w:color="auto"/>
              <w:right w:val="nil"/>
            </w:tcBorders>
            <w:shd w:val="clear" w:color="auto" w:fill="auto"/>
            <w:noWrap/>
            <w:vAlign w:val="center"/>
          </w:tcPr>
          <w:p w14:paraId="3E3A0A21" w14:textId="77777777" w:rsidR="00DB0BFA" w:rsidRDefault="00DB0BFA" w:rsidP="00116A4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524</w:t>
            </w:r>
          </w:p>
        </w:tc>
      </w:tr>
    </w:tbl>
    <w:p w14:paraId="3CF32FA2" w14:textId="77777777" w:rsidR="00DB0BFA" w:rsidRDefault="00DB0BFA" w:rsidP="00116A4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0"/>
          <w:szCs w:val="20"/>
        </w:rPr>
        <w:t>(Source : Results of data analysis using VOSviewer)</w:t>
      </w:r>
    </w:p>
    <w:p w14:paraId="58772155" w14:textId="77777777" w:rsidR="00DB0BFA" w:rsidRDefault="00DB0BFA" w:rsidP="00116A41">
      <w:pPr>
        <w:spacing w:after="0" w:line="240" w:lineRule="auto"/>
        <w:jc w:val="both"/>
        <w:rPr>
          <w:rFonts w:ascii="Times New Roman" w:hAnsi="Times New Roman" w:cs="Times New Roman"/>
          <w:b/>
          <w:color w:val="000000" w:themeColor="text1"/>
          <w:sz w:val="24"/>
          <w:szCs w:val="24"/>
        </w:rPr>
      </w:pPr>
    </w:p>
    <w:p w14:paraId="6D469EA8" w14:textId="77777777" w:rsidR="00DB0BFA" w:rsidRDefault="00DB0BFA" w:rsidP="00116A41">
      <w:pPr>
        <w:pStyle w:val="ListParagraph"/>
        <w:spacing w:after="0" w:line="240" w:lineRule="auto"/>
        <w:ind w:left="0"/>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lang w:val="en-US"/>
        </w:rPr>
        <w:t>5.C</w:t>
      </w:r>
      <w:r>
        <w:rPr>
          <w:rFonts w:ascii="Times New Roman" w:hAnsi="Times New Roman" w:cs="Times New Roman"/>
          <w:b/>
          <w:color w:val="000000" w:themeColor="text1"/>
          <w:sz w:val="24"/>
          <w:szCs w:val="24"/>
        </w:rPr>
        <w:t>onclusion</w:t>
      </w:r>
      <w:proofErr w:type="gramEnd"/>
      <w:r>
        <w:rPr>
          <w:rFonts w:ascii="Times New Roman" w:hAnsi="Times New Roman" w:cs="Times New Roman"/>
          <w:b/>
          <w:color w:val="000000" w:themeColor="text1"/>
          <w:sz w:val="24"/>
          <w:szCs w:val="24"/>
        </w:rPr>
        <w:t xml:space="preserve"> and further research</w:t>
      </w:r>
    </w:p>
    <w:p w14:paraId="494178A2" w14:textId="77777777" w:rsidR="00DB0BFA" w:rsidRDefault="00DB0BFA" w:rsidP="00116A41">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Starting from 2018, research topics related to livestock folding containers and sea toll have shown a consistent increase up to the present. The most prolific author in publishing research on livestock folding containers and sea toll is David C. Barret, with 45 documented publications, while the author with the highest number of citations is Stephen C. Bishop, with 124 citations. The most productive country in publishing research on livestock folding containers and sea toll is the United Kingdom. Institutions such as Professor of Bovine Medicine, Editorial Board Member, Consultant Editor, Central University of Tamil Nadu, European Specialist in Equine Internal, Los Alamos National Lab, Howells Veterinary Services, Scottish Center for Production Animal, and Veterinary Surgeon and Consultant are among the leading contributors in publishing research on livestock folding containers and sea toll. Research topics such as container, livestock, toll, Northern Sea Route, ship, vessel, transportation, and container transportation have been consistently studied since 2018 up to the present. As of the writing of this paper, no identified work has modeled transportation for livestock </w:t>
      </w:r>
      <w:r>
        <w:rPr>
          <w:rFonts w:ascii="Times New Roman" w:hAnsi="Times New Roman" w:cs="Times New Roman"/>
          <w:color w:val="000000" w:themeColor="text1"/>
          <w:sz w:val="24"/>
          <w:szCs w:val="24"/>
        </w:rPr>
        <w:lastRenderedPageBreak/>
        <w:t>folding container ships as a support for sea toll. The obtained results are expected to expand knowledge, and future researchers will be able to identify and fill gaps in research areas that require further investigation to complement the existing research literature.</w:t>
      </w:r>
    </w:p>
    <w:p w14:paraId="37F4ED7C" w14:textId="77777777" w:rsidR="00E9679E" w:rsidRDefault="00E9679E" w:rsidP="00116A41">
      <w:pPr>
        <w:tabs>
          <w:tab w:val="left" w:pos="6195"/>
        </w:tabs>
        <w:spacing w:after="0" w:line="240" w:lineRule="auto"/>
        <w:rPr>
          <w:rFonts w:ascii="Times New Roman" w:hAnsi="Times New Roman" w:cs="Times New Roman"/>
          <w:b/>
          <w:lang w:val="en-US"/>
        </w:rPr>
      </w:pPr>
    </w:p>
    <w:p w14:paraId="0650A093" w14:textId="56DF9D96" w:rsidR="009C2DE6" w:rsidRPr="00BA71DD" w:rsidRDefault="006E60BF" w:rsidP="00116A41">
      <w:pPr>
        <w:tabs>
          <w:tab w:val="left" w:pos="6195"/>
        </w:tabs>
        <w:spacing w:after="0" w:line="240" w:lineRule="auto"/>
        <w:rPr>
          <w:rFonts w:ascii="Times New Roman" w:hAnsi="Times New Roman" w:cs="Times New Roman"/>
          <w:b/>
          <w:sz w:val="24"/>
          <w:szCs w:val="24"/>
          <w:lang w:val="en-US"/>
        </w:rPr>
      </w:pPr>
      <w:r w:rsidRPr="00BA71DD">
        <w:rPr>
          <w:rFonts w:ascii="Times New Roman" w:hAnsi="Times New Roman" w:cs="Times New Roman"/>
          <w:b/>
          <w:sz w:val="24"/>
          <w:szCs w:val="24"/>
          <w:lang w:val="en-US"/>
        </w:rPr>
        <w:t>Bibliography</w:t>
      </w:r>
    </w:p>
    <w:bookmarkEnd w:id="0"/>
    <w:p w14:paraId="574F4BDD" w14:textId="77777777"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Soedarno, B. Ranti and W. S. Nugroho, "</w:t>
      </w:r>
      <w:r>
        <w:rPr>
          <w:rFonts w:ascii="Times New Roman" w:hAnsi="Times New Roman" w:cs="Times New Roman"/>
          <w:i/>
          <w:color w:val="000000" w:themeColor="text1"/>
          <w:sz w:val="24"/>
          <w:szCs w:val="24"/>
        </w:rPr>
        <w:t>Use of Physical Internet System to Increase Effectiveness of Sea Toll Logistics Operations in Indonesia</w:t>
      </w:r>
      <w:r>
        <w:rPr>
          <w:rFonts w:ascii="Times New Roman" w:hAnsi="Times New Roman" w:cs="Times New Roman"/>
          <w:color w:val="000000" w:themeColor="text1"/>
          <w:sz w:val="24"/>
          <w:szCs w:val="24"/>
        </w:rPr>
        <w:t>," 2020 6th International Conference on Interactive Digital Media (ICIDM), Bandung, Indonesia, 2020, pp. 1-6, doi: 10.1109/ICIDM51048.2020.9339641.</w:t>
      </w:r>
    </w:p>
    <w:p w14:paraId="181E44C4" w14:textId="77777777"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p>
    <w:p w14:paraId="3B2FBD1A" w14:textId="2B56A56E"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Sutini, S. (2022). Pengembangan Sistem Logistik yang Efektif dengan Penataan Muatan Kontainer di Kapal Kontainer. </w:t>
      </w:r>
      <w:r>
        <w:rPr>
          <w:rFonts w:ascii="Times New Roman" w:hAnsi="Times New Roman" w:cs="Times New Roman"/>
          <w:i/>
          <w:iCs/>
          <w:color w:val="000000" w:themeColor="text1"/>
          <w:sz w:val="24"/>
          <w:szCs w:val="24"/>
        </w:rPr>
        <w:t>PROSIDING</w:t>
      </w:r>
      <w:r>
        <w:rPr>
          <w:rFonts w:ascii="Times New Roman" w:hAnsi="Times New Roman" w:cs="Times New Roman"/>
          <w:color w:val="000000" w:themeColor="text1"/>
          <w:sz w:val="24"/>
          <w:szCs w:val="24"/>
        </w:rPr>
        <w:t>.</w:t>
      </w:r>
    </w:p>
    <w:p w14:paraId="23864CFB" w14:textId="36152C20"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Hakim, L. (2016). Penentuan Rute Pelayaran Terbaik Untuk Mendukung Program Tol Laut NKRI (Studi Kasus: Rute Pelayaran Pelabuhan Belawan Menuju Pelabuhan Tanjung Priok). </w:t>
      </w:r>
      <w:r>
        <w:rPr>
          <w:rFonts w:ascii="Times New Roman" w:hAnsi="Times New Roman" w:cs="Times New Roman"/>
          <w:i/>
          <w:iCs/>
          <w:color w:val="000000" w:themeColor="text1"/>
          <w:sz w:val="24"/>
          <w:szCs w:val="24"/>
        </w:rPr>
        <w:t>Jurnal Geografi Gea</w:t>
      </w:r>
      <w:r>
        <w:rPr>
          <w:rFonts w:ascii="Times New Roman" w:hAnsi="Times New Roman" w:cs="Times New Roman"/>
          <w:color w:val="000000" w:themeColor="text1"/>
          <w:sz w:val="24"/>
          <w:szCs w:val="24"/>
        </w:rPr>
        <w:t>, </w:t>
      </w:r>
      <w:r>
        <w:rPr>
          <w:rFonts w:ascii="Times New Roman" w:hAnsi="Times New Roman" w:cs="Times New Roman"/>
          <w:i/>
          <w:iCs/>
          <w:color w:val="000000" w:themeColor="text1"/>
          <w:sz w:val="24"/>
          <w:szCs w:val="24"/>
        </w:rPr>
        <w:t>16</w:t>
      </w:r>
      <w:r>
        <w:rPr>
          <w:rFonts w:ascii="Times New Roman" w:hAnsi="Times New Roman" w:cs="Times New Roman"/>
          <w:color w:val="000000" w:themeColor="text1"/>
          <w:sz w:val="24"/>
          <w:szCs w:val="24"/>
        </w:rPr>
        <w:t>(2), 160-168.</w:t>
      </w:r>
    </w:p>
    <w:p w14:paraId="37F1067C" w14:textId="654AA62F"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Nurzanah, W. (2020). Analisa Waktu Tunggu Bongkar Muat Kapal Dengan Fasilitas Crane Di Pelabuhan Gabion Belawan. </w:t>
      </w:r>
      <w:r>
        <w:rPr>
          <w:rFonts w:ascii="Times New Roman" w:hAnsi="Times New Roman" w:cs="Times New Roman"/>
          <w:i/>
          <w:iCs/>
          <w:color w:val="000000" w:themeColor="text1"/>
          <w:sz w:val="24"/>
          <w:szCs w:val="24"/>
        </w:rPr>
        <w:t>Buletin Utama Teknik</w:t>
      </w:r>
      <w:r>
        <w:rPr>
          <w:rFonts w:ascii="Times New Roman" w:hAnsi="Times New Roman" w:cs="Times New Roman"/>
          <w:color w:val="000000" w:themeColor="text1"/>
          <w:sz w:val="24"/>
          <w:szCs w:val="24"/>
        </w:rPr>
        <w:t>, </w:t>
      </w:r>
      <w:r>
        <w:rPr>
          <w:rFonts w:ascii="Times New Roman" w:hAnsi="Times New Roman" w:cs="Times New Roman"/>
          <w:i/>
          <w:iCs/>
          <w:color w:val="000000" w:themeColor="text1"/>
          <w:sz w:val="24"/>
          <w:szCs w:val="24"/>
        </w:rPr>
        <w:t>15</w:t>
      </w:r>
      <w:r>
        <w:rPr>
          <w:rFonts w:ascii="Times New Roman" w:hAnsi="Times New Roman" w:cs="Times New Roman"/>
          <w:color w:val="000000" w:themeColor="text1"/>
          <w:sz w:val="24"/>
          <w:szCs w:val="24"/>
        </w:rPr>
        <w:t>(2), 180-190.</w:t>
      </w:r>
    </w:p>
    <w:p w14:paraId="73BCAE9F" w14:textId="7BD63BC0"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Subiyantoro, C., &amp; Achmadi, I. T. (2016). Pengembangan Desain Peti Kemas Konvensional Menjadi Peti Kemas Lipat Khusus untuk Alat Angkut Sapi. Institut Teknologi Sepuluh Nopember Surabaya.</w:t>
      </w:r>
    </w:p>
    <w:p w14:paraId="6C28DE5B" w14:textId="64BF3D6B"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 J. Cobo, A. G. Lopez-Herrera, E. Herrera-Viedma, and F. Herrera, “Science Mapping Software Tools: Review, Analysis, and Cooperative Study Among Tools,” </w:t>
      </w:r>
      <w:r>
        <w:rPr>
          <w:rFonts w:ascii="Times New Roman" w:hAnsi="Times New Roman" w:cs="Times New Roman"/>
          <w:i/>
          <w:iCs/>
          <w:color w:val="000000" w:themeColor="text1"/>
          <w:sz w:val="24"/>
          <w:szCs w:val="24"/>
        </w:rPr>
        <w:t>J. Am. Soc. Inf. Sci. Technol.</w:t>
      </w:r>
      <w:r>
        <w:rPr>
          <w:rFonts w:ascii="Times New Roman" w:hAnsi="Times New Roman" w:cs="Times New Roman"/>
          <w:color w:val="000000" w:themeColor="text1"/>
          <w:sz w:val="24"/>
          <w:szCs w:val="24"/>
        </w:rPr>
        <w:t>, vol. 62, no. 7, pp. 1382–1402, 2011.</w:t>
      </w:r>
    </w:p>
    <w:p w14:paraId="1E74693C" w14:textId="7EF0B0BE" w:rsidR="00BA71DD" w:rsidRDefault="00BA71DD" w:rsidP="00116A41">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 P. R. Bolivar, L. A. Munoz, and M. J. Cobo, “Analyzing the Scientific Evolution and Impact of e-Participation Research in JCR Journals Using Science Mapping,” </w:t>
      </w:r>
      <w:r>
        <w:rPr>
          <w:rFonts w:ascii="Times New Roman" w:hAnsi="Times New Roman" w:cs="Times New Roman"/>
          <w:i/>
          <w:iCs/>
          <w:color w:val="000000" w:themeColor="text1"/>
          <w:sz w:val="24"/>
          <w:szCs w:val="24"/>
        </w:rPr>
        <w:t>Int. J. Infformation Manag.</w:t>
      </w:r>
      <w:r>
        <w:rPr>
          <w:rFonts w:ascii="Times New Roman" w:hAnsi="Times New Roman" w:cs="Times New Roman"/>
          <w:color w:val="000000" w:themeColor="text1"/>
          <w:sz w:val="24"/>
          <w:szCs w:val="24"/>
        </w:rPr>
        <w:t>, vol. 40, pp. 111–119, 2018.</w:t>
      </w:r>
    </w:p>
    <w:p w14:paraId="5E7472B8" w14:textId="72B9742A"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Chen, “Mapping Scientific Frontiers : The Quest for Knowledge Visualization,” </w:t>
      </w:r>
      <w:r>
        <w:rPr>
          <w:rFonts w:ascii="Times New Roman" w:hAnsi="Times New Roman" w:cs="Times New Roman"/>
          <w:i/>
          <w:iCs/>
          <w:color w:val="000000" w:themeColor="text1"/>
          <w:sz w:val="24"/>
          <w:szCs w:val="24"/>
        </w:rPr>
        <w:t>Second</w:t>
      </w:r>
      <w:r>
        <w:rPr>
          <w:rFonts w:ascii="Times New Roman" w:hAnsi="Times New Roman" w:cs="Times New Roman"/>
          <w:color w:val="000000" w:themeColor="text1"/>
          <w:sz w:val="24"/>
          <w:szCs w:val="24"/>
        </w:rPr>
        <w:t>, vol. 9781447151, no. Springer-Verlag London Ltd, 2013.</w:t>
      </w:r>
    </w:p>
    <w:p w14:paraId="54894165" w14:textId="77777777" w:rsidR="00116A41"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 J. van Eck and L. Waltman, </w:t>
      </w:r>
      <w:r>
        <w:rPr>
          <w:rFonts w:ascii="Times New Roman" w:hAnsi="Times New Roman" w:cs="Times New Roman"/>
          <w:i/>
          <w:iCs/>
          <w:color w:val="000000" w:themeColor="text1"/>
          <w:sz w:val="24"/>
          <w:szCs w:val="24"/>
        </w:rPr>
        <w:t>VOSviwer Manual</w:t>
      </w:r>
      <w:r>
        <w:rPr>
          <w:rFonts w:ascii="Times New Roman" w:hAnsi="Times New Roman" w:cs="Times New Roman"/>
          <w:color w:val="000000" w:themeColor="text1"/>
          <w:sz w:val="24"/>
          <w:szCs w:val="24"/>
        </w:rPr>
        <w:t>. Netherland: Universiteit Leiden, 2017.</w:t>
      </w:r>
    </w:p>
    <w:p w14:paraId="75F8AD20" w14:textId="50971B04"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Fahmiasari, H., &amp; Parikesit, D. (2017). </w:t>
      </w:r>
      <w:r>
        <w:rPr>
          <w:rFonts w:ascii="Times New Roman" w:hAnsi="Times New Roman" w:cs="Times New Roman"/>
          <w:i/>
          <w:color w:val="000000" w:themeColor="text1"/>
          <w:sz w:val="24"/>
          <w:szCs w:val="24"/>
        </w:rPr>
        <w:t>Container shipping network efficiency comparison in Indonesia: Nusantara Pendulum and Sea Tollway</w:t>
      </w:r>
      <w:r>
        <w:rPr>
          <w:rFonts w:ascii="Times New Roman" w:hAnsi="Times New Roman" w:cs="Times New Roman"/>
          <w:color w:val="000000" w:themeColor="text1"/>
          <w:sz w:val="24"/>
          <w:szCs w:val="24"/>
        </w:rPr>
        <w:t>. The Asian Journal of Shipping and Logistics, 33(2), 79-84.</w:t>
      </w:r>
    </w:p>
    <w:p w14:paraId="5F84AD59" w14:textId="4FF4479D"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Bishop, S. C., &amp; Woolliams, J. A. (2014). Genomics and disease resistance studies in livestock. Livestock science, 166, 190-198.</w:t>
      </w:r>
    </w:p>
    <w:p w14:paraId="5E703993" w14:textId="696C1FBC"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Qanbari, S., &amp; Simianer, H. (2014). Mapping signatures of positive selection in the genome of livestock. Livestock science, 166, 133-143.</w:t>
      </w:r>
    </w:p>
    <w:p w14:paraId="2E1CBA62" w14:textId="740A56FF"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Gharehgozli, A. H., Roy, D., &amp; De Koster, R. (2016). Sea container terminals: New technologies and OR models. Maritime Economics &amp; Logistics, 18, 103-140.</w:t>
      </w:r>
    </w:p>
    <w:p w14:paraId="37D0ACB1" w14:textId="4BB85D76"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 D., &amp; Arthanari, T. S. (2016). Container relocation problem with time windows for container departure. European Journal of Operational Research, 252(3), 1031-1039.</w:t>
      </w:r>
    </w:p>
    <w:p w14:paraId="06BDDF64" w14:textId="7AE65633"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McClelland, S. C., Arndt, C., Gordon, D. R., &amp; Thoma, G. (2018). Type and number of environmental impact categories used in livestock life cycle assessment: A systematic review. Livestock Science, 209, 39-45.</w:t>
      </w:r>
    </w:p>
    <w:p w14:paraId="6B0ACD93" w14:textId="7185D6AA" w:rsidR="00BA71DD" w:rsidRDefault="00BA71DD" w:rsidP="00116A4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Martin, C. (2016). Shipping container. Bloomsbury Publishing USA.</w:t>
      </w:r>
    </w:p>
    <w:p w14:paraId="1D65FDFA" w14:textId="4699C81E"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Zhao, H., Hu, H., &amp; Lin, Y. (2016). Study on China-EU container shipping network in the context of Northern Sea Route. Journal of Transport Geography, 53, 50-60.</w:t>
      </w:r>
    </w:p>
    <w:p w14:paraId="16105241" w14:textId="67281B21"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Figueroa, C., Bustos, P., Torrealba, D., Dixon, B., Soto, C., Conejeros, P., &amp; Gallardo, J. A. (2017). Coinfection takes its toll: Sea lice override the protective effects of vaccination against a bacterial pathogen in Atlantic salmon. Scientific reports, 7(1), 17817.</w:t>
      </w:r>
    </w:p>
    <w:p w14:paraId="54CAADDA" w14:textId="55177E57"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Saravanan, K. A., Panigrahi, M., Kumar, H., Bhushan, B., Dutt, T., &amp; Mishra, B. P. (2020). Selection signatures in livestock genome: A review of concepts, approaches and applications. Livestock Science, 241, 104257.</w:t>
      </w:r>
    </w:p>
    <w:p w14:paraId="7E7C788E" w14:textId="08A5A0D3"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Svindland, M. (2018). The environmental effects of emission control area regulations on short sea shipping in Northern Europe: The case of container feeder vessels. Transportation Research Part D: Transport and Environment, 61, 423-430.</w:t>
      </w:r>
    </w:p>
    <w:p w14:paraId="0829E32A" w14:textId="77777777"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p>
    <w:p w14:paraId="7504018D" w14:textId="6AC1F149"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Xu, H., Yang, D., &amp; Weng, J. (2018). Economic feasibility of an NSR/SCR-combined container service on the Asia-Europe lane: a new approach dynamically considering sea ice extent. Maritime Policy &amp; Management, 45(4), 514-529.</w:t>
      </w:r>
    </w:p>
    <w:p w14:paraId="1C14244B" w14:textId="2D52623A"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Xu, H., &amp; Yang, D. (2020). LNG-fuelled container ship sailing on the Arctic Sea: Economic and emission assessment. Transportation Research Part D: Transport and Environment, 87, 102556.</w:t>
      </w:r>
    </w:p>
    <w:p w14:paraId="4A9C33D0" w14:textId="4C8F0357"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Busch, G., Kassas, B., Palma, M. A., &amp; Risius, A. (2020). Perceptions of antibiotic use in livestock farming in Germany, Italy and the United States. Livestock Science, 241, 104251.</w:t>
      </w:r>
    </w:p>
    <w:p w14:paraId="77622EBB" w14:textId="25800A42"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Luo, J., &amp; Wu, Y. (2020). Scheduling of container-handling equipment during the loading process at an automated container terminal. Computers &amp; Industrial Engineering, 149, 106848.</w:t>
      </w:r>
    </w:p>
    <w:p w14:paraId="1A48381F" w14:textId="3C163DCC"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Emde, S., &amp; Boysen, N. (2016). Berth allocation in container terminals that service feeder ships and deep-sea vessels. Journal of the Operational Research Society, 67(4), 551-563.</w:t>
      </w:r>
    </w:p>
    <w:p w14:paraId="421E96FA" w14:textId="3C4DA150"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Habibu, B., Dzenda, T., Ayo, J. O., Yaqub, L. S., &amp; Kawu, M. U. (2018). Haematological changes and plasma fluid dynamics in livestock during thermal stress, and response to mitigative measures. Livestock Science, 214, 189-201.</w:t>
      </w:r>
    </w:p>
    <w:p w14:paraId="5AC77551" w14:textId="09324A9D"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Polat, O., Günther, H. O., &amp; Kulak, O. (2014). The feeder network design problem: Application to container services in the Black Sea region. Maritime Economics &amp; Logistics, 16, 343-369.</w:t>
      </w:r>
    </w:p>
    <w:p w14:paraId="0046B3BE" w14:textId="696526A0"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Wan, Z., Ge, J., &amp; Chen, J. (2018). Energy-saving potential and an economic feasibility analysis for an Arctic route between Shanghai and Rotterdam: Case study from China’s largest container sea freight operator. Sustainability, 10(4), 921.</w:t>
      </w:r>
    </w:p>
    <w:p w14:paraId="0DD05576" w14:textId="125BE737" w:rsidR="00BA71DD" w:rsidRDefault="00BA71DD" w:rsidP="00116A41">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Shintani, K., Konings, R., &amp; Imai, A. (2019). Combinable containers: A container innovation to save container fleet and empty container repositioning costs. Transportation Research Part E: Logistics and Transportation Review, 130, 248-272.</w:t>
      </w:r>
    </w:p>
    <w:p w14:paraId="0C6B35C9" w14:textId="77777777" w:rsidR="00BA71DD" w:rsidRDefault="00BA71DD" w:rsidP="00116A41">
      <w:pPr>
        <w:spacing w:after="0" w:line="24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Jia, S., Li, C. L., &amp; Xu, Z. (2020). A simulation optimization method for deep-sea vessel berth planning and feeder arrival scheduling at a container port. Transportation Research Part B: Methodological, 142, 174-196.</w:t>
      </w:r>
    </w:p>
    <w:p w14:paraId="694B89F7" w14:textId="29F92D65" w:rsidR="0087626B" w:rsidRPr="00EB1B25" w:rsidRDefault="0087626B" w:rsidP="00116A41">
      <w:pPr>
        <w:widowControl w:val="0"/>
        <w:autoSpaceDE w:val="0"/>
        <w:autoSpaceDN w:val="0"/>
        <w:adjustRightInd w:val="0"/>
        <w:spacing w:after="0" w:line="240" w:lineRule="auto"/>
        <w:jc w:val="both"/>
        <w:rPr>
          <w:rFonts w:ascii="Times New Roman" w:hAnsi="Times New Roman" w:cs="Times New Roman"/>
          <w:b/>
          <w:lang w:val="en-US"/>
        </w:rPr>
      </w:pPr>
    </w:p>
    <w:sectPr w:rsidR="0087626B" w:rsidRPr="00EB1B25" w:rsidSect="00E83DD3">
      <w:type w:val="continuous"/>
      <w:pgSz w:w="11906" w:h="16838" w:code="9"/>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41B546"/>
    <w:multiLevelType w:val="singleLevel"/>
    <w:tmpl w:val="EE41B546"/>
    <w:lvl w:ilvl="0">
      <w:start w:val="30"/>
      <w:numFmt w:val="decimal"/>
      <w:suff w:val="space"/>
      <w:lvlText w:val="[%1]"/>
      <w:lvlJc w:val="left"/>
    </w:lvl>
  </w:abstractNum>
  <w:abstractNum w:abstractNumId="1">
    <w:nsid w:val="1A9C78FE"/>
    <w:multiLevelType w:val="hybridMultilevel"/>
    <w:tmpl w:val="967C99B8"/>
    <w:lvl w:ilvl="0" w:tplc="9CCCE7FC">
      <w:start w:val="1"/>
      <w:numFmt w:val="decimal"/>
      <w:lvlText w:val="%1."/>
      <w:lvlJc w:val="left"/>
      <w:pPr>
        <w:ind w:left="849" w:hanging="360"/>
      </w:pPr>
      <w:rPr>
        <w:rFonts w:ascii="Candara" w:eastAsia="Times New Roman" w:hAnsi="Candara" w:cs="Times New Roman"/>
      </w:rPr>
    </w:lvl>
    <w:lvl w:ilvl="1" w:tplc="08090019">
      <w:start w:val="1"/>
      <w:numFmt w:val="lowerLetter"/>
      <w:lvlText w:val="%2."/>
      <w:lvlJc w:val="left"/>
      <w:pPr>
        <w:ind w:left="1569" w:hanging="360"/>
      </w:pPr>
    </w:lvl>
    <w:lvl w:ilvl="2" w:tplc="0809001B">
      <w:start w:val="1"/>
      <w:numFmt w:val="lowerRoman"/>
      <w:lvlText w:val="%3."/>
      <w:lvlJc w:val="right"/>
      <w:pPr>
        <w:ind w:left="2289" w:hanging="180"/>
      </w:pPr>
    </w:lvl>
    <w:lvl w:ilvl="3" w:tplc="0809000F" w:tentative="1">
      <w:start w:val="1"/>
      <w:numFmt w:val="decimal"/>
      <w:lvlText w:val="%4."/>
      <w:lvlJc w:val="left"/>
      <w:pPr>
        <w:ind w:left="3009" w:hanging="360"/>
      </w:pPr>
    </w:lvl>
    <w:lvl w:ilvl="4" w:tplc="08090019" w:tentative="1">
      <w:start w:val="1"/>
      <w:numFmt w:val="lowerLetter"/>
      <w:lvlText w:val="%5."/>
      <w:lvlJc w:val="left"/>
      <w:pPr>
        <w:ind w:left="3729" w:hanging="360"/>
      </w:pPr>
    </w:lvl>
    <w:lvl w:ilvl="5" w:tplc="0809001B" w:tentative="1">
      <w:start w:val="1"/>
      <w:numFmt w:val="lowerRoman"/>
      <w:lvlText w:val="%6."/>
      <w:lvlJc w:val="right"/>
      <w:pPr>
        <w:ind w:left="4449" w:hanging="180"/>
      </w:pPr>
    </w:lvl>
    <w:lvl w:ilvl="6" w:tplc="0809000F" w:tentative="1">
      <w:start w:val="1"/>
      <w:numFmt w:val="decimal"/>
      <w:lvlText w:val="%7."/>
      <w:lvlJc w:val="left"/>
      <w:pPr>
        <w:ind w:left="5169" w:hanging="360"/>
      </w:pPr>
    </w:lvl>
    <w:lvl w:ilvl="7" w:tplc="08090019" w:tentative="1">
      <w:start w:val="1"/>
      <w:numFmt w:val="lowerLetter"/>
      <w:lvlText w:val="%8."/>
      <w:lvlJc w:val="left"/>
      <w:pPr>
        <w:ind w:left="5889" w:hanging="360"/>
      </w:pPr>
    </w:lvl>
    <w:lvl w:ilvl="8" w:tplc="0809001B" w:tentative="1">
      <w:start w:val="1"/>
      <w:numFmt w:val="lowerRoman"/>
      <w:lvlText w:val="%9."/>
      <w:lvlJc w:val="right"/>
      <w:pPr>
        <w:ind w:left="6609" w:hanging="180"/>
      </w:pPr>
    </w:lvl>
  </w:abstractNum>
  <w:abstractNum w:abstractNumId="2">
    <w:nsid w:val="1C756255"/>
    <w:multiLevelType w:val="hybridMultilevel"/>
    <w:tmpl w:val="F16C3E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996E32"/>
    <w:multiLevelType w:val="multilevel"/>
    <w:tmpl w:val="047695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28FF6E7B"/>
    <w:multiLevelType w:val="hybridMultilevel"/>
    <w:tmpl w:val="4F167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F46A5"/>
    <w:multiLevelType w:val="hybridMultilevel"/>
    <w:tmpl w:val="68A02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150D2"/>
    <w:multiLevelType w:val="hybridMultilevel"/>
    <w:tmpl w:val="E336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E333103"/>
    <w:multiLevelType w:val="multilevel"/>
    <w:tmpl w:val="E496F0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0AB6BE6"/>
    <w:multiLevelType w:val="multilevel"/>
    <w:tmpl w:val="DB40B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4575A7"/>
    <w:multiLevelType w:val="hybridMultilevel"/>
    <w:tmpl w:val="38268E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130BFB"/>
    <w:multiLevelType w:val="hybridMultilevel"/>
    <w:tmpl w:val="F2AC7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1717B6"/>
    <w:multiLevelType w:val="multilevel"/>
    <w:tmpl w:val="B07E5BEE"/>
    <w:lvl w:ilvl="0">
      <w:start w:val="3"/>
      <w:numFmt w:val="decimal"/>
      <w:lvlText w:val="%1."/>
      <w:lvlJc w:val="left"/>
      <w:pPr>
        <w:ind w:left="360" w:hanging="360"/>
      </w:pPr>
      <w:rPr>
        <w:rFonts w:hint="default"/>
        <w:b/>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3"/>
  </w:num>
  <w:num w:numId="2">
    <w:abstractNumId w:val="10"/>
  </w:num>
  <w:num w:numId="3">
    <w:abstractNumId w:val="4"/>
  </w:num>
  <w:num w:numId="4">
    <w:abstractNumId w:val="5"/>
  </w:num>
  <w:num w:numId="5">
    <w:abstractNumId w:val="11"/>
  </w:num>
  <w:num w:numId="6">
    <w:abstractNumId w:val="6"/>
  </w:num>
  <w:num w:numId="7">
    <w:abstractNumId w:val="1"/>
  </w:num>
  <w:num w:numId="8">
    <w:abstractNumId w:val="9"/>
  </w:num>
  <w:num w:numId="9">
    <w:abstractNumId w:val="2"/>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3B1"/>
    <w:rsid w:val="00012417"/>
    <w:rsid w:val="000124CA"/>
    <w:rsid w:val="00020B5A"/>
    <w:rsid w:val="00025CA6"/>
    <w:rsid w:val="000403FA"/>
    <w:rsid w:val="00040719"/>
    <w:rsid w:val="00046DCF"/>
    <w:rsid w:val="00047436"/>
    <w:rsid w:val="00051A04"/>
    <w:rsid w:val="00056C94"/>
    <w:rsid w:val="0005758B"/>
    <w:rsid w:val="000646AE"/>
    <w:rsid w:val="00066F7E"/>
    <w:rsid w:val="0007258A"/>
    <w:rsid w:val="00075B41"/>
    <w:rsid w:val="00094731"/>
    <w:rsid w:val="00094D87"/>
    <w:rsid w:val="000B5424"/>
    <w:rsid w:val="000B7860"/>
    <w:rsid w:val="000C7382"/>
    <w:rsid w:val="000D795C"/>
    <w:rsid w:val="000E02B3"/>
    <w:rsid w:val="000E2434"/>
    <w:rsid w:val="000E7C7C"/>
    <w:rsid w:val="000F145F"/>
    <w:rsid w:val="000F14C7"/>
    <w:rsid w:val="000F4CCD"/>
    <w:rsid w:val="001054B0"/>
    <w:rsid w:val="00113EF0"/>
    <w:rsid w:val="00116A41"/>
    <w:rsid w:val="00116E2F"/>
    <w:rsid w:val="0012761F"/>
    <w:rsid w:val="00130679"/>
    <w:rsid w:val="00130EC0"/>
    <w:rsid w:val="00133F4F"/>
    <w:rsid w:val="00135490"/>
    <w:rsid w:val="00136308"/>
    <w:rsid w:val="00136F8E"/>
    <w:rsid w:val="0014041A"/>
    <w:rsid w:val="00146BBD"/>
    <w:rsid w:val="001522E3"/>
    <w:rsid w:val="00170B98"/>
    <w:rsid w:val="00174BA7"/>
    <w:rsid w:val="00182514"/>
    <w:rsid w:val="00187975"/>
    <w:rsid w:val="00192CBE"/>
    <w:rsid w:val="001A3CFD"/>
    <w:rsid w:val="001A629F"/>
    <w:rsid w:val="001A6839"/>
    <w:rsid w:val="001A751E"/>
    <w:rsid w:val="001A799B"/>
    <w:rsid w:val="001B3DD5"/>
    <w:rsid w:val="001C27F7"/>
    <w:rsid w:val="001C4BD8"/>
    <w:rsid w:val="001C5005"/>
    <w:rsid w:val="001C5E4E"/>
    <w:rsid w:val="001D3D70"/>
    <w:rsid w:val="001D7469"/>
    <w:rsid w:val="001E40AE"/>
    <w:rsid w:val="001F5522"/>
    <w:rsid w:val="00205C1D"/>
    <w:rsid w:val="00205FA8"/>
    <w:rsid w:val="0021154C"/>
    <w:rsid w:val="00224092"/>
    <w:rsid w:val="002252E1"/>
    <w:rsid w:val="00246B1B"/>
    <w:rsid w:val="00251579"/>
    <w:rsid w:val="00273709"/>
    <w:rsid w:val="00276E4D"/>
    <w:rsid w:val="00287D18"/>
    <w:rsid w:val="00292E2A"/>
    <w:rsid w:val="002B1E44"/>
    <w:rsid w:val="002B2B3C"/>
    <w:rsid w:val="002C0588"/>
    <w:rsid w:val="002D6713"/>
    <w:rsid w:val="002E1329"/>
    <w:rsid w:val="002E70D3"/>
    <w:rsid w:val="002F18A1"/>
    <w:rsid w:val="002F1A78"/>
    <w:rsid w:val="002F5234"/>
    <w:rsid w:val="00306E6E"/>
    <w:rsid w:val="00310830"/>
    <w:rsid w:val="00331772"/>
    <w:rsid w:val="003367AD"/>
    <w:rsid w:val="003602CC"/>
    <w:rsid w:val="00363BE1"/>
    <w:rsid w:val="00376CC6"/>
    <w:rsid w:val="00385E3A"/>
    <w:rsid w:val="00390D50"/>
    <w:rsid w:val="00393A19"/>
    <w:rsid w:val="0039743F"/>
    <w:rsid w:val="003B1331"/>
    <w:rsid w:val="003B3F72"/>
    <w:rsid w:val="003C02E0"/>
    <w:rsid w:val="003C0BDD"/>
    <w:rsid w:val="003C5ED2"/>
    <w:rsid w:val="003D7BC4"/>
    <w:rsid w:val="003E1EB6"/>
    <w:rsid w:val="003E3AA7"/>
    <w:rsid w:val="003E50FC"/>
    <w:rsid w:val="004062F5"/>
    <w:rsid w:val="0042171C"/>
    <w:rsid w:val="00425C80"/>
    <w:rsid w:val="00435EE0"/>
    <w:rsid w:val="0043745B"/>
    <w:rsid w:val="0044322C"/>
    <w:rsid w:val="00451ADE"/>
    <w:rsid w:val="004573DE"/>
    <w:rsid w:val="00460825"/>
    <w:rsid w:val="004656F6"/>
    <w:rsid w:val="004671EF"/>
    <w:rsid w:val="00473DB9"/>
    <w:rsid w:val="004757AC"/>
    <w:rsid w:val="00477033"/>
    <w:rsid w:val="00496B2A"/>
    <w:rsid w:val="004C0FB9"/>
    <w:rsid w:val="004C50FE"/>
    <w:rsid w:val="004C79B2"/>
    <w:rsid w:val="004E11BC"/>
    <w:rsid w:val="004E2B94"/>
    <w:rsid w:val="004E39D9"/>
    <w:rsid w:val="004E4C2E"/>
    <w:rsid w:val="005003CE"/>
    <w:rsid w:val="005031D8"/>
    <w:rsid w:val="005044A5"/>
    <w:rsid w:val="00514251"/>
    <w:rsid w:val="00520623"/>
    <w:rsid w:val="0052523E"/>
    <w:rsid w:val="0053717E"/>
    <w:rsid w:val="00542BA7"/>
    <w:rsid w:val="005432FA"/>
    <w:rsid w:val="00552DA8"/>
    <w:rsid w:val="00563046"/>
    <w:rsid w:val="00563048"/>
    <w:rsid w:val="0057407A"/>
    <w:rsid w:val="0058312A"/>
    <w:rsid w:val="00583CDA"/>
    <w:rsid w:val="0059564A"/>
    <w:rsid w:val="005A4020"/>
    <w:rsid w:val="005A6D92"/>
    <w:rsid w:val="005B3CFE"/>
    <w:rsid w:val="005C08D6"/>
    <w:rsid w:val="005C49A9"/>
    <w:rsid w:val="005C640E"/>
    <w:rsid w:val="005D0DC0"/>
    <w:rsid w:val="005D17CC"/>
    <w:rsid w:val="005D27F7"/>
    <w:rsid w:val="005F507E"/>
    <w:rsid w:val="005F74C5"/>
    <w:rsid w:val="006073E4"/>
    <w:rsid w:val="00625807"/>
    <w:rsid w:val="00631CDB"/>
    <w:rsid w:val="00647017"/>
    <w:rsid w:val="00652016"/>
    <w:rsid w:val="006520B0"/>
    <w:rsid w:val="00676B1C"/>
    <w:rsid w:val="00683117"/>
    <w:rsid w:val="0068515A"/>
    <w:rsid w:val="006878EF"/>
    <w:rsid w:val="00691FCF"/>
    <w:rsid w:val="0069772F"/>
    <w:rsid w:val="006A28EA"/>
    <w:rsid w:val="006B2B0E"/>
    <w:rsid w:val="006C45E8"/>
    <w:rsid w:val="006C5B6F"/>
    <w:rsid w:val="006E2A54"/>
    <w:rsid w:val="006E5AB7"/>
    <w:rsid w:val="006E60BF"/>
    <w:rsid w:val="006E7DE3"/>
    <w:rsid w:val="006F6986"/>
    <w:rsid w:val="006F7A3D"/>
    <w:rsid w:val="00701052"/>
    <w:rsid w:val="00707D88"/>
    <w:rsid w:val="00712B32"/>
    <w:rsid w:val="007143FB"/>
    <w:rsid w:val="00714426"/>
    <w:rsid w:val="00716136"/>
    <w:rsid w:val="00721439"/>
    <w:rsid w:val="00721604"/>
    <w:rsid w:val="00731CA8"/>
    <w:rsid w:val="00734E2C"/>
    <w:rsid w:val="007453B9"/>
    <w:rsid w:val="00747D05"/>
    <w:rsid w:val="00750C70"/>
    <w:rsid w:val="0075317E"/>
    <w:rsid w:val="00755FEA"/>
    <w:rsid w:val="00766C25"/>
    <w:rsid w:val="007751CD"/>
    <w:rsid w:val="007777B6"/>
    <w:rsid w:val="0078252B"/>
    <w:rsid w:val="007839A3"/>
    <w:rsid w:val="00785C31"/>
    <w:rsid w:val="00785D15"/>
    <w:rsid w:val="007868C4"/>
    <w:rsid w:val="007944E9"/>
    <w:rsid w:val="007D0957"/>
    <w:rsid w:val="007D758C"/>
    <w:rsid w:val="007E5D10"/>
    <w:rsid w:val="007F41A7"/>
    <w:rsid w:val="0080153A"/>
    <w:rsid w:val="008023FF"/>
    <w:rsid w:val="00815219"/>
    <w:rsid w:val="00823B35"/>
    <w:rsid w:val="00833A16"/>
    <w:rsid w:val="00837AD6"/>
    <w:rsid w:val="00837D94"/>
    <w:rsid w:val="00841DE0"/>
    <w:rsid w:val="008456EF"/>
    <w:rsid w:val="00846656"/>
    <w:rsid w:val="008477BE"/>
    <w:rsid w:val="00852A09"/>
    <w:rsid w:val="00864910"/>
    <w:rsid w:val="00873312"/>
    <w:rsid w:val="0087626B"/>
    <w:rsid w:val="0088044A"/>
    <w:rsid w:val="00884FAB"/>
    <w:rsid w:val="00892742"/>
    <w:rsid w:val="008A7494"/>
    <w:rsid w:val="008B605F"/>
    <w:rsid w:val="008C4BED"/>
    <w:rsid w:val="008C5B05"/>
    <w:rsid w:val="008E33B1"/>
    <w:rsid w:val="008E670D"/>
    <w:rsid w:val="009012C9"/>
    <w:rsid w:val="00903735"/>
    <w:rsid w:val="00903A21"/>
    <w:rsid w:val="00906A08"/>
    <w:rsid w:val="00906B0C"/>
    <w:rsid w:val="0090784E"/>
    <w:rsid w:val="0093372E"/>
    <w:rsid w:val="00935EFC"/>
    <w:rsid w:val="00937366"/>
    <w:rsid w:val="00946427"/>
    <w:rsid w:val="0095108F"/>
    <w:rsid w:val="009519BA"/>
    <w:rsid w:val="00953DDF"/>
    <w:rsid w:val="0095730E"/>
    <w:rsid w:val="00966915"/>
    <w:rsid w:val="00967D46"/>
    <w:rsid w:val="009737E7"/>
    <w:rsid w:val="00973C04"/>
    <w:rsid w:val="00985423"/>
    <w:rsid w:val="0099022F"/>
    <w:rsid w:val="00990E4F"/>
    <w:rsid w:val="00994778"/>
    <w:rsid w:val="00997E08"/>
    <w:rsid w:val="00997E3E"/>
    <w:rsid w:val="009A1A6F"/>
    <w:rsid w:val="009A69CC"/>
    <w:rsid w:val="009C2DE6"/>
    <w:rsid w:val="009C2FD6"/>
    <w:rsid w:val="009D425E"/>
    <w:rsid w:val="009E525F"/>
    <w:rsid w:val="009E68B0"/>
    <w:rsid w:val="009F0953"/>
    <w:rsid w:val="009F288E"/>
    <w:rsid w:val="009F39A4"/>
    <w:rsid w:val="009F5D80"/>
    <w:rsid w:val="00A05BFD"/>
    <w:rsid w:val="00A22985"/>
    <w:rsid w:val="00A24FC1"/>
    <w:rsid w:val="00A25781"/>
    <w:rsid w:val="00A2682A"/>
    <w:rsid w:val="00A27C55"/>
    <w:rsid w:val="00A353AA"/>
    <w:rsid w:val="00A52A9F"/>
    <w:rsid w:val="00A73333"/>
    <w:rsid w:val="00A80521"/>
    <w:rsid w:val="00A83516"/>
    <w:rsid w:val="00A94414"/>
    <w:rsid w:val="00A965EA"/>
    <w:rsid w:val="00A971D1"/>
    <w:rsid w:val="00AB1DA9"/>
    <w:rsid w:val="00AB38F0"/>
    <w:rsid w:val="00AC02D0"/>
    <w:rsid w:val="00AC2E48"/>
    <w:rsid w:val="00AF09DB"/>
    <w:rsid w:val="00AF27EA"/>
    <w:rsid w:val="00B00155"/>
    <w:rsid w:val="00B14D71"/>
    <w:rsid w:val="00B25877"/>
    <w:rsid w:val="00B264F3"/>
    <w:rsid w:val="00B272AB"/>
    <w:rsid w:val="00B53AE7"/>
    <w:rsid w:val="00B556A5"/>
    <w:rsid w:val="00B60471"/>
    <w:rsid w:val="00B635A1"/>
    <w:rsid w:val="00B701A5"/>
    <w:rsid w:val="00B84864"/>
    <w:rsid w:val="00B860FC"/>
    <w:rsid w:val="00B95216"/>
    <w:rsid w:val="00BA3EA2"/>
    <w:rsid w:val="00BA60AE"/>
    <w:rsid w:val="00BA71DD"/>
    <w:rsid w:val="00BB16E8"/>
    <w:rsid w:val="00BB445A"/>
    <w:rsid w:val="00BC3264"/>
    <w:rsid w:val="00BC78A4"/>
    <w:rsid w:val="00BC7964"/>
    <w:rsid w:val="00BD35EF"/>
    <w:rsid w:val="00BD4524"/>
    <w:rsid w:val="00BD7507"/>
    <w:rsid w:val="00BF112C"/>
    <w:rsid w:val="00BF1E4C"/>
    <w:rsid w:val="00C03C36"/>
    <w:rsid w:val="00C11DFE"/>
    <w:rsid w:val="00C14BB7"/>
    <w:rsid w:val="00C25D6D"/>
    <w:rsid w:val="00C306D3"/>
    <w:rsid w:val="00C41E2A"/>
    <w:rsid w:val="00C45F83"/>
    <w:rsid w:val="00C534DC"/>
    <w:rsid w:val="00C633E6"/>
    <w:rsid w:val="00C7035F"/>
    <w:rsid w:val="00C704BD"/>
    <w:rsid w:val="00C770F3"/>
    <w:rsid w:val="00C82FCC"/>
    <w:rsid w:val="00C85BB2"/>
    <w:rsid w:val="00CA12A4"/>
    <w:rsid w:val="00CA229B"/>
    <w:rsid w:val="00CB4FAF"/>
    <w:rsid w:val="00CC50D1"/>
    <w:rsid w:val="00CC6C8F"/>
    <w:rsid w:val="00CD0D16"/>
    <w:rsid w:val="00CD12D3"/>
    <w:rsid w:val="00CD7C77"/>
    <w:rsid w:val="00CF1B38"/>
    <w:rsid w:val="00CF6CF8"/>
    <w:rsid w:val="00D00D70"/>
    <w:rsid w:val="00D01012"/>
    <w:rsid w:val="00D0635C"/>
    <w:rsid w:val="00D10011"/>
    <w:rsid w:val="00D116A6"/>
    <w:rsid w:val="00D16D17"/>
    <w:rsid w:val="00D20A84"/>
    <w:rsid w:val="00D2327D"/>
    <w:rsid w:val="00D32BE8"/>
    <w:rsid w:val="00D35B16"/>
    <w:rsid w:val="00D533BC"/>
    <w:rsid w:val="00D54192"/>
    <w:rsid w:val="00D728B9"/>
    <w:rsid w:val="00D72B86"/>
    <w:rsid w:val="00D73BA8"/>
    <w:rsid w:val="00D75BC6"/>
    <w:rsid w:val="00D761BD"/>
    <w:rsid w:val="00D86246"/>
    <w:rsid w:val="00D93C34"/>
    <w:rsid w:val="00D94E79"/>
    <w:rsid w:val="00D96151"/>
    <w:rsid w:val="00DA00F9"/>
    <w:rsid w:val="00DB0BFA"/>
    <w:rsid w:val="00DB191C"/>
    <w:rsid w:val="00DB35A0"/>
    <w:rsid w:val="00DB4C8F"/>
    <w:rsid w:val="00DD3A20"/>
    <w:rsid w:val="00DD7BF1"/>
    <w:rsid w:val="00DE0846"/>
    <w:rsid w:val="00DE3851"/>
    <w:rsid w:val="00DF0B22"/>
    <w:rsid w:val="00E01AE2"/>
    <w:rsid w:val="00E05410"/>
    <w:rsid w:val="00E072DC"/>
    <w:rsid w:val="00E2134C"/>
    <w:rsid w:val="00E24176"/>
    <w:rsid w:val="00E35264"/>
    <w:rsid w:val="00E3567C"/>
    <w:rsid w:val="00E5310E"/>
    <w:rsid w:val="00E6119C"/>
    <w:rsid w:val="00E67043"/>
    <w:rsid w:val="00E73A0D"/>
    <w:rsid w:val="00E8179B"/>
    <w:rsid w:val="00E82D0B"/>
    <w:rsid w:val="00E83DD3"/>
    <w:rsid w:val="00E854E0"/>
    <w:rsid w:val="00E8768B"/>
    <w:rsid w:val="00E87D7F"/>
    <w:rsid w:val="00E900B1"/>
    <w:rsid w:val="00E908FA"/>
    <w:rsid w:val="00E92978"/>
    <w:rsid w:val="00E9679E"/>
    <w:rsid w:val="00EA34DD"/>
    <w:rsid w:val="00EA7A81"/>
    <w:rsid w:val="00EB1B25"/>
    <w:rsid w:val="00EB45E5"/>
    <w:rsid w:val="00EC40ED"/>
    <w:rsid w:val="00ED12E6"/>
    <w:rsid w:val="00EE4615"/>
    <w:rsid w:val="00EF2CCA"/>
    <w:rsid w:val="00EF6AE7"/>
    <w:rsid w:val="00F069C1"/>
    <w:rsid w:val="00F10A05"/>
    <w:rsid w:val="00F2537F"/>
    <w:rsid w:val="00F2709E"/>
    <w:rsid w:val="00F35874"/>
    <w:rsid w:val="00F44165"/>
    <w:rsid w:val="00F55075"/>
    <w:rsid w:val="00F57A99"/>
    <w:rsid w:val="00F617F6"/>
    <w:rsid w:val="00F63837"/>
    <w:rsid w:val="00F6419C"/>
    <w:rsid w:val="00F65AC4"/>
    <w:rsid w:val="00F729C9"/>
    <w:rsid w:val="00F773D2"/>
    <w:rsid w:val="00F774B4"/>
    <w:rsid w:val="00F91E44"/>
    <w:rsid w:val="00F92091"/>
    <w:rsid w:val="00F968A7"/>
    <w:rsid w:val="00FB60D6"/>
    <w:rsid w:val="00FB7CFA"/>
    <w:rsid w:val="00FB7F54"/>
    <w:rsid w:val="00FD7646"/>
    <w:rsid w:val="00FE06DC"/>
    <w:rsid w:val="00FE2DB8"/>
    <w:rsid w:val="00FE50A5"/>
    <w:rsid w:val="00FE591D"/>
    <w:rsid w:val="00FF5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D26F7"/>
  <w15:docId w15:val="{AC614695-FEF0-481A-8DE6-5D2EDA0D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2">
    <w:name w:val="heading 2"/>
    <w:basedOn w:val="Normal"/>
    <w:next w:val="Normal"/>
    <w:link w:val="Heading2Char"/>
    <w:uiPriority w:val="9"/>
    <w:unhideWhenUsed/>
    <w:qFormat/>
    <w:rsid w:val="00224092"/>
    <w:pPr>
      <w:tabs>
        <w:tab w:val="num" w:pos="1440"/>
      </w:tabs>
      <w:spacing w:before="240" w:after="0" w:line="240" w:lineRule="auto"/>
      <w:ind w:left="1440" w:hanging="720"/>
      <w:outlineLvl w:val="1"/>
    </w:pPr>
    <w:rPr>
      <w:rFonts w:ascii="Times" w:eastAsia="Times" w:hAnsi="Times" w:cs="Times"/>
      <w:i/>
      <w:iCs/>
      <w:color w:val="000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lam Tabel,kepala"/>
    <w:basedOn w:val="Normal"/>
    <w:link w:val="ListParagraphChar"/>
    <w:uiPriority w:val="34"/>
    <w:qFormat/>
    <w:rsid w:val="008E33B1"/>
    <w:pPr>
      <w:ind w:left="720"/>
      <w:contextualSpacing/>
    </w:pPr>
  </w:style>
  <w:style w:type="character" w:styleId="Hyperlink">
    <w:name w:val="Hyperlink"/>
    <w:basedOn w:val="DefaultParagraphFont"/>
    <w:uiPriority w:val="99"/>
    <w:unhideWhenUsed/>
    <w:rsid w:val="008E33B1"/>
    <w:rPr>
      <w:color w:val="0000FF"/>
      <w:u w:val="single"/>
    </w:rPr>
  </w:style>
  <w:style w:type="paragraph" w:customStyle="1" w:styleId="StyleTitleLeft005cm">
    <w:name w:val="Style Title + Left:  0.05 cm"/>
    <w:basedOn w:val="Title"/>
    <w:rsid w:val="008E33B1"/>
    <w:pPr>
      <w:spacing w:before="1588" w:after="567"/>
      <w:contextualSpacing w:val="0"/>
    </w:pPr>
    <w:rPr>
      <w:rFonts w:ascii="Times" w:eastAsia="Times New Roman" w:hAnsi="Times" w:cs="Times New Roman"/>
      <w:b/>
      <w:bCs/>
      <w:spacing w:val="0"/>
      <w:kern w:val="0"/>
      <w:sz w:val="34"/>
      <w:szCs w:val="20"/>
      <w:lang w:val="en-GB"/>
    </w:rPr>
  </w:style>
  <w:style w:type="paragraph" w:customStyle="1" w:styleId="Abstract">
    <w:name w:val="Abstract"/>
    <w:rsid w:val="008E33B1"/>
    <w:pPr>
      <w:spacing w:after="454" w:line="240" w:lineRule="auto"/>
      <w:ind w:left="1418"/>
      <w:jc w:val="both"/>
    </w:pPr>
    <w:rPr>
      <w:rFonts w:ascii="Times" w:eastAsia="Times New Roman" w:hAnsi="Times" w:cs="Times New Roman"/>
      <w:color w:val="000000"/>
      <w:sz w:val="20"/>
      <w:szCs w:val="20"/>
      <w:lang w:val="en-GB"/>
    </w:rPr>
  </w:style>
  <w:style w:type="character" w:customStyle="1" w:styleId="ListParagraphChar">
    <w:name w:val="List Paragraph Char"/>
    <w:aliases w:val="Dalam Tabel Char,kepala Char"/>
    <w:link w:val="ListParagraph"/>
    <w:uiPriority w:val="34"/>
    <w:locked/>
    <w:rsid w:val="008E33B1"/>
    <w:rPr>
      <w:lang w:val="id-ID"/>
    </w:rPr>
  </w:style>
  <w:style w:type="paragraph" w:styleId="Title">
    <w:name w:val="Title"/>
    <w:basedOn w:val="Normal"/>
    <w:next w:val="Normal"/>
    <w:link w:val="TitleChar"/>
    <w:qFormat/>
    <w:rsid w:val="008E33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3B1"/>
    <w:rPr>
      <w:rFonts w:asciiTheme="majorHAnsi" w:eastAsiaTheme="majorEastAsia" w:hAnsiTheme="majorHAnsi" w:cstheme="majorBidi"/>
      <w:spacing w:val="-10"/>
      <w:kern w:val="28"/>
      <w:sz w:val="56"/>
      <w:szCs w:val="56"/>
      <w:lang w:val="id-ID"/>
    </w:rPr>
  </w:style>
  <w:style w:type="paragraph" w:styleId="BalloonText">
    <w:name w:val="Balloon Text"/>
    <w:basedOn w:val="Normal"/>
    <w:link w:val="BalloonTextChar"/>
    <w:uiPriority w:val="99"/>
    <w:semiHidden/>
    <w:unhideWhenUsed/>
    <w:rsid w:val="008E3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3B1"/>
    <w:rPr>
      <w:rFonts w:ascii="Segoe UI" w:hAnsi="Segoe UI" w:cs="Segoe UI"/>
      <w:sz w:val="18"/>
      <w:szCs w:val="18"/>
      <w:lang w:val="id-ID"/>
    </w:rPr>
  </w:style>
  <w:style w:type="character" w:customStyle="1" w:styleId="UnresolvedMention1">
    <w:name w:val="Unresolved Mention1"/>
    <w:basedOn w:val="DefaultParagraphFont"/>
    <w:uiPriority w:val="99"/>
    <w:semiHidden/>
    <w:unhideWhenUsed/>
    <w:rsid w:val="00393A19"/>
    <w:rPr>
      <w:color w:val="605E5C"/>
      <w:shd w:val="clear" w:color="auto" w:fill="E1DFDD"/>
    </w:rPr>
  </w:style>
  <w:style w:type="paragraph" w:customStyle="1" w:styleId="BodyChar">
    <w:name w:val="Body Char"/>
    <w:link w:val="BodyCharChar"/>
    <w:rsid w:val="00BC7964"/>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BC7964"/>
    <w:rPr>
      <w:rFonts w:ascii="Times" w:eastAsia="Times New Roman" w:hAnsi="Times" w:cs="Times New Roman"/>
      <w:color w:val="000000"/>
      <w:lang w:val="en-GB"/>
    </w:rPr>
  </w:style>
  <w:style w:type="character" w:styleId="PlaceholderText">
    <w:name w:val="Placeholder Text"/>
    <w:basedOn w:val="DefaultParagraphFont"/>
    <w:uiPriority w:val="99"/>
    <w:semiHidden/>
    <w:rsid w:val="00A73333"/>
    <w:rPr>
      <w:color w:val="808080"/>
    </w:rPr>
  </w:style>
  <w:style w:type="character" w:customStyle="1" w:styleId="UnresolvedMention2">
    <w:name w:val="Unresolved Mention2"/>
    <w:basedOn w:val="DefaultParagraphFont"/>
    <w:uiPriority w:val="99"/>
    <w:semiHidden/>
    <w:unhideWhenUsed/>
    <w:rsid w:val="006C5B6F"/>
    <w:rPr>
      <w:color w:val="605E5C"/>
      <w:shd w:val="clear" w:color="auto" w:fill="E1DFDD"/>
    </w:rPr>
  </w:style>
  <w:style w:type="table" w:styleId="LightShading-Accent6">
    <w:name w:val="Light Shading Accent 6"/>
    <w:basedOn w:val="TableNormal"/>
    <w:uiPriority w:val="60"/>
    <w:rsid w:val="0090784E"/>
    <w:pPr>
      <w:spacing w:after="0" w:line="240" w:lineRule="auto"/>
    </w:pPr>
    <w:rPr>
      <w:rFonts w:ascii="Times New Roman" w:eastAsia="Times New Roman" w:hAnsi="Times New Roman" w:cs="Times New Roman"/>
      <w:color w:val="538135" w:themeColor="accent6" w:themeShade="BF"/>
      <w:sz w:val="20"/>
      <w:szCs w:val="20"/>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Shading">
    <w:name w:val="Light Shading"/>
    <w:basedOn w:val="TableNormal"/>
    <w:uiPriority w:val="60"/>
    <w:rsid w:val="0090784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4E2B9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Authors">
    <w:name w:val="Authors"/>
    <w:next w:val="Normal"/>
    <w:rsid w:val="002B1E44"/>
    <w:pPr>
      <w:spacing w:after="113" w:line="240" w:lineRule="auto"/>
      <w:ind w:left="1418"/>
    </w:pPr>
    <w:rPr>
      <w:rFonts w:ascii="Times" w:eastAsia="Times New Roman" w:hAnsi="Times" w:cs="Times New Roman"/>
      <w:b/>
      <w:lang w:val="en-GB"/>
    </w:rPr>
  </w:style>
  <w:style w:type="paragraph" w:customStyle="1" w:styleId="E-mail">
    <w:name w:val="E-mail"/>
    <w:next w:val="Abstract"/>
    <w:rsid w:val="002B1E44"/>
    <w:pPr>
      <w:spacing w:after="240" w:line="240" w:lineRule="auto"/>
      <w:ind w:left="1418"/>
    </w:pPr>
    <w:rPr>
      <w:rFonts w:ascii="Times" w:eastAsia="Times New Roman" w:hAnsi="Times" w:cs="Times New Roman"/>
      <w:noProof/>
    </w:rPr>
  </w:style>
  <w:style w:type="paragraph" w:customStyle="1" w:styleId="BodytextIndented">
    <w:name w:val="BodytextIndented"/>
    <w:basedOn w:val="Normal"/>
    <w:rsid w:val="00224092"/>
    <w:pPr>
      <w:spacing w:after="0" w:line="240" w:lineRule="auto"/>
      <w:ind w:firstLine="284"/>
      <w:jc w:val="both"/>
    </w:pPr>
    <w:rPr>
      <w:rFonts w:ascii="Times" w:eastAsia="Times New Roman" w:hAnsi="Times" w:cs="Times New Roman"/>
      <w:iCs/>
      <w:color w:val="000000"/>
      <w:lang w:val="en-US"/>
    </w:rPr>
  </w:style>
  <w:style w:type="character" w:customStyle="1" w:styleId="Heading2Char">
    <w:name w:val="Heading 2 Char"/>
    <w:basedOn w:val="DefaultParagraphFont"/>
    <w:link w:val="Heading2"/>
    <w:uiPriority w:val="9"/>
    <w:rsid w:val="00224092"/>
    <w:rPr>
      <w:rFonts w:ascii="Times" w:eastAsia="Times" w:hAnsi="Times" w:cs="Times"/>
      <w:i/>
      <w:iCs/>
      <w:color w:val="000000"/>
      <w:lang w:val="en-GB"/>
    </w:rPr>
  </w:style>
  <w:style w:type="paragraph" w:styleId="Caption">
    <w:name w:val="caption"/>
    <w:basedOn w:val="Normal"/>
    <w:next w:val="Normal"/>
    <w:uiPriority w:val="35"/>
    <w:unhideWhenUsed/>
    <w:qFormat/>
    <w:rsid w:val="00B635A1"/>
    <w:pPr>
      <w:spacing w:after="200" w:line="240" w:lineRule="auto"/>
    </w:pPr>
    <w:rPr>
      <w:i/>
      <w:iCs/>
      <w:color w:val="44546A" w:themeColor="text2"/>
      <w:sz w:val="18"/>
      <w:szCs w:val="18"/>
    </w:rPr>
  </w:style>
  <w:style w:type="table" w:styleId="TableGrid">
    <w:name w:val="Table Grid"/>
    <w:basedOn w:val="TableNormal"/>
    <w:uiPriority w:val="39"/>
    <w:rsid w:val="00D75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next w:val="Normal"/>
    <w:rsid w:val="00D75BC6"/>
    <w:pPr>
      <w:spacing w:before="240" w:after="0" w:line="240" w:lineRule="auto"/>
    </w:pPr>
    <w:rPr>
      <w:rFonts w:ascii="Times" w:eastAsia="Times New Roman" w:hAnsi="Times" w:cs="Times New Roman"/>
      <w:iCs/>
      <w:color w:val="000000"/>
      <w:lang w:val="en-GB"/>
    </w:rPr>
  </w:style>
  <w:style w:type="paragraph" w:customStyle="1" w:styleId="Section">
    <w:name w:val="Section"/>
    <w:next w:val="Normal"/>
    <w:rsid w:val="00EB1B25"/>
    <w:pPr>
      <w:spacing w:before="240" w:after="0" w:line="240" w:lineRule="auto"/>
    </w:pPr>
    <w:rPr>
      <w:rFonts w:ascii="Times" w:eastAsia="Times New Roman" w:hAnsi="Times" w:cs="Times New Roman"/>
      <w:b/>
      <w:iCs/>
      <w:color w:val="000000"/>
      <w:lang w:val="en-GB"/>
    </w:rPr>
  </w:style>
  <w:style w:type="character" w:customStyle="1" w:styleId="UnresolvedMention">
    <w:name w:val="Unresolved Mention"/>
    <w:basedOn w:val="DefaultParagraphFont"/>
    <w:uiPriority w:val="99"/>
    <w:semiHidden/>
    <w:unhideWhenUsed/>
    <w:rsid w:val="00D96151"/>
    <w:rPr>
      <w:color w:val="605E5C"/>
      <w:shd w:val="clear" w:color="auto" w:fill="E1DFDD"/>
    </w:rPr>
  </w:style>
  <w:style w:type="character" w:styleId="FollowedHyperlink">
    <w:name w:val="FollowedHyperlink"/>
    <w:basedOn w:val="DefaultParagraphFont"/>
    <w:uiPriority w:val="99"/>
    <w:semiHidden/>
    <w:unhideWhenUsed/>
    <w:rsid w:val="00D96151"/>
    <w:rPr>
      <w:color w:val="954F72" w:themeColor="followedHyperlink"/>
      <w:u w:val="single"/>
    </w:rPr>
  </w:style>
  <w:style w:type="paragraph" w:customStyle="1" w:styleId="HRPUB-Author">
    <w:name w:val="HRPUB-Author"/>
    <w:qFormat/>
    <w:rsid w:val="00DB0BFA"/>
    <w:pPr>
      <w:widowControl w:val="0"/>
      <w:spacing w:before="340" w:after="340" w:line="240" w:lineRule="auto"/>
      <w:jc w:val="center"/>
    </w:pPr>
    <w:rPr>
      <w:rFonts w:ascii="Times New Roman" w:eastAsia="Times New Roman" w:hAnsi="Times New Roman" w:cs="Times New Roman"/>
      <w:b/>
      <w:szCs w:val="21"/>
    </w:rPr>
  </w:style>
  <w:style w:type="paragraph" w:customStyle="1" w:styleId="HRPUB-Affiliation">
    <w:name w:val="HRPUB-Affiliation"/>
    <w:basedOn w:val="Normal"/>
    <w:qFormat/>
    <w:rsid w:val="00DB0BFA"/>
    <w:pPr>
      <w:spacing w:after="200" w:line="200" w:lineRule="exact"/>
      <w:jc w:val="center"/>
    </w:pPr>
    <w:rPr>
      <w:rFonts w:ascii="Times New Roman" w:eastAsia="Times New Roman" w:hAnsi="Times New Roman"/>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1774">
      <w:bodyDiv w:val="1"/>
      <w:marLeft w:val="0"/>
      <w:marRight w:val="0"/>
      <w:marTop w:val="0"/>
      <w:marBottom w:val="0"/>
      <w:divBdr>
        <w:top w:val="none" w:sz="0" w:space="0" w:color="auto"/>
        <w:left w:val="none" w:sz="0" w:space="0" w:color="auto"/>
        <w:bottom w:val="none" w:sz="0" w:space="0" w:color="auto"/>
        <w:right w:val="none" w:sz="0" w:space="0" w:color="auto"/>
      </w:divBdr>
    </w:div>
    <w:div w:id="1502814628">
      <w:bodyDiv w:val="1"/>
      <w:marLeft w:val="0"/>
      <w:marRight w:val="0"/>
      <w:marTop w:val="0"/>
      <w:marBottom w:val="0"/>
      <w:divBdr>
        <w:top w:val="none" w:sz="0" w:space="0" w:color="auto"/>
        <w:left w:val="none" w:sz="0" w:space="0" w:color="auto"/>
        <w:bottom w:val="none" w:sz="0" w:space="0" w:color="auto"/>
        <w:right w:val="none" w:sz="0" w:space="0" w:color="auto"/>
      </w:divBdr>
    </w:div>
    <w:div w:id="1615821057">
      <w:bodyDiv w:val="1"/>
      <w:marLeft w:val="0"/>
      <w:marRight w:val="0"/>
      <w:marTop w:val="0"/>
      <w:marBottom w:val="0"/>
      <w:divBdr>
        <w:top w:val="none" w:sz="0" w:space="0" w:color="auto"/>
        <w:left w:val="none" w:sz="0" w:space="0" w:color="auto"/>
        <w:bottom w:val="none" w:sz="0" w:space="0" w:color="auto"/>
        <w:right w:val="none" w:sz="0" w:space="0" w:color="auto"/>
      </w:divBdr>
      <w:divsChild>
        <w:div w:id="1892305224">
          <w:marLeft w:val="0"/>
          <w:marRight w:val="0"/>
          <w:marTop w:val="0"/>
          <w:marBottom w:val="0"/>
          <w:divBdr>
            <w:top w:val="none" w:sz="0" w:space="0" w:color="auto"/>
            <w:left w:val="none" w:sz="0" w:space="0" w:color="auto"/>
            <w:bottom w:val="none" w:sz="0" w:space="0" w:color="auto"/>
            <w:right w:val="none" w:sz="0" w:space="0" w:color="auto"/>
          </w:divBdr>
          <w:divsChild>
            <w:div w:id="9704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1993">
      <w:bodyDiv w:val="1"/>
      <w:marLeft w:val="0"/>
      <w:marRight w:val="0"/>
      <w:marTop w:val="0"/>
      <w:marBottom w:val="0"/>
      <w:divBdr>
        <w:top w:val="none" w:sz="0" w:space="0" w:color="auto"/>
        <w:left w:val="none" w:sz="0" w:space="0" w:color="auto"/>
        <w:bottom w:val="none" w:sz="0" w:space="0" w:color="auto"/>
        <w:right w:val="none" w:sz="0" w:space="0" w:color="auto"/>
      </w:divBdr>
    </w:div>
    <w:div w:id="1890218040">
      <w:bodyDiv w:val="1"/>
      <w:marLeft w:val="0"/>
      <w:marRight w:val="0"/>
      <w:marTop w:val="0"/>
      <w:marBottom w:val="0"/>
      <w:divBdr>
        <w:top w:val="none" w:sz="0" w:space="0" w:color="auto"/>
        <w:left w:val="none" w:sz="0" w:space="0" w:color="auto"/>
        <w:bottom w:val="none" w:sz="0" w:space="0" w:color="auto"/>
        <w:right w:val="none" w:sz="0" w:space="0" w:color="auto"/>
      </w:divBdr>
    </w:div>
    <w:div w:id="194114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leon_sutini@yaho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YEAR!$E$2</c:f>
              <c:strCache>
                <c:ptCount val="1"/>
                <c:pt idx="0">
                  <c:v>Documents</c:v>
                </c:pt>
              </c:strCache>
            </c:strRef>
          </c:tx>
          <c:xVal>
            <c:numRef>
              <c:f>YEAR!$D$3:$D$12</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xVal>
          <c:yVal>
            <c:numRef>
              <c:f>YEAR!$E$3:$E$12</c:f>
              <c:numCache>
                <c:formatCode>General</c:formatCode>
                <c:ptCount val="10"/>
                <c:pt idx="0">
                  <c:v>105</c:v>
                </c:pt>
                <c:pt idx="1">
                  <c:v>88</c:v>
                </c:pt>
                <c:pt idx="2">
                  <c:v>91</c:v>
                </c:pt>
                <c:pt idx="3">
                  <c:v>84</c:v>
                </c:pt>
                <c:pt idx="4">
                  <c:v>101</c:v>
                </c:pt>
                <c:pt idx="5">
                  <c:v>107</c:v>
                </c:pt>
                <c:pt idx="6">
                  <c:v>158</c:v>
                </c:pt>
                <c:pt idx="7">
                  <c:v>93</c:v>
                </c:pt>
                <c:pt idx="8">
                  <c:v>116</c:v>
                </c:pt>
                <c:pt idx="9">
                  <c:v>57</c:v>
                </c:pt>
              </c:numCache>
            </c:numRef>
          </c:yVal>
          <c:smooth val="0"/>
        </c:ser>
        <c:dLbls>
          <c:showLegendKey val="0"/>
          <c:showVal val="0"/>
          <c:showCatName val="0"/>
          <c:showSerName val="0"/>
          <c:showPercent val="0"/>
          <c:showBubbleSize val="0"/>
        </c:dLbls>
        <c:axId val="-1642129952"/>
        <c:axId val="-1642134848"/>
      </c:scatterChart>
      <c:valAx>
        <c:axId val="-1642129952"/>
        <c:scaling>
          <c:orientation val="minMax"/>
        </c:scaling>
        <c:delete val="0"/>
        <c:axPos val="b"/>
        <c:title>
          <c:tx>
            <c:rich>
              <a:bodyPr rot="0" spcFirstLastPara="0" vertOverflow="ellipsis" vert="horz" wrap="square" anchor="ctr" anchorCtr="1"/>
              <a:lstStyle/>
              <a:p>
                <a:pPr>
                  <a:defRPr lang="en-US" sz="1200" b="1" i="0" u="none" strike="noStrike" kern="1200" baseline="0">
                    <a:solidFill>
                      <a:schemeClr val="tx1"/>
                    </a:solidFill>
                    <a:latin typeface="Arial" panose="020B0604020202020204" pitchFamily="2" charset="0"/>
                    <a:ea typeface="+mn-ea"/>
                    <a:cs typeface="Arial" panose="020B0604020202020204" pitchFamily="2" charset="0"/>
                  </a:defRPr>
                </a:pPr>
                <a:r>
                  <a:rPr lang="en-US" sz="1200">
                    <a:latin typeface="Arial" panose="020B0604020202020204" pitchFamily="2" charset="0"/>
                    <a:cs typeface="Arial" panose="020B0604020202020204" pitchFamily="2" charset="0"/>
                  </a:rPr>
                  <a:t>Year</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642134848"/>
        <c:crosses val="autoZero"/>
        <c:crossBetween val="midCat"/>
      </c:valAx>
      <c:valAx>
        <c:axId val="-1642134848"/>
        <c:scaling>
          <c:orientation val="minMax"/>
        </c:scaling>
        <c:delete val="0"/>
        <c:axPos val="l"/>
        <c:majorGridlines>
          <c:spPr>
            <a:ln w="9525" cap="flat" cmpd="sng" algn="ctr">
              <a:solidFill>
                <a:schemeClr val="bg1">
                  <a:lumMod val="85000"/>
                </a:schemeClr>
              </a:solidFill>
              <a:prstDash val="solid"/>
              <a:round/>
            </a:ln>
          </c:spPr>
        </c:majorGridlines>
        <c:title>
          <c:tx>
            <c:rich>
              <a:bodyPr rot="-5400000" spcFirstLastPara="0" vertOverflow="ellipsis" vert="horz" wrap="square" anchor="ctr" anchorCtr="1"/>
              <a:lstStyle/>
              <a:p>
                <a:pPr>
                  <a:defRPr lang="en-US" sz="1200" b="1" i="0" u="none" strike="noStrike" kern="1200" baseline="0">
                    <a:solidFill>
                      <a:schemeClr val="tx1"/>
                    </a:solidFill>
                    <a:latin typeface="Arial" panose="020B0604020202020204" pitchFamily="2" charset="0"/>
                    <a:ea typeface="+mn-ea"/>
                    <a:cs typeface="Arial" panose="020B0604020202020204" pitchFamily="2" charset="0"/>
                  </a:defRPr>
                </a:pPr>
                <a:r>
                  <a:rPr lang="en-US" sz="1200">
                    <a:latin typeface="Arial" panose="020B0604020202020204" pitchFamily="2" charset="0"/>
                    <a:cs typeface="Arial" panose="020B0604020202020204" pitchFamily="2" charset="0"/>
                  </a:rPr>
                  <a:t>Documents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1642129952"/>
        <c:crosses val="autoZero"/>
        <c:crossBetween val="midCat"/>
      </c:valAx>
    </c:plotArea>
    <c:plotVisOnly val="1"/>
    <c:dispBlanksAs val="gap"/>
    <c:showDLblsOverMax val="0"/>
  </c:chart>
  <c:spPr>
    <a:ln w="9525" cap="flat" cmpd="sng" algn="ctr">
      <a:noFill/>
      <a:prstDash val="solid"/>
      <a:round/>
    </a:ln>
  </c:spPr>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7245-8D13-4563-BCA2-4EC5AD8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2024-04-02T06:43:00Z</cp:lastPrinted>
  <dcterms:created xsi:type="dcterms:W3CDTF">2024-04-25T05:16:00Z</dcterms:created>
  <dcterms:modified xsi:type="dcterms:W3CDTF">2024-09-03T03:19:00Z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b36d56d5-b605-3050-9518-dead40c024ac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http://www.zotero.org/styles/iop-conference-series-earth-and-environmental-science</vt:lpwstr>
  </property>
  <property fmtid="{D5CDD505-2E9C-101B-9397-08002B2CF9AE}" pid="20" name="Mendeley Recent Style Name 7_1">
    <vt:lpwstr>IOP Conference Series: Earth and Environmental Science</vt:lpwstr>
  </property>
  <property fmtid="{D5CDD505-2E9C-101B-9397-08002B2CF9AE}" pid="21" name="Mendeley Recent Style Id 8_1">
    <vt:lpwstr>http://www.zotero.org/styles/iop-conference-series-materials-science-and-engineering</vt:lpwstr>
  </property>
  <property fmtid="{D5CDD505-2E9C-101B-9397-08002B2CF9AE}" pid="22" name="Mendeley Recent Style Name 8_1">
    <vt:lpwstr>IOP Conference Series: Materials Science and Engineering</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d471ece4db4278cb5e03713825424877c96086817f53e20c824d936e7f9ed8bb</vt:lpwstr>
  </property>
</Properties>
</file>