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3EEBD" w14:textId="77777777" w:rsidR="00CE4E69" w:rsidRPr="0095521B" w:rsidRDefault="00CE4E69" w:rsidP="00CE4E69">
      <w:pPr>
        <w:rPr>
          <w:rFonts w:ascii="Bookman Old Style" w:hAnsi="Bookman Old Style"/>
        </w:rPr>
      </w:pPr>
      <w:r w:rsidRPr="0095521B">
        <w:rPr>
          <w:rFonts w:ascii="Bookman Old Style" w:hAnsi="Bookman Old Style"/>
          <w:noProof/>
        </w:rPr>
        <w:drawing>
          <wp:anchor distT="0" distB="0" distL="114300" distR="114300" simplePos="0" relativeHeight="251659264" behindDoc="0" locked="0" layoutInCell="1" allowOverlap="1" wp14:anchorId="7217953D" wp14:editId="0DC53E19">
            <wp:simplePos x="0" y="0"/>
            <wp:positionH relativeFrom="margin">
              <wp:posOffset>53340</wp:posOffset>
            </wp:positionH>
            <wp:positionV relativeFrom="margin">
              <wp:posOffset>-114300</wp:posOffset>
            </wp:positionV>
            <wp:extent cx="769620" cy="7727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9620" cy="772795"/>
                    </a:xfrm>
                    <a:prstGeom prst="rect">
                      <a:avLst/>
                    </a:prstGeom>
                  </pic:spPr>
                </pic:pic>
              </a:graphicData>
            </a:graphic>
            <wp14:sizeRelH relativeFrom="margin">
              <wp14:pctWidth>0</wp14:pctWidth>
            </wp14:sizeRelH>
            <wp14:sizeRelV relativeFrom="margin">
              <wp14:pctHeight>0</wp14:pctHeight>
            </wp14:sizeRelV>
          </wp:anchor>
        </w:drawing>
      </w:r>
      <w:r w:rsidRPr="0095521B">
        <w:rPr>
          <w:rFonts w:ascii="Bookman Old Style" w:hAnsi="Bookman Old Style"/>
          <w:noProof/>
        </w:rPr>
        <mc:AlternateContent>
          <mc:Choice Requires="wps">
            <w:drawing>
              <wp:anchor distT="45720" distB="45720" distL="114300" distR="114300" simplePos="0" relativeHeight="251661312" behindDoc="0" locked="0" layoutInCell="1" allowOverlap="1" wp14:anchorId="62EBFF26" wp14:editId="12A84C3E">
                <wp:simplePos x="0" y="0"/>
                <wp:positionH relativeFrom="column">
                  <wp:posOffset>4556760</wp:posOffset>
                </wp:positionH>
                <wp:positionV relativeFrom="paragraph">
                  <wp:posOffset>0</wp:posOffset>
                </wp:positionV>
                <wp:extent cx="191262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1404620"/>
                        </a:xfrm>
                        <a:prstGeom prst="rect">
                          <a:avLst/>
                        </a:prstGeom>
                        <a:solidFill>
                          <a:srgbClr val="FFFFFF"/>
                        </a:solidFill>
                        <a:ln w="9525">
                          <a:noFill/>
                          <a:miter lim="800000"/>
                          <a:headEnd/>
                          <a:tailEnd/>
                        </a:ln>
                      </wps:spPr>
                      <wps:txbx>
                        <w:txbxContent>
                          <w:p w14:paraId="1684DDC8" w14:textId="77777777" w:rsidR="00CE4E69" w:rsidRPr="00FD22B9" w:rsidRDefault="00CE4E69" w:rsidP="00CE4E69">
                            <w:pPr>
                              <w:rPr>
                                <w:b/>
                                <w:bCs/>
                              </w:rPr>
                            </w:pPr>
                            <w:r w:rsidRPr="00FD22B9">
                              <w:rPr>
                                <w:b/>
                                <w:bCs/>
                              </w:rPr>
                              <w:t>ISSN: 2777-0664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EBFF26" id="_x0000_t202" coordsize="21600,21600" o:spt="202" path="m,l,21600r21600,l21600,xe">
                <v:stroke joinstyle="miter"/>
                <v:path gradientshapeok="t" o:connecttype="rect"/>
              </v:shapetype>
              <v:shape id="Text Box 2" o:spid="_x0000_s1026" type="#_x0000_t202" style="position:absolute;margin-left:358.8pt;margin-top:0;width:150.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xA3CQIAAPcDAAAOAAAAZHJzL2Uyb0RvYy54bWysU1Fv0zAQfkfiP1h+p2mqdqzR0ml0FCGN&#10;gTT4AY7jNBaOz5zdJuXXc3ayrsAbIg/WXe783d13n29uh86wo0KvwZY8n805U1ZCre2+5N++7t5c&#10;c+aDsLUwYFXJT8rz283rVze9K9QCWjC1QkYg1he9K3kbgiuyzMtWdcLPwClLwQawE4Fc3Gc1ip7Q&#10;O5Mt5vOrrAesHYJU3tPf+zHINwm/aZQMn5vGq8BMyam3kE5MZxXPbHMjij0K12o5tSH+oYtOaEtF&#10;z1D3Igh2QP0XVKclgocmzCR0GTSNlirNQNPk8z+meWqFU2kWIse7M03+/8HKx+OT+4IsDO9goAWm&#10;Ibx7APndMwvbVti9ukOEvlWipsJ5pCzrnS+mq5FqX/gIUvWfoKYli0OABDQ02EVWaE5G6LSA05l0&#10;NQQmY8l1vrhaUEhSLF/Ol9GJNUTxfN2hDx8UdCwaJUfaaoIXxwcfxtTnlFjNg9H1ThuTHNxXW4Ps&#10;KEgBu/RN6L+lGcv6kq9Xi1VCthDvJ3F0OpBCje5Kfj2P36iZSMd7W6eUILQZbWra2ImfSMlIThiq&#10;gRIjTxXUJ2IKYVQivRwyWsCfnPWkwpL7HweBijPz0RLb63y5jLJNznL1NvKEl5HqMiKsJKiSB85G&#10;cxuS1BMP7o62stOJr5dOpl5JXYnx6SVE+V76KevlvW5+AQAA//8DAFBLAwQUAAYACAAAACEA0BDQ&#10;yN0AAAAJAQAADwAAAGRycy9kb3ducmV2LnhtbEyPwWrDMBBE74X8g9hAb41sQ5PgWg6hoZceCk0D&#10;7VGx1paptBKS4rh/X+XUHpcZZt9rdrM1bMIQR0cCylUBDKlzaqRBwOnj5WELLCZJShpHKOAHI+za&#10;xV0ja+Wu9I7TMQ0sj1CspQCdkq85j51GK+PKeaSc9S5YmfIZBq6CvOZxa3hVFGtu5Uj5g5YenzV2&#10;38eLFfBp9agO4e2rV2Y6vPb7Rz8HL8T9ct4/AUs4p78y3PAzOrSZ6ewupCIzAjblZp2rArLRLS7K&#10;bVY5C6iqsgLeNvy/QfsLAAD//wMAUEsBAi0AFAAGAAgAAAAhALaDOJL+AAAA4QEAABMAAAAAAAAA&#10;AAAAAAAAAAAAAFtDb250ZW50X1R5cGVzXS54bWxQSwECLQAUAAYACAAAACEAOP0h/9YAAACUAQAA&#10;CwAAAAAAAAAAAAAAAAAvAQAAX3JlbHMvLnJlbHNQSwECLQAUAAYACAAAACEAO3sQNwkCAAD3AwAA&#10;DgAAAAAAAAAAAAAAAAAuAgAAZHJzL2Uyb0RvYy54bWxQSwECLQAUAAYACAAAACEA0BDQyN0AAAAJ&#10;AQAADwAAAAAAAAAAAAAAAABjBAAAZHJzL2Rvd25yZXYueG1sUEsFBgAAAAAEAAQA8wAAAG0FAAAA&#10;AA==&#10;" stroked="f">
                <v:textbox style="mso-fit-shape-to-text:t">
                  <w:txbxContent>
                    <w:p w14:paraId="1684DDC8" w14:textId="77777777" w:rsidR="00CE4E69" w:rsidRPr="00FD22B9" w:rsidRDefault="00CE4E69" w:rsidP="00CE4E69">
                      <w:pPr>
                        <w:rPr>
                          <w:b/>
                          <w:bCs/>
                        </w:rPr>
                      </w:pPr>
                      <w:r w:rsidRPr="00FD22B9">
                        <w:rPr>
                          <w:b/>
                          <w:bCs/>
                        </w:rPr>
                        <w:t>ISSN: 2777-0664</w:t>
                      </w:r>
                    </w:p>
                  </w:txbxContent>
                </v:textbox>
                <w10:wrap type="square"/>
              </v:shape>
            </w:pict>
          </mc:Fallback>
        </mc:AlternateContent>
      </w:r>
      <w:r w:rsidRPr="0095521B">
        <w:rPr>
          <w:rFonts w:ascii="Bookman Old Style" w:hAnsi="Bookman Old Style"/>
          <w:noProof/>
        </w:rPr>
        <mc:AlternateContent>
          <mc:Choice Requires="wps">
            <w:drawing>
              <wp:anchor distT="0" distB="0" distL="114300" distR="114300" simplePos="0" relativeHeight="251660288" behindDoc="0" locked="0" layoutInCell="1" allowOverlap="1" wp14:anchorId="5D81AE87" wp14:editId="5311603C">
                <wp:simplePos x="0" y="0"/>
                <wp:positionH relativeFrom="margin">
                  <wp:posOffset>824230</wp:posOffset>
                </wp:positionH>
                <wp:positionV relativeFrom="paragraph">
                  <wp:posOffset>-91440</wp:posOffset>
                </wp:positionV>
                <wp:extent cx="4800600" cy="792000"/>
                <wp:effectExtent l="0" t="0" r="0" b="0"/>
                <wp:wrapNone/>
                <wp:docPr id="9" name="TextBox 8">
                  <a:extLst xmlns:a="http://schemas.openxmlformats.org/drawingml/2006/main">
                    <a:ext uri="{FF2B5EF4-FFF2-40B4-BE49-F238E27FC236}">
                      <a16:creationId xmlns:a16="http://schemas.microsoft.com/office/drawing/2014/main" id="{CB65667C-6AC8-4C2F-B562-FBA9B943DC17}"/>
                    </a:ext>
                  </a:extLst>
                </wp:docPr>
                <wp:cNvGraphicFramePr/>
                <a:graphic xmlns:a="http://schemas.openxmlformats.org/drawingml/2006/main">
                  <a:graphicData uri="http://schemas.microsoft.com/office/word/2010/wordprocessingShape">
                    <wps:wsp>
                      <wps:cNvSpPr txBox="1"/>
                      <wps:spPr>
                        <a:xfrm>
                          <a:off x="0" y="0"/>
                          <a:ext cx="4800600" cy="792000"/>
                        </a:xfrm>
                        <a:prstGeom prst="rect">
                          <a:avLst/>
                        </a:prstGeom>
                        <a:noFill/>
                        <a:effectLst>
                          <a:glow rad="381000">
                            <a:schemeClr val="accent1">
                              <a:alpha val="70000"/>
                            </a:schemeClr>
                          </a:glow>
                        </a:effectLst>
                      </wps:spPr>
                      <wps:txbx>
                        <w:txbxContent>
                          <w:p w14:paraId="797D9509" w14:textId="77777777" w:rsidR="00CE4E69" w:rsidRPr="008C25A8" w:rsidRDefault="00CE4E69" w:rsidP="00CE4E69">
                            <w:pPr>
                              <w:rPr>
                                <w:rFonts w:ascii="Georgia" w:hAnsi="Georgia"/>
                                <w:b/>
                                <w:bCs/>
                                <w:color w:val="000000" w:themeColor="text1"/>
                                <w:kern w:val="24"/>
                                <w:sz w:val="36"/>
                                <w:szCs w:val="36"/>
                                <w:lang w:val="en-GB"/>
                                <w14:glow w14:rad="381000">
                                  <w14:schemeClr w14:val="bg1"/>
                                </w14:glow>
                                <w14:shadow w14:blurRad="50800" w14:dist="38100" w14:dir="5400000" w14:sx="100000" w14:sy="100000" w14:kx="0" w14:ky="0" w14:algn="t">
                                  <w14:srgbClr w14:val="000000">
                                    <w14:alpha w14:val="60000"/>
                                  </w14:srgbClr>
                                </w14:shadow>
                              </w:rPr>
                            </w:pPr>
                            <w:r w:rsidRPr="008C25A8">
                              <w:rPr>
                                <w:rFonts w:ascii="Georgia" w:hAnsi="Georgia"/>
                                <w:b/>
                                <w:bCs/>
                                <w:color w:val="000000" w:themeColor="text1"/>
                                <w:kern w:val="24"/>
                                <w:sz w:val="36"/>
                                <w:szCs w:val="36"/>
                                <w:lang w:val="en-GB"/>
                                <w14:glow w14:rad="127000">
                                  <w14:schemeClr w14:val="bg1"/>
                                </w14:glow>
                                <w14:shadow w14:blurRad="50800" w14:dist="38100" w14:dir="5400000" w14:sx="100000" w14:sy="100000" w14:kx="0" w14:ky="0" w14:algn="t">
                                  <w14:srgbClr w14:val="000000">
                                    <w14:alpha w14:val="60000"/>
                                  </w14:srgbClr>
                                </w14:shadow>
                              </w:rPr>
                              <w:t>Greensphere:</w:t>
                            </w:r>
                            <w:r>
                              <w:rPr>
                                <w:rFonts w:ascii="Georgia" w:hAnsi="Georgia"/>
                                <w:b/>
                                <w:bCs/>
                                <w:color w:val="000000" w:themeColor="text1"/>
                                <w:kern w:val="24"/>
                                <w:sz w:val="36"/>
                                <w:szCs w:val="36"/>
                                <w:lang w:val="en-GB"/>
                                <w14:glow w14:rad="381000">
                                  <w14:schemeClr w14:val="bg1"/>
                                </w14:glow>
                                <w14:shadow w14:blurRad="50800" w14:dist="38100" w14:dir="5400000" w14:sx="100000" w14:sy="100000" w14:kx="0" w14:ky="0" w14:algn="t">
                                  <w14:srgbClr w14:val="000000">
                                    <w14:alpha w14:val="60000"/>
                                  </w14:srgbClr>
                                </w14:shadow>
                              </w:rPr>
                              <w:br/>
                            </w:r>
                            <w:r w:rsidRPr="008C25A8">
                              <w:rPr>
                                <w:rFonts w:ascii="Georgia" w:hAnsi="Georgia"/>
                                <w:b/>
                                <w:bCs/>
                                <w:color w:val="000000" w:themeColor="text1"/>
                                <w:kern w:val="24"/>
                                <w:sz w:val="36"/>
                                <w:szCs w:val="36"/>
                                <w:lang w:val="en-GB"/>
                                <w14:glow w14:rad="127000">
                                  <w14:schemeClr w14:val="bg1"/>
                                </w14:glow>
                                <w14:shadow w14:blurRad="50800" w14:dist="38100" w14:dir="5400000" w14:sx="100000" w14:sy="100000" w14:kx="0" w14:ky="0" w14:algn="t">
                                  <w14:srgbClr w14:val="000000">
                                    <w14:alpha w14:val="60000"/>
                                  </w14:srgbClr>
                                </w14:shadow>
                              </w:rPr>
                              <w:t>Journal of Environmental Chemistry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D81AE87" id="TextBox 8" o:spid="_x0000_s1027" type="#_x0000_t202" style="position:absolute;margin-left:64.9pt;margin-top:-7.2pt;width:378pt;height:62.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qCuuAEAAGgDAAAOAAAAZHJzL2Uyb0RvYy54bWysU01v2zAMvQ/YfxB0X+x0w5oZcYquRXcZ&#10;tgHtfoAiU7EAWdQoJXb+/Sh5dYrtNvQiix96j3yktzfT4MQJKFr0rVyvainAa+ysP7Ty59PDu40U&#10;MSnfKYceWnmGKG92b99sx9DAFfboOiDBID42Y2hln1JoqirqHgYVVxjAc9AgDSqxSYeqIzUy+uCq&#10;q7r+WI1IXSDUECN77+eg3BV8Y0Cn78ZESMK1kmtL5aRy7vNZ7baqOZAKvdV/ylD/UcWgrGfSBepe&#10;JSWOZP+BGqwmjGjSSuNQoTFWQ+mBu1nXf3Xz2KsApRcWJ4ZFpvh6sPrb6TH8IJGmzzjxALMgY4hN&#10;ZGfuZzI05C9XKjjOEp4X2WBKQrPzw4YHUXNIc+z6E4+l6FpdXgeK6QvgIPKllcRjKWqp09eYmJFT&#10;n1MymccH61wZDZQZclYR1+EoSHWtfL9ZZ5bsLKsCd47ESfGQldbg03qGd6FXs/ua05+rWl4U4gOD&#10;lssLquoiQb6laT8Jy7SLPHvszqzayIvTyvjrqAikoOTusOzZ3MTtMaGxpb+MMr9hqmzwOGf2efXy&#10;vry0S9blB9n9BgAA//8DAFBLAwQUAAYACAAAACEAm/yHAt4AAAALAQAADwAAAGRycy9kb3ducmV2&#10;LnhtbEyPwU7DMBBE70j8g7VI3Fo7JUVpGqdCIK4gSovEzY23SdR4HcVuE/6e5USPszOafVNsJteJ&#10;Cw6h9aQhmSsQSJW3LdUadp+vswxEiIas6Tyhhh8MsClvbwqTWz/SB162sRZcQiE3GpoY+1zKUDXo&#10;TJj7Hom9ox+ciSyHWtrBjFzuOrlQ6lE60xJ/aEyPzw1Wp+3Zadi/Hb+/UvVev7hlP/pJSXIrqfX9&#10;3fS0BhFxiv9h+MNndCiZ6eDPZIPoWC9WjB41zJI0BcGJLFvy5cBWoh5AloW83lD+AgAA//8DAFBL&#10;AQItABQABgAIAAAAIQC2gziS/gAAAOEBAAATAAAAAAAAAAAAAAAAAAAAAABbQ29udGVudF9UeXBl&#10;c10ueG1sUEsBAi0AFAAGAAgAAAAhADj9If/WAAAAlAEAAAsAAAAAAAAAAAAAAAAALwEAAF9yZWxz&#10;Ly5yZWxzUEsBAi0AFAAGAAgAAAAhANHSoK64AQAAaAMAAA4AAAAAAAAAAAAAAAAALgIAAGRycy9l&#10;Mm9Eb2MueG1sUEsBAi0AFAAGAAgAAAAhAJv8hwLeAAAACwEAAA8AAAAAAAAAAAAAAAAAEgQAAGRy&#10;cy9kb3ducmV2LnhtbFBLBQYAAAAABAAEAPMAAAAdBQAAAAA=&#10;" filled="f" stroked="f">
                <v:textbox>
                  <w:txbxContent>
                    <w:p w14:paraId="797D9509" w14:textId="77777777" w:rsidR="00CE4E69" w:rsidRPr="008C25A8" w:rsidRDefault="00CE4E69" w:rsidP="00CE4E69">
                      <w:pPr>
                        <w:rPr>
                          <w:rFonts w:ascii="Georgia" w:hAnsi="Georgia"/>
                          <w:b/>
                          <w:bCs/>
                          <w:color w:val="000000" w:themeColor="text1"/>
                          <w:kern w:val="24"/>
                          <w:sz w:val="36"/>
                          <w:szCs w:val="36"/>
                          <w:lang w:val="en-GB"/>
                          <w14:glow w14:rad="381000">
                            <w14:schemeClr w14:val="bg1"/>
                          </w14:glow>
                          <w14:shadow w14:blurRad="50800" w14:dist="38100" w14:dir="5400000" w14:sx="100000" w14:sy="100000" w14:kx="0" w14:ky="0" w14:algn="t">
                            <w14:srgbClr w14:val="000000">
                              <w14:alpha w14:val="60000"/>
                            </w14:srgbClr>
                          </w14:shadow>
                        </w:rPr>
                      </w:pPr>
                      <w:r w:rsidRPr="008C25A8">
                        <w:rPr>
                          <w:rFonts w:ascii="Georgia" w:hAnsi="Georgia"/>
                          <w:b/>
                          <w:bCs/>
                          <w:color w:val="000000" w:themeColor="text1"/>
                          <w:kern w:val="24"/>
                          <w:sz w:val="36"/>
                          <w:szCs w:val="36"/>
                          <w:lang w:val="en-GB"/>
                          <w14:glow w14:rad="127000">
                            <w14:schemeClr w14:val="bg1"/>
                          </w14:glow>
                          <w14:shadow w14:blurRad="50800" w14:dist="38100" w14:dir="5400000" w14:sx="100000" w14:sy="100000" w14:kx="0" w14:ky="0" w14:algn="t">
                            <w14:srgbClr w14:val="000000">
                              <w14:alpha w14:val="60000"/>
                            </w14:srgbClr>
                          </w14:shadow>
                        </w:rPr>
                        <w:t>Greensphere:</w:t>
                      </w:r>
                      <w:r>
                        <w:rPr>
                          <w:rFonts w:ascii="Georgia" w:hAnsi="Georgia"/>
                          <w:b/>
                          <w:bCs/>
                          <w:color w:val="000000" w:themeColor="text1"/>
                          <w:kern w:val="24"/>
                          <w:sz w:val="36"/>
                          <w:szCs w:val="36"/>
                          <w:lang w:val="en-GB"/>
                          <w14:glow w14:rad="381000">
                            <w14:schemeClr w14:val="bg1"/>
                          </w14:glow>
                          <w14:shadow w14:blurRad="50800" w14:dist="38100" w14:dir="5400000" w14:sx="100000" w14:sy="100000" w14:kx="0" w14:ky="0" w14:algn="t">
                            <w14:srgbClr w14:val="000000">
                              <w14:alpha w14:val="60000"/>
                            </w14:srgbClr>
                          </w14:shadow>
                        </w:rPr>
                        <w:br/>
                      </w:r>
                      <w:r w:rsidRPr="008C25A8">
                        <w:rPr>
                          <w:rFonts w:ascii="Georgia" w:hAnsi="Georgia"/>
                          <w:b/>
                          <w:bCs/>
                          <w:color w:val="000000" w:themeColor="text1"/>
                          <w:kern w:val="24"/>
                          <w:sz w:val="36"/>
                          <w:szCs w:val="36"/>
                          <w:lang w:val="en-GB"/>
                          <w14:glow w14:rad="127000">
                            <w14:schemeClr w14:val="bg1"/>
                          </w14:glow>
                          <w14:shadow w14:blurRad="50800" w14:dist="38100" w14:dir="5400000" w14:sx="100000" w14:sy="100000" w14:kx="0" w14:ky="0" w14:algn="t">
                            <w14:srgbClr w14:val="000000">
                              <w14:alpha w14:val="60000"/>
                            </w14:srgbClr>
                          </w14:shadow>
                        </w:rPr>
                        <w:t>Journal of Environmental Chemistry</w:t>
                      </w:r>
                    </w:p>
                  </w:txbxContent>
                </v:textbox>
                <w10:wrap anchorx="margin"/>
              </v:shape>
            </w:pict>
          </mc:Fallback>
        </mc:AlternateContent>
      </w:r>
      <w:r w:rsidRPr="0095521B">
        <w:rPr>
          <w:rFonts w:ascii="Bookman Old Style" w:hAnsi="Bookman Old Style"/>
        </w:rPr>
        <w:t xml:space="preserve"> </w:t>
      </w:r>
      <w:r w:rsidRPr="0095521B">
        <w:rPr>
          <w:rFonts w:ascii="Bookman Old Style" w:hAnsi="Bookman Old Style"/>
        </w:rPr>
        <w:br/>
      </w:r>
    </w:p>
    <w:p w14:paraId="4A3A9A7B" w14:textId="77777777" w:rsidR="00CE4E69" w:rsidRPr="0095521B" w:rsidRDefault="00CE4E69" w:rsidP="00CE4E69">
      <w:pPr>
        <w:rPr>
          <w:rFonts w:ascii="Bookman Old Style" w:hAnsi="Bookman Old Style"/>
        </w:rPr>
      </w:pPr>
    </w:p>
    <w:tbl>
      <w:tblPr>
        <w:tblStyle w:val="TableGrid"/>
        <w:tblW w:w="94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22"/>
        <w:gridCol w:w="7361"/>
        <w:gridCol w:w="10"/>
      </w:tblGrid>
      <w:tr w:rsidR="00CE4E69" w:rsidRPr="0095521B" w14:paraId="26E0E268" w14:textId="77777777" w:rsidTr="005C440B">
        <w:trPr>
          <w:trHeight w:val="342"/>
        </w:trPr>
        <w:tc>
          <w:tcPr>
            <w:tcW w:w="2122" w:type="dxa"/>
            <w:tcBorders>
              <w:top w:val="single" w:sz="12" w:space="0" w:color="auto"/>
              <w:left w:val="nil"/>
              <w:bottom w:val="nil"/>
              <w:right w:val="nil"/>
            </w:tcBorders>
            <w:shd w:val="clear" w:color="auto" w:fill="A8D08D" w:themeFill="accent6" w:themeFillTint="99"/>
          </w:tcPr>
          <w:p w14:paraId="45454802" w14:textId="77777777" w:rsidR="00CE4E69" w:rsidRPr="0095521B" w:rsidRDefault="00CE4E69" w:rsidP="005C440B">
            <w:pPr>
              <w:rPr>
                <w:rFonts w:ascii="Bookman Old Style" w:hAnsi="Bookman Old Style"/>
                <w:sz w:val="24"/>
                <w:szCs w:val="24"/>
              </w:rPr>
            </w:pPr>
            <w:r w:rsidRPr="0095521B">
              <w:rPr>
                <w:rFonts w:ascii="Bookman Old Style" w:hAnsi="Bookman Old Style"/>
                <w:sz w:val="24"/>
                <w:szCs w:val="24"/>
              </w:rPr>
              <w:t>Original Article</w:t>
            </w:r>
          </w:p>
        </w:tc>
        <w:tc>
          <w:tcPr>
            <w:tcW w:w="7371" w:type="dxa"/>
            <w:gridSpan w:val="2"/>
            <w:tcBorders>
              <w:top w:val="single" w:sz="12" w:space="0" w:color="auto"/>
              <w:left w:val="nil"/>
              <w:bottom w:val="nil"/>
              <w:right w:val="nil"/>
            </w:tcBorders>
          </w:tcPr>
          <w:p w14:paraId="0DE86114" w14:textId="77777777" w:rsidR="00CE4E69" w:rsidRPr="0095521B" w:rsidRDefault="00CE4E69" w:rsidP="005C440B">
            <w:pPr>
              <w:rPr>
                <w:rFonts w:ascii="Bookman Old Style" w:hAnsi="Bookman Old Style"/>
                <w:sz w:val="24"/>
                <w:szCs w:val="24"/>
              </w:rPr>
            </w:pPr>
          </w:p>
        </w:tc>
      </w:tr>
      <w:tr w:rsidR="00CE4E69" w:rsidRPr="0095521B" w14:paraId="332207D4" w14:textId="77777777" w:rsidTr="005C440B">
        <w:tc>
          <w:tcPr>
            <w:tcW w:w="9493" w:type="dxa"/>
            <w:gridSpan w:val="3"/>
            <w:tcBorders>
              <w:top w:val="nil"/>
              <w:left w:val="nil"/>
              <w:right w:val="nil"/>
            </w:tcBorders>
          </w:tcPr>
          <w:p w14:paraId="1C5A74B8" w14:textId="77777777" w:rsidR="00CE4E69" w:rsidRPr="0095521B" w:rsidRDefault="00CE4E69" w:rsidP="005C440B">
            <w:pPr>
              <w:rPr>
                <w:rFonts w:ascii="Bookman Old Style" w:hAnsi="Bookman Old Style"/>
                <w:sz w:val="24"/>
                <w:szCs w:val="24"/>
              </w:rPr>
            </w:pPr>
          </w:p>
          <w:p w14:paraId="44A9D161" w14:textId="7ADCE7F7" w:rsidR="00CE4E69" w:rsidRPr="00B8219C" w:rsidRDefault="00CE4E69" w:rsidP="00CE4E69">
            <w:pPr>
              <w:tabs>
                <w:tab w:val="left" w:pos="703"/>
              </w:tabs>
              <w:jc w:val="center"/>
              <w:rPr>
                <w:rFonts w:ascii="Bookman Old Style" w:hAnsi="Bookman Old Style"/>
                <w:b/>
                <w:bCs/>
                <w:color w:val="000000"/>
                <w:sz w:val="24"/>
                <w:szCs w:val="24"/>
              </w:rPr>
            </w:pPr>
            <w:r w:rsidRPr="00CE4E69">
              <w:rPr>
                <w:rFonts w:ascii="Bookman Old Style" w:hAnsi="Bookman Old Style"/>
                <w:b/>
                <w:bCs/>
                <w:color w:val="000000"/>
                <w:sz w:val="24"/>
                <w:szCs w:val="24"/>
              </w:rPr>
              <w:t>INOVASI CITRACANUM SUNSPRAY: PROTEKSI</w:t>
            </w:r>
            <w:r>
              <w:rPr>
                <w:rFonts w:ascii="Bookman Old Style" w:hAnsi="Bookman Old Style"/>
                <w:b/>
                <w:bCs/>
                <w:color w:val="000000"/>
                <w:sz w:val="24"/>
                <w:szCs w:val="24"/>
              </w:rPr>
              <w:t xml:space="preserve"> </w:t>
            </w:r>
            <w:r w:rsidRPr="00CE4E69">
              <w:rPr>
                <w:rFonts w:ascii="Bookman Old Style" w:hAnsi="Bookman Old Style"/>
                <w:b/>
                <w:bCs/>
                <w:color w:val="000000"/>
                <w:sz w:val="24"/>
                <w:szCs w:val="24"/>
              </w:rPr>
              <w:t>SINAR UV DAN PENYAKIT DBD DI GORONTALO</w:t>
            </w:r>
          </w:p>
          <w:p w14:paraId="0A689639" w14:textId="2C3EACAB" w:rsidR="00CE4E69" w:rsidRPr="00B8219C" w:rsidRDefault="00CE4E69" w:rsidP="005C440B">
            <w:pPr>
              <w:tabs>
                <w:tab w:val="left" w:pos="703"/>
              </w:tabs>
              <w:spacing w:before="120"/>
              <w:jc w:val="center"/>
              <w:rPr>
                <w:rFonts w:ascii="Bookman Old Style" w:hAnsi="Bookman Old Style"/>
                <w:b/>
                <w:color w:val="000000" w:themeColor="text1"/>
              </w:rPr>
            </w:pPr>
            <w:r>
              <w:rPr>
                <w:rFonts w:ascii="Bookman Old Style" w:hAnsi="Bookman Old Style"/>
                <w:b/>
                <w:color w:val="000000" w:themeColor="text1"/>
              </w:rPr>
              <w:t>Mohamad Fajar Rivai</w:t>
            </w:r>
            <w:r w:rsidRPr="00B8219C">
              <w:rPr>
                <w:rFonts w:ascii="Bookman Old Style" w:hAnsi="Bookman Old Style"/>
                <w:b/>
                <w:color w:val="000000" w:themeColor="text1"/>
                <w:vertAlign w:val="superscript"/>
              </w:rPr>
              <w:t>1</w:t>
            </w:r>
            <w:r w:rsidRPr="00B8219C">
              <w:rPr>
                <w:rFonts w:ascii="Bookman Old Style" w:hAnsi="Bookman Old Style"/>
                <w:b/>
                <w:color w:val="000000" w:themeColor="text1"/>
              </w:rPr>
              <w:t xml:space="preserve">, </w:t>
            </w:r>
            <w:r>
              <w:rPr>
                <w:rFonts w:ascii="Bookman Old Style" w:hAnsi="Bookman Old Style"/>
                <w:b/>
                <w:color w:val="000000" w:themeColor="text1"/>
                <w:lang w:val="en-ID"/>
              </w:rPr>
              <w:t>Sitty Nurqomariah Rivai</w:t>
            </w:r>
            <w:r w:rsidRPr="00CE4E69">
              <w:rPr>
                <w:rFonts w:ascii="Bookman Old Style" w:hAnsi="Bookman Old Style"/>
                <w:b/>
                <w:color w:val="000000" w:themeColor="text1"/>
                <w:vertAlign w:val="superscript"/>
                <w:lang w:val="en-ID"/>
              </w:rPr>
              <w:t>2*</w:t>
            </w:r>
            <w:r w:rsidRPr="00B8219C">
              <w:rPr>
                <w:rFonts w:ascii="Bookman Old Style" w:hAnsi="Bookman Old Style"/>
                <w:b/>
                <w:color w:val="000000" w:themeColor="text1"/>
              </w:rPr>
              <w:t xml:space="preserve">, and </w:t>
            </w:r>
            <w:r>
              <w:rPr>
                <w:rFonts w:ascii="Bookman Old Style" w:hAnsi="Bookman Old Style"/>
                <w:b/>
                <w:color w:val="000000" w:themeColor="text1"/>
              </w:rPr>
              <w:t>Putriani Bua</w:t>
            </w:r>
            <w:r w:rsidRPr="00CE4E69">
              <w:rPr>
                <w:rFonts w:ascii="Bookman Old Style" w:hAnsi="Bookman Old Style"/>
                <w:b/>
                <w:color w:val="000000" w:themeColor="text1"/>
                <w:vertAlign w:val="superscript"/>
              </w:rPr>
              <w:t>3</w:t>
            </w:r>
            <w:r w:rsidRPr="00B8219C">
              <w:rPr>
                <w:rFonts w:ascii="Bookman Old Style" w:hAnsi="Bookman Old Style"/>
                <w:b/>
                <w:color w:val="000000" w:themeColor="text1"/>
              </w:rPr>
              <w:t xml:space="preserve">, </w:t>
            </w:r>
          </w:p>
          <w:p w14:paraId="65B2EA8E" w14:textId="2EB90370" w:rsidR="00CE4E69" w:rsidRDefault="00CE4E69" w:rsidP="005C440B">
            <w:pPr>
              <w:jc w:val="center"/>
              <w:rPr>
                <w:rFonts w:ascii="Arial" w:eastAsia="Arial" w:hAnsi="Arial" w:cs="Arial"/>
                <w:color w:val="000000"/>
              </w:rPr>
            </w:pPr>
            <w:r w:rsidRPr="00CE4E69">
              <w:rPr>
                <w:rFonts w:ascii="Arial" w:eastAsia="Arial" w:hAnsi="Arial" w:cs="Arial"/>
                <w:color w:val="000000"/>
                <w:vertAlign w:val="superscript"/>
              </w:rPr>
              <w:t>1</w:t>
            </w:r>
            <w:r w:rsidRPr="00CE4E69">
              <w:rPr>
                <w:rFonts w:ascii="Arial" w:eastAsia="Arial" w:hAnsi="Arial" w:cs="Arial"/>
                <w:color w:val="000000"/>
              </w:rPr>
              <w:t>Faculty of Medicine, Gorontalo State University, Gorontalo, Indonesia</w:t>
            </w:r>
            <w:r w:rsidRPr="008E4085">
              <w:rPr>
                <w:rFonts w:ascii="Arial" w:eastAsia="Arial" w:hAnsi="Arial" w:cs="Arial"/>
                <w:color w:val="000000"/>
              </w:rPr>
              <w:t xml:space="preserve"> </w:t>
            </w:r>
          </w:p>
          <w:p w14:paraId="1A22ABD3" w14:textId="59374D4D" w:rsidR="00CE4E69" w:rsidRDefault="00CE4E69" w:rsidP="005C440B">
            <w:pPr>
              <w:jc w:val="center"/>
              <w:rPr>
                <w:rFonts w:ascii="Arial" w:eastAsia="Arial" w:hAnsi="Arial" w:cs="Arial"/>
                <w:color w:val="000000"/>
              </w:rPr>
            </w:pPr>
            <w:r w:rsidRPr="00CE4E69">
              <w:rPr>
                <w:rFonts w:ascii="Arial" w:eastAsia="Arial" w:hAnsi="Arial" w:cs="Arial"/>
                <w:color w:val="000000"/>
                <w:vertAlign w:val="superscript"/>
              </w:rPr>
              <w:t>2</w:t>
            </w:r>
            <w:r>
              <w:rPr>
                <w:rFonts w:ascii="Arial" w:eastAsia="Arial" w:hAnsi="Arial" w:cs="Arial"/>
                <w:color w:val="000000"/>
              </w:rPr>
              <w:t>Faculty of Health Sciences, Muhammadiyah University of Gorontalo, Gorontalo, Indonesia</w:t>
            </w:r>
          </w:p>
          <w:p w14:paraId="67FDE6B4" w14:textId="22F4BD0B" w:rsidR="00CE4E69" w:rsidRDefault="00CE4E69" w:rsidP="005C440B">
            <w:pPr>
              <w:jc w:val="center"/>
              <w:rPr>
                <w:rFonts w:ascii="Arial" w:eastAsia="Arial" w:hAnsi="Arial" w:cs="Arial"/>
                <w:color w:val="000000"/>
              </w:rPr>
            </w:pPr>
            <w:r w:rsidRPr="00CE4E69">
              <w:rPr>
                <w:rFonts w:ascii="Arial" w:eastAsia="Arial" w:hAnsi="Arial" w:cs="Arial"/>
                <w:color w:val="000000"/>
                <w:vertAlign w:val="superscript"/>
              </w:rPr>
              <w:t>3</w:t>
            </w:r>
            <w:r>
              <w:rPr>
                <w:rFonts w:ascii="Arial" w:eastAsia="Arial" w:hAnsi="Arial" w:cs="Arial"/>
                <w:color w:val="000000"/>
              </w:rPr>
              <w:t>Postgraduate Program, Gorontalo State University, Gorontalo, Indonesia</w:t>
            </w:r>
          </w:p>
          <w:p w14:paraId="1BDD364F" w14:textId="77777777" w:rsidR="00CE4E69" w:rsidRDefault="00CE4E69" w:rsidP="005C440B">
            <w:pPr>
              <w:jc w:val="center"/>
              <w:rPr>
                <w:rFonts w:ascii="Arial" w:eastAsia="Arial" w:hAnsi="Arial" w:cs="Arial"/>
                <w:color w:val="000000"/>
              </w:rPr>
            </w:pPr>
          </w:p>
          <w:p w14:paraId="10793DAF" w14:textId="02DF8B88" w:rsidR="00CE4E69" w:rsidRPr="008C0C10" w:rsidRDefault="00CE4E69" w:rsidP="005C440B">
            <w:pPr>
              <w:spacing w:line="360" w:lineRule="auto"/>
              <w:jc w:val="center"/>
              <w:rPr>
                <w:rFonts w:ascii="Arial" w:eastAsia="Arial" w:hAnsi="Arial" w:cs="Arial"/>
              </w:rPr>
            </w:pPr>
            <w:r w:rsidRPr="00111EE6">
              <w:rPr>
                <w:rFonts w:ascii="Bookman Old Style" w:hAnsi="Bookman Old Style"/>
                <w:color w:val="000000" w:themeColor="text1"/>
              </w:rPr>
              <w:t>*</w:t>
            </w:r>
            <w:r w:rsidRPr="00111EE6">
              <w:rPr>
                <w:rFonts w:ascii="Bookman Old Style" w:hAnsi="Bookman Old Style"/>
                <w:i/>
                <w:iCs/>
                <w:color w:val="000000" w:themeColor="text1"/>
              </w:rPr>
              <w:t>Corresponding author</w:t>
            </w:r>
            <w:r w:rsidRPr="00111EE6">
              <w:rPr>
                <w:rFonts w:ascii="Bookman Old Style" w:hAnsi="Bookman Old Style"/>
                <w:color w:val="000000" w:themeColor="text1"/>
              </w:rPr>
              <w:t xml:space="preserve">: </w:t>
            </w:r>
            <w:r>
              <w:rPr>
                <w:rFonts w:ascii="Arial" w:eastAsia="Arial" w:hAnsi="Arial" w:cs="Arial"/>
              </w:rPr>
              <w:t>sittiqr@umgo.ac.id</w:t>
            </w:r>
          </w:p>
          <w:p w14:paraId="164012E8" w14:textId="77777777" w:rsidR="00CE4E69" w:rsidRPr="0095521B" w:rsidRDefault="00CE4E69" w:rsidP="005C440B">
            <w:pPr>
              <w:spacing w:before="120"/>
              <w:ind w:left="-108"/>
              <w:rPr>
                <w:rFonts w:ascii="Bookman Old Style" w:hAnsi="Bookman Old Style"/>
                <w:sz w:val="18"/>
                <w:szCs w:val="18"/>
              </w:rPr>
            </w:pPr>
            <w:r w:rsidRPr="0095521B">
              <w:rPr>
                <w:rFonts w:ascii="Bookman Old Style" w:hAnsi="Bookman Old Style"/>
                <w:sz w:val="18"/>
                <w:szCs w:val="18"/>
              </w:rPr>
              <w:t xml:space="preserve">Received: </w:t>
            </w:r>
            <w:r>
              <w:rPr>
                <w:rFonts w:ascii="Bookman Old Style" w:hAnsi="Bookman Old Style"/>
                <w:sz w:val="18"/>
                <w:szCs w:val="18"/>
              </w:rPr>
              <w:t xml:space="preserve">xxxxx </w:t>
            </w:r>
            <w:r w:rsidRPr="0095521B">
              <w:rPr>
                <w:rFonts w:ascii="Bookman Old Style" w:hAnsi="Bookman Old Style"/>
                <w:sz w:val="18"/>
                <w:szCs w:val="18"/>
              </w:rPr>
              <w:t>202</w:t>
            </w:r>
            <w:r>
              <w:rPr>
                <w:rFonts w:ascii="Bookman Old Style" w:hAnsi="Bookman Old Style"/>
                <w:sz w:val="18"/>
                <w:szCs w:val="18"/>
              </w:rPr>
              <w:t>5</w:t>
            </w:r>
            <w:r w:rsidRPr="0095521B">
              <w:rPr>
                <w:rFonts w:ascii="Bookman Old Style" w:hAnsi="Bookman Old Style"/>
                <w:sz w:val="18"/>
                <w:szCs w:val="18"/>
              </w:rPr>
              <w:t xml:space="preserve"> / Accepted: </w:t>
            </w:r>
            <w:r>
              <w:rPr>
                <w:rFonts w:ascii="Bookman Old Style" w:hAnsi="Bookman Old Style"/>
                <w:sz w:val="18"/>
                <w:szCs w:val="18"/>
              </w:rPr>
              <w:t>xxxxxx</w:t>
            </w:r>
            <w:r w:rsidRPr="0095521B">
              <w:rPr>
                <w:rFonts w:ascii="Bookman Old Style" w:hAnsi="Bookman Old Style"/>
                <w:sz w:val="18"/>
                <w:szCs w:val="18"/>
              </w:rPr>
              <w:t xml:space="preserve"> 202</w:t>
            </w:r>
            <w:r>
              <w:rPr>
                <w:rFonts w:ascii="Bookman Old Style" w:hAnsi="Bookman Old Style"/>
                <w:sz w:val="18"/>
                <w:szCs w:val="18"/>
              </w:rPr>
              <w:t>5</w:t>
            </w:r>
            <w:r w:rsidRPr="0095521B">
              <w:rPr>
                <w:rFonts w:ascii="Bookman Old Style" w:hAnsi="Bookman Old Style"/>
                <w:sz w:val="18"/>
                <w:szCs w:val="18"/>
              </w:rPr>
              <w:br/>
              <w:t xml:space="preserve">Available online: </w:t>
            </w:r>
            <w:r>
              <w:rPr>
                <w:rFonts w:ascii="Bookman Old Style" w:hAnsi="Bookman Old Style"/>
                <w:sz w:val="18"/>
                <w:szCs w:val="18"/>
              </w:rPr>
              <w:t>xxxxx 2025</w:t>
            </w:r>
          </w:p>
        </w:tc>
      </w:tr>
      <w:tr w:rsidR="00CE4E69" w:rsidRPr="0095521B" w14:paraId="3EEDA0C7" w14:textId="77777777" w:rsidTr="005C440B">
        <w:trPr>
          <w:gridAfter w:val="1"/>
          <w:wAfter w:w="10" w:type="dxa"/>
        </w:trPr>
        <w:tc>
          <w:tcPr>
            <w:tcW w:w="9483" w:type="dxa"/>
            <w:gridSpan w:val="2"/>
            <w:tcBorders>
              <w:left w:val="nil"/>
              <w:bottom w:val="double" w:sz="4" w:space="0" w:color="auto"/>
              <w:right w:val="nil"/>
            </w:tcBorders>
          </w:tcPr>
          <w:p w14:paraId="3B9316AC" w14:textId="77777777" w:rsidR="00CE4E69" w:rsidRDefault="00CE4E69" w:rsidP="005C440B">
            <w:pPr>
              <w:jc w:val="center"/>
              <w:rPr>
                <w:rFonts w:ascii="Arial" w:hAnsi="Arial" w:cs="Arial"/>
              </w:rPr>
            </w:pPr>
            <w:r>
              <w:rPr>
                <w:rFonts w:ascii="Arial" w:hAnsi="Arial" w:cs="Arial"/>
              </w:rPr>
              <w:t>Abstract</w:t>
            </w:r>
          </w:p>
          <w:p w14:paraId="7D4234CF" w14:textId="4D9B9483" w:rsidR="00CE4E69" w:rsidRDefault="00CE4E69" w:rsidP="00CE4E69">
            <w:pPr>
              <w:jc w:val="both"/>
              <w:rPr>
                <w:rFonts w:ascii="Arial" w:hAnsi="Arial" w:cs="Arial"/>
              </w:rPr>
            </w:pPr>
          </w:p>
          <w:p w14:paraId="5ABD9177" w14:textId="211C2F05" w:rsidR="00CE4E69" w:rsidRDefault="00CE4E69" w:rsidP="005C440B">
            <w:pPr>
              <w:ind w:firstLine="720"/>
              <w:jc w:val="both"/>
              <w:rPr>
                <w:rFonts w:ascii="Arial" w:hAnsi="Arial" w:cs="Arial"/>
              </w:rPr>
            </w:pPr>
            <w:r w:rsidRPr="00CE4E69">
              <w:rPr>
                <w:rFonts w:ascii="Arial" w:hAnsi="Arial" w:cs="Arial"/>
              </w:rPr>
              <w:t>Ultraviolet (UV) rays have beneficial effects, such as killing bacteria, but prolonged exposure can cause harmful effects like non-melanoma skin cancer. The safe time for sunlight exposure is between 7:00 and 9:00 a.m., while exposure between 10:00 a.m. and 4:00 p.m. should be avoided. However, people often engage in outdoor activities during this period, potentially exposing themselves to excessive UV radiation. In addition, dengue fever, a disease transmitted by daytime mosquitoes, is a significant health concern. This study utilizes lemongrass and basil, both known for their natural mosquito-repellent properties and antioxidants, which contribute to enhancing the sun protection factor (SPF). The aim of this research is to develop a body sunscreen spray formulation that not only provides UV protection but also repels mosquitoes. The study employed a quantitative laboratory approach, and the results indicated that the sunscreen spray formulation was safe for use after undergoing organoleptic, homogeneity, viscosity, and pH tests. Formulation F3 demonstrated the highest SPF value of 10.41, offering optimal UV protection and the strongest repellent activity. Therefore, the body sunscreen spray has potential as a product that protects the skin from UV exposure while also preventing mosquito bites during outdoor activities</w:t>
            </w:r>
            <w:r>
              <w:rPr>
                <w:rFonts w:ascii="Arial" w:hAnsi="Arial" w:cs="Arial"/>
              </w:rPr>
              <w:t>.</w:t>
            </w:r>
          </w:p>
          <w:p w14:paraId="6FF0F0F7" w14:textId="77777777" w:rsidR="00CE4E69" w:rsidRDefault="00CE4E69" w:rsidP="005C440B">
            <w:pPr>
              <w:pStyle w:val="ListParagraph"/>
              <w:spacing w:after="120"/>
              <w:ind w:left="-108" w:firstLine="284"/>
              <w:jc w:val="both"/>
              <w:rPr>
                <w:rFonts w:ascii="Bookman Old Style" w:hAnsi="Bookman Old Style"/>
                <w:color w:val="000000" w:themeColor="text1"/>
                <w:sz w:val="18"/>
                <w:szCs w:val="18"/>
              </w:rPr>
            </w:pPr>
          </w:p>
          <w:p w14:paraId="09593908" w14:textId="0681CA8E" w:rsidR="00CE4E69" w:rsidRPr="00CE4E69" w:rsidRDefault="00CE4E69" w:rsidP="005C440B">
            <w:pPr>
              <w:spacing w:line="360" w:lineRule="auto"/>
              <w:rPr>
                <w:rFonts w:ascii="Arial" w:hAnsi="Arial" w:cs="Arial"/>
              </w:rPr>
            </w:pPr>
            <w:r w:rsidRPr="005B4A4B">
              <w:rPr>
                <w:rFonts w:ascii="Arial" w:hAnsi="Arial" w:cs="Arial"/>
                <w:b/>
                <w:bCs/>
              </w:rPr>
              <w:t>Keywords:</w:t>
            </w:r>
            <w:r>
              <w:rPr>
                <w:rFonts w:ascii="Arial" w:hAnsi="Arial" w:cs="Arial"/>
              </w:rPr>
              <w:t xml:space="preserve"> u</w:t>
            </w:r>
            <w:r w:rsidRPr="00CE4E69">
              <w:rPr>
                <w:rFonts w:ascii="Arial" w:hAnsi="Arial" w:cs="Arial"/>
              </w:rPr>
              <w:t xml:space="preserve">ltraviolet; </w:t>
            </w:r>
            <w:r>
              <w:rPr>
                <w:rFonts w:ascii="Arial" w:hAnsi="Arial" w:cs="Arial"/>
              </w:rPr>
              <w:t>d</w:t>
            </w:r>
            <w:r w:rsidRPr="00CE4E69">
              <w:rPr>
                <w:rFonts w:ascii="Arial" w:hAnsi="Arial" w:cs="Arial"/>
              </w:rPr>
              <w:t xml:space="preserve">engue </w:t>
            </w:r>
            <w:r>
              <w:rPr>
                <w:rFonts w:ascii="Arial" w:hAnsi="Arial" w:cs="Arial"/>
              </w:rPr>
              <w:t>h</w:t>
            </w:r>
            <w:r w:rsidRPr="00CE4E69">
              <w:rPr>
                <w:rFonts w:ascii="Arial" w:hAnsi="Arial" w:cs="Arial"/>
              </w:rPr>
              <w:t xml:space="preserve">emorrhagic </w:t>
            </w:r>
            <w:r>
              <w:rPr>
                <w:rFonts w:ascii="Arial" w:hAnsi="Arial" w:cs="Arial"/>
              </w:rPr>
              <w:t>f</w:t>
            </w:r>
            <w:r w:rsidRPr="00CE4E69">
              <w:rPr>
                <w:rFonts w:ascii="Arial" w:hAnsi="Arial" w:cs="Arial"/>
              </w:rPr>
              <w:t xml:space="preserve">ever; </w:t>
            </w:r>
            <w:r>
              <w:rPr>
                <w:rFonts w:ascii="Arial" w:hAnsi="Arial" w:cs="Arial"/>
              </w:rPr>
              <w:t>l</w:t>
            </w:r>
            <w:r w:rsidRPr="00CE4E69">
              <w:rPr>
                <w:rFonts w:ascii="Arial" w:hAnsi="Arial" w:cs="Arial"/>
              </w:rPr>
              <w:t xml:space="preserve">emongrass; </w:t>
            </w:r>
            <w:r>
              <w:rPr>
                <w:rFonts w:ascii="Arial" w:hAnsi="Arial" w:cs="Arial"/>
              </w:rPr>
              <w:t>b</w:t>
            </w:r>
            <w:r w:rsidRPr="00CE4E69">
              <w:rPr>
                <w:rFonts w:ascii="Arial" w:hAnsi="Arial" w:cs="Arial"/>
              </w:rPr>
              <w:t>asil</w:t>
            </w:r>
          </w:p>
        </w:tc>
      </w:tr>
    </w:tbl>
    <w:p w14:paraId="3D3DC6F6" w14:textId="77777777" w:rsidR="00CE4E69" w:rsidRPr="0095521B" w:rsidRDefault="00CE4E69" w:rsidP="00CE4E69">
      <w:pPr>
        <w:pStyle w:val="subbab1"/>
        <w:spacing w:before="0" w:after="120"/>
        <w:sectPr w:rsidR="00CE4E69" w:rsidRPr="0095521B" w:rsidSect="00CE4E69">
          <w:headerReference w:type="default" r:id="rId9"/>
          <w:pgSz w:w="11906" w:h="16838"/>
          <w:pgMar w:top="1440" w:right="1440" w:bottom="1440" w:left="1440" w:header="708" w:footer="708" w:gutter="0"/>
          <w:pgNumType w:start="1"/>
          <w:cols w:space="708"/>
          <w:docGrid w:linePitch="360"/>
        </w:sectPr>
      </w:pPr>
      <w:bookmarkStart w:id="0" w:name="_Hlk71187830"/>
      <w:bookmarkStart w:id="1" w:name="_Hlk71187761"/>
    </w:p>
    <w:p w14:paraId="0606AEF3" w14:textId="77777777" w:rsidR="00CE4E69" w:rsidRPr="0095521B" w:rsidRDefault="00CE4E69" w:rsidP="00CE4E69">
      <w:pPr>
        <w:pStyle w:val="subbab1"/>
        <w:spacing w:before="0" w:after="120"/>
        <w:rPr>
          <w:lang w:val="sv-SE"/>
        </w:rPr>
      </w:pPr>
      <w:r w:rsidRPr="0095521B">
        <w:t>Pendahuluan</w:t>
      </w:r>
    </w:p>
    <w:p w14:paraId="4972631D" w14:textId="77777777" w:rsidR="00CE4E69" w:rsidRPr="0095521B" w:rsidRDefault="00CE4E69" w:rsidP="00CE4E69">
      <w:pPr>
        <w:pStyle w:val="ListParagraph"/>
        <w:autoSpaceDE w:val="0"/>
        <w:autoSpaceDN w:val="0"/>
        <w:adjustRightInd w:val="0"/>
        <w:ind w:left="0" w:firstLine="284"/>
        <w:jc w:val="both"/>
        <w:rPr>
          <w:rFonts w:ascii="Bookman Old Style" w:hAnsi="Bookman Old Style" w:cs="Arial"/>
          <w:sz w:val="18"/>
          <w:szCs w:val="18"/>
        </w:rPr>
        <w:sectPr w:rsidR="00CE4E69" w:rsidRPr="0095521B" w:rsidSect="00CE4E69">
          <w:type w:val="continuous"/>
          <w:pgSz w:w="11906" w:h="16838"/>
          <w:pgMar w:top="1440" w:right="1440" w:bottom="1440" w:left="1440" w:header="708" w:footer="708" w:gutter="0"/>
          <w:cols w:space="286"/>
          <w:docGrid w:linePitch="360"/>
        </w:sectPr>
      </w:pPr>
    </w:p>
    <w:p w14:paraId="4C9F01CC" w14:textId="77777777" w:rsidR="00CE4E69" w:rsidRDefault="00CE4E69" w:rsidP="00CE4E69">
      <w:pPr>
        <w:ind w:firstLine="720"/>
        <w:jc w:val="both"/>
        <w:rPr>
          <w:rFonts w:ascii="Bookman Old Style" w:hAnsi="Bookman Old Style" w:cs="Arial"/>
          <w:bCs/>
          <w:sz w:val="18"/>
          <w:szCs w:val="18"/>
          <w:lang w:val="en-ID"/>
        </w:rPr>
      </w:pPr>
      <w:r w:rsidRPr="00CE4E69">
        <w:rPr>
          <w:rFonts w:ascii="Bookman Old Style" w:hAnsi="Bookman Old Style" w:cs="Arial"/>
          <w:bCs/>
          <w:sz w:val="18"/>
          <w:szCs w:val="18"/>
          <w:lang w:val="en-ID"/>
        </w:rPr>
        <w:t xml:space="preserve">Sinar ultraviolet (UV) merupakan radiasi elektromagnetik yang berasal dari matahari dan bermanfaat bagi manusia karena mampu membunuh bakteri. Namun paparan UV berlebih dalam durasi lama dapat merugikan kesehatan kulit seperti </w:t>
      </w:r>
      <w:r w:rsidRPr="00CE4E69">
        <w:rPr>
          <w:rFonts w:ascii="Bookman Old Style" w:hAnsi="Bookman Old Style" w:cs="Arial"/>
          <w:bCs/>
          <w:i/>
          <w:iCs/>
          <w:sz w:val="18"/>
          <w:szCs w:val="18"/>
          <w:lang w:val="en-ID"/>
        </w:rPr>
        <w:t>sunburn</w:t>
      </w:r>
      <w:r w:rsidRPr="00CE4E69">
        <w:rPr>
          <w:rFonts w:ascii="Bookman Old Style" w:hAnsi="Bookman Old Style" w:cs="Arial"/>
          <w:bCs/>
          <w:sz w:val="18"/>
          <w:szCs w:val="18"/>
          <w:lang w:val="en-ID"/>
        </w:rPr>
        <w:t xml:space="preserve">, penggelapan kulit, penuaan dini dan risiko kanker kulit </w:t>
      </w:r>
      <w:r w:rsidRPr="00CE4E69">
        <w:rPr>
          <w:rFonts w:ascii="Bookman Old Style" w:hAnsi="Bookman Old Style" w:cs="Arial"/>
          <w:bCs/>
          <w:sz w:val="18"/>
          <w:szCs w:val="18"/>
          <w:lang w:val="en-ID"/>
        </w:rPr>
        <w:fldChar w:fldCharType="begin" w:fldLock="1"/>
      </w:r>
      <w:r w:rsidRPr="00CE4E69">
        <w:rPr>
          <w:rFonts w:ascii="Bookman Old Style" w:hAnsi="Bookman Old Style" w:cs="Arial"/>
          <w:bCs/>
          <w:sz w:val="18"/>
          <w:szCs w:val="18"/>
          <w:lang w:val="en-ID"/>
        </w:rPr>
        <w:instrText>ADDIN CSL_CITATION {"citationItems":[{"id":"ITEM-1","itemData":{"abstract":"Remaja, sebagai fase transisi menuju kedewasaan, mengalami perubahan signifikan baik secara hormonal, fisik, psikologis, maupun sosial. Perubahan ini mendorong mereka untuk mengeksplorasi aktivitas baru, dengan olahraga seperti lari dan bersepeda menjadi pilihan utama, karena bersifat inklusif dan sering dilakukan di luar ruangan, memberikan paparan sinar matahari yang lebih intens. Namun, penting untuk diingat bahwa paparan berlebihan terhadap sinar matahari dapat memiliki dampak negatif pada kesehatan kulit, seperti sunburn, tanning, penuaan dini, dan meningkatkan risiko kanker kulit. Meskipun pengetahuan remaja tentang pentingnya tabir surya sudah relatif baik, perilaku penggunaannya masih rendah. Oleh karena itu, diperlukan edukasi untuk meningkatkan kesadaran dan praktik penggunaan tabir surya. Penelitian ini fokus pada remaja perempuan usia 17-22 tahun di Fakultas Kedokteran Universitas Tarumanagara. Metode penelitian yang digunakan adalah analitik, dengan pengumpulan data melalui survei menggunakan kuesioner pre-test dan post-test melalui aplikasi Google Form. Edukasi dilakukan melalui video animasi untuk meningkatkan pengetahuan dan praktek penggunaan tabir surya yang benar. Teknik pengambilan sampel menggunakan consecutive sampling. Variabel bebas adalah pengetahuan, sedangkan variabel tergantungnya adalah perilaku penggunaan tabir surya. Analisis statistik, termasuk analisis univariat dan bivariat Wilcoxon, dilakukan dengan SPSS 25. Hasil penelitian menunjukkan bahwa sebelum edukasi, pengetahuan mahasiswi FK UNTAR sudah baik, dengan 97,1% responden memiliki tingkat pengetahuan yang memadai. Praktek penggunaan tabir surya juga cenderung baik, dengan 82,4% responden menunjukkan tingkat penggunaan yang memadai. Meskipun demikian, edukasi masih diperlukan untuk meningkatkan pemahaman dan praktek yang optimal terkait tabir surya","author":[{"dropping-particle":"","family":"Maharani","given":"Fauziah Dea Ratna","non-dropping-particle":"","parse-names":false,"suffix":""},{"dropping-particle":"","family":"Tarcisia","given":"Twidy","non-dropping-particle":"","parse-names":false,"suffix":""}],"container-title":"Jurnal Kesehatan Tambusai","id":"ITEM-1","issue":"1","issued":{"date-parts":[["2024"]]},"page":"1-9","title":"Peningkatan pengetahuan remaja perempuan 17-22 tahun tentang sunscreen di fk untar","type":"article-journal","volume":"5"},"uris":["http://www.mendeley.com/documents/?uuid=ba7a7cce-91f6-4343-8837-7382cf626fb9","http://www.mendeley.com/documents/?uuid=8bffc6ed-d619-49d6-ba4d-207c83e2cfa2"]}],"mendeley":{"formattedCitation":"[1]","plainTextFormattedCitation":"[1]","previouslyFormattedCitation":"[1]"},"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[1]</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xml:space="preserve">. Kondisi iklim dan suhu udara Indonesia mendukung kelimpahan sinar UV. Badan Meteorologi Klimatologi dan Geofisika (BMKG) </w:t>
      </w:r>
      <w:r w:rsidRPr="00CE4E69">
        <w:rPr>
          <w:rFonts w:ascii="Bookman Old Style" w:hAnsi="Bookman Old Style" w:cs="Arial"/>
          <w:bCs/>
          <w:sz w:val="18"/>
          <w:szCs w:val="18"/>
          <w:lang w:val="en-ID"/>
        </w:rPr>
        <w:fldChar w:fldCharType="begin" w:fldLock="1"/>
      </w:r>
      <w:r w:rsidRPr="00CE4E69">
        <w:rPr>
          <w:rFonts w:ascii="Bookman Old Style" w:hAnsi="Bookman Old Style" w:cs="Arial"/>
          <w:bCs/>
          <w:sz w:val="18"/>
          <w:szCs w:val="18"/>
          <w:lang w:val="en-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Kata","author":[{"dropping-particle":"","family":"BMKG","given":"","non-dropping-particle":"","parse-names":false,"suffix":""}],"container-title":"BMKG Journal","id":"ITEM-1","issued":{"date-parts":[["2022"]]},"title":"Pandangan Iklim 2023","type":"chapter"},"uris":["http://www.mendeley.com/documents/?uuid=cb52455c-bf30-4aae-9a34-38f9a439ad5e","http://www.mendeley.com/documents/?uuid=73b3672c-d029-46d0-ac1e-0f8188ad08e0"]}],"mendeley":{"formattedCitation":"[2]","plainTextFormattedCitation":"[2]","previouslyFormattedCitation":"[2]"},"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[2]</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xml:space="preserve"> mencatat kondisi suhu udara Indonesia Tahun 2023 mengalami kenaikan 0,17 hingga 0,45 derajat serta lebih hangat dari periode 1991-2020. Peningkatan suhu dapat dipengaruhi oleh penyinaran matahari sehingga menyebabkan beberapa daerah di Indonesia memiliki penyinaran matahari yang tinggi. Badan Pusat Statistik (BPS) Provinsi Gorontalo Tahun 2021, mencatat daerah Gorontalo mengalami peningkatan suhu mencapai 35,10 derajat dengan penyinaran matahari sebesar 35 persen </w:t>
      </w:r>
      <w:r w:rsidRPr="00CE4E69">
        <w:rPr>
          <w:rFonts w:ascii="Bookman Old Style" w:hAnsi="Bookman Old Style" w:cs="Arial"/>
          <w:bCs/>
          <w:sz w:val="18"/>
          <w:szCs w:val="18"/>
          <w:lang w:val="en-ID"/>
        </w:rPr>
        <w:fldChar w:fldCharType="begin" w:fldLock="1"/>
      </w:r>
      <w:r w:rsidRPr="00CE4E69">
        <w:rPr>
          <w:rFonts w:ascii="Bookman Old Style" w:hAnsi="Bookman Old Style" w:cs="Arial"/>
          <w:bCs/>
          <w:sz w:val="18"/>
          <w:szCs w:val="18"/>
          <w:lang w:val="en-ID"/>
        </w:rPr>
        <w:instrText>ADDIN CSL_CITATION {"citationItems":[{"id":"ITEM-1","itemData":{"author":[{"dropping-particle":"","family":"Badan Pusat Statistik Provinsi Gorontalo","given":"","non-dropping-particle":"","parse-names":false,"suffix":""}],"container-title":"Gorontalo.Bps.Go.Id","id":"ITEM-1","issued":{"date-parts":[["2022"]]},"title":"Indikator Iklim Gorontalo 2021","type":"article"},"uris":["http://www.mendeley.com/documents/?uuid=4c8c8c62-2e7f-47aa-980d-2482448e215c","http://www.mendeley.com/documents/?uuid=158b81d6-dd7e-45ba-b3b4-a8bee3c37515"]}],"mendeley":{"formattedCitation":"[3]","plainTextFormattedCitation":"[3]","previouslyFormattedCitation":"[3]"},"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[3]</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xml:space="preserve">. </w:t>
      </w:r>
    </w:p>
    <w:p w14:paraId="058A7F35" w14:textId="77777777" w:rsidR="00CE4E69" w:rsidRPr="00CE4E69" w:rsidRDefault="00CE4E69" w:rsidP="00CE4E69">
      <w:pPr>
        <w:ind w:firstLine="720"/>
        <w:jc w:val="both"/>
        <w:rPr>
          <w:rFonts w:ascii="Bookman Old Style" w:hAnsi="Bookman Old Style" w:cs="Arial"/>
          <w:bCs/>
          <w:sz w:val="18"/>
          <w:szCs w:val="18"/>
          <w:lang w:val="en-ID"/>
        </w:rPr>
      </w:pPr>
      <w:r w:rsidRPr="00CE4E69">
        <w:rPr>
          <w:rFonts w:ascii="Bookman Old Style" w:hAnsi="Bookman Old Style" w:cs="Arial"/>
          <w:bCs/>
          <w:sz w:val="18"/>
          <w:szCs w:val="18"/>
          <w:lang w:val="en-ID"/>
        </w:rPr>
        <w:t xml:space="preserve">Waktu yang dianggap aman untuk mendapatkan paparan sinar matahari adalah pukul 07.00 hingga 09.00 pagi, sementara pada pukul 10.00 hingga 16.00 sore sebaiknya dihindari karena intensitas sinar UV berada pada level yang tinggi </w:t>
      </w:r>
      <w:r w:rsidRPr="00CE4E69">
        <w:rPr>
          <w:rFonts w:ascii="Bookman Old Style" w:hAnsi="Bookman Old Style" w:cs="Arial"/>
          <w:bCs/>
          <w:sz w:val="18"/>
          <w:szCs w:val="18"/>
          <w:lang w:val="en-ID"/>
        </w:rPr>
        <w:fldChar w:fldCharType="begin" w:fldLock="1"/>
      </w:r>
      <w:r w:rsidRPr="00CE4E69">
        <w:rPr>
          <w:rFonts w:ascii="Bookman Old Style" w:hAnsi="Bookman Old Style" w:cs="Arial"/>
          <w:bCs/>
          <w:sz w:val="18"/>
          <w:szCs w:val="18"/>
          <w:lang w:val="en-ID"/>
        </w:rPr>
        <w:instrText>ADDIN CSL_CITATION {"citationItems":[{"id":"ITEM-1","itemData":{"abstract":"The World Health Organization (WHO) recommends using sunscreen as an effort to protect the skin from sun exposure. Ultraviolet rays can cause skin to become dull, dry, and wrinkled. Damage caused by ultraviolet rays can damage DNA, suppress the body's immunity, and activate chemicals in the body that can cause cancer, cause skin damage, sunburn, erythema, causing blemishes. brown spots, as well as thickening and dryness of the skin. The research method used was observational with a cross sectional approach. The subjects of this research were employees of Bandar Negara Husada Hospital with a population of 220 people, a sample of 84 respondents. The statistical test used the chi square test. During the research in May- June 2023, it was carried out at the Bandar Negara Husada Hospital, South Lampung. The results of the research using the chi-square statistical test obtained a P-value of 0.000 &lt; 0.005, so it can be concluded that there is a relationship between knowledge of the use of sunscreen and the level of employee knowledge regarding the dangers of exposure to ultraviolet light at Bandar Negara Husada Hospital, South Lampung. P-value is 0.000 &lt; 0.027, so it can be concluded that there is a relationship between the behavior of using sunscreen and the level of employee knowledge about the dangers of exposure to ultraviolet light at Bandar Negara Husada Hospital, South Lampung.","author":[{"dropping-particle":"","family":"Septiana","given":"Efa","non-dropping-particle":"","parse-names":false,"suffix":""}],"container-title":"Jurnal Ilmu Kesehatan Masyarakat Indonesia (JIKMI)","id":"ITEM-1","issue":"1","issued":{"date-parts":[["2023"]]},"page":"1-12","title":"Hubungan Pengetahuan Tentang Sunscreen dan Pengetahuan Tentang Bahaya Paparan Sinar Matahari dengan Perilaku Penggunaan Sunscreen pada Pegawai Rumah Sakit Bandar Negara Husada Lampung Selatan","type":"article-journal","volume":"3"},"uris":["http://www.mendeley.com/documents/?uuid=66c1753e-8ffb-4b3b-80d7-f7f609528c9c","http://www.mendeley.com/documents/?uuid=da7e51da-fbdc-446e-ac5d-7a0da1744310"]}],"mendeley":{"formattedCitation":"[4]","plainTextFormattedCitation":"[4]","previouslyFormattedCitation":"[4]"},"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[4]</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xml:space="preserve">. Namun, aktivitas masyarakat justru berlangsung pada rentang waktu tersebut, sehingga tanpa disadari hampir setiap hari kulit mereka terpapar sinar matahari berlebihan. Salah satu langkah pencegahan yang paling umum dilakukan untuk melindungi kulit dari dampak buruk sinar UV adalah dengan menggunakan sunscreen. Saat ini, berbagai jenis sunscreen telah tersedia di pasaran, mulai dari bentuk lotion, gel, </w:t>
      </w:r>
      <w:r w:rsidRPr="00343685">
        <w:rPr>
          <w:rFonts w:ascii="Bookman Old Style" w:hAnsi="Bookman Old Style" w:cs="Arial"/>
          <w:bCs/>
          <w:i/>
          <w:iCs/>
          <w:sz w:val="18"/>
          <w:szCs w:val="18"/>
          <w:lang w:val="en-ID"/>
        </w:rPr>
        <w:t>spray</w:t>
      </w:r>
      <w:r w:rsidRPr="00CE4E69">
        <w:rPr>
          <w:rFonts w:ascii="Bookman Old Style" w:hAnsi="Bookman Old Style" w:cs="Arial"/>
          <w:bCs/>
          <w:sz w:val="18"/>
          <w:szCs w:val="18"/>
          <w:lang w:val="en-ID"/>
        </w:rPr>
        <w:t xml:space="preserve">, hingga stik, yang dapat dipilih sesuai kebutuhan dan kenyamanan pengguna. </w:t>
      </w:r>
    </w:p>
    <w:p w14:paraId="2D3ED79E" w14:textId="77777777" w:rsidR="00CE4E69" w:rsidRPr="00CE4E69" w:rsidRDefault="00CE4E69" w:rsidP="00CE4E69">
      <w:pPr>
        <w:ind w:firstLine="720"/>
        <w:jc w:val="both"/>
        <w:rPr>
          <w:rFonts w:ascii="Bookman Old Style" w:hAnsi="Bookman Old Style" w:cs="Arial"/>
          <w:bCs/>
          <w:sz w:val="18"/>
          <w:szCs w:val="18"/>
          <w:lang w:val="en-ID"/>
        </w:rPr>
      </w:pPr>
      <w:r w:rsidRPr="00CE4E69">
        <w:rPr>
          <w:rFonts w:ascii="Bookman Old Style" w:hAnsi="Bookman Old Style" w:cs="Arial"/>
          <w:bCs/>
          <w:sz w:val="18"/>
          <w:szCs w:val="18"/>
          <w:lang w:val="en-ID"/>
        </w:rPr>
        <w:t xml:space="preserve">Perlindungan kulit dari sinar UV bukanlah satu-satunya tantangan yang dihadapi masyarakat saat beraktivitas di siang hari. Pada periode waktu yang sama, nyamuk </w:t>
      </w:r>
      <w:r w:rsidRPr="00343685">
        <w:rPr>
          <w:rFonts w:ascii="Bookman Old Style" w:hAnsi="Bookman Old Style" w:cs="Arial"/>
          <w:bCs/>
          <w:i/>
          <w:iCs/>
          <w:sz w:val="18"/>
          <w:szCs w:val="18"/>
          <w:lang w:val="en-ID"/>
        </w:rPr>
        <w:t>Aedes aegypti</w:t>
      </w:r>
      <w:r w:rsidRPr="00CE4E69">
        <w:rPr>
          <w:rFonts w:ascii="Bookman Old Style" w:hAnsi="Bookman Old Style" w:cs="Arial"/>
          <w:bCs/>
          <w:sz w:val="18"/>
          <w:szCs w:val="18"/>
          <w:lang w:val="en-ID"/>
        </w:rPr>
        <w:t xml:space="preserve">, vektor utama penyebab Demam Berdarah Dengue (DBD) juga </w:t>
      </w:r>
      <w:r w:rsidRPr="00CE4E69">
        <w:rPr>
          <w:rFonts w:ascii="Bookman Old Style" w:hAnsi="Bookman Old Style" w:cs="Arial"/>
          <w:bCs/>
          <w:sz w:val="18"/>
          <w:szCs w:val="18"/>
          <w:lang w:val="en-ID"/>
        </w:rPr>
        <w:lastRenderedPageBreak/>
        <w:t xml:space="preserve">sedang aktif mencari inang. Kondisi ini menempatkan masyarakat pada risiko ganda, yaitu terpapar sinar UV yang berbahaya bagi kesehatan kulit, dan berpotensi tertular penyakit DBD </w:t>
      </w:r>
      <w:r w:rsidRPr="00CE4E69">
        <w:rPr>
          <w:rFonts w:ascii="Bookman Old Style" w:hAnsi="Bookman Old Style" w:cs="Arial"/>
          <w:bCs/>
          <w:sz w:val="18"/>
          <w:szCs w:val="18"/>
          <w:lang w:val="en-ID"/>
        </w:rPr>
        <w:fldChar w:fldCharType="begin" w:fldLock="1"/>
      </w:r>
      <w:r w:rsidRPr="00CE4E69">
        <w:rPr>
          <w:rFonts w:ascii="Bookman Old Style" w:hAnsi="Bookman Old Style" w:cs="Arial"/>
          <w:bCs/>
          <w:sz w:val="18"/>
          <w:szCs w:val="18"/>
          <w:lang w:val="en-ID"/>
        </w:rPr>
        <w:instrText>ADDIN CSL_CITATION {"citationItems":[{"id":"ITEM-1","itemData":{"author":[{"dropping-particle":"","family":"Sari","given":"Anggun Novita","non-dropping-particle":"","parse-names":false,"suffix":""}],"id":"ITEM-1","issued":{"date-parts":[["2018"]]},"number-of-pages":"23-40","publisher":"Universtas Islam Negeri Raden Intan Lampung","title":"Efektifitas Daun Kemangi (Ocimum sanctumL.) Sebagai Ovisida Terhadap Nyamuk Aedes aegypti","type":"thesis"},"uris":["http://www.mendeley.com/documents/?uuid=ca50ac32-07e2-4e9d-9fe6-c0ee4f882459","http://www.mendeley.com/documents/?uuid=0267aa71-1e7d-4d0b-85ba-fec2deda70bc"]}],"mendeley":{"formattedCitation":"[5]","plainTextFormattedCitation":"[5]","previouslyFormattedCitation":"[5]"},"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[5]</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Dengan demikian, kebutuhan akan inovasi produk yang mampu memberikan perlindungan ganda, baik terhadap paparan sinar matahari maupun gigitan nyamuk menjadi semakin relevan.</w:t>
      </w:r>
    </w:p>
    <w:p w14:paraId="5EE28730" w14:textId="77777777" w:rsidR="00CE4E69" w:rsidRPr="00CE4E69" w:rsidRDefault="00CE4E69" w:rsidP="00CE4E69">
      <w:pPr>
        <w:ind w:firstLine="720"/>
        <w:jc w:val="both"/>
        <w:rPr>
          <w:rFonts w:ascii="Bookman Old Style" w:hAnsi="Bookman Old Style" w:cs="Arial"/>
          <w:bCs/>
          <w:sz w:val="18"/>
          <w:szCs w:val="18"/>
          <w:lang w:val="en-ID"/>
        </w:rPr>
      </w:pPr>
      <w:r w:rsidRPr="00CE4E69">
        <w:rPr>
          <w:rFonts w:ascii="Bookman Old Style" w:hAnsi="Bookman Old Style" w:cs="Arial"/>
          <w:bCs/>
          <w:sz w:val="18"/>
          <w:szCs w:val="18"/>
          <w:lang w:val="en-ID"/>
        </w:rPr>
        <w:t>Provinsi Gorontalo tercatat memiliki angka Insiden Rate (IR) DBD tertinggi keempat, yaitu sebesar 102 per 100.000 penduduk pada periode 2019-2022, serta menempati urutan</w:t>
      </w:r>
      <w:r w:rsidRPr="00CE4E69">
        <w:rPr>
          <w:rFonts w:ascii="Bookman Old Style" w:hAnsi="Bookman Old Style"/>
          <w:bCs/>
          <w:sz w:val="18"/>
          <w:szCs w:val="18"/>
          <w:lang w:val="en-ID"/>
        </w:rPr>
        <w:t xml:space="preserve">  k</w:t>
      </w:r>
      <w:r w:rsidRPr="00CE4E69">
        <w:rPr>
          <w:rFonts w:ascii="Bookman Old Style" w:hAnsi="Bookman Old Style" w:cs="Arial"/>
          <w:bCs/>
          <w:sz w:val="18"/>
          <w:szCs w:val="18"/>
          <w:lang w:val="en-ID"/>
        </w:rPr>
        <w:t xml:space="preserve">edua untuk angka </w:t>
      </w:r>
      <w:r w:rsidRPr="00735910">
        <w:rPr>
          <w:rFonts w:ascii="Bookman Old Style" w:hAnsi="Bookman Old Style" w:cs="Arial"/>
          <w:bCs/>
          <w:i/>
          <w:iCs/>
          <w:sz w:val="18"/>
          <w:szCs w:val="18"/>
          <w:lang w:val="en-ID"/>
        </w:rPr>
        <w:t>Case Fatality Rate</w:t>
      </w:r>
      <w:r w:rsidRPr="00CE4E69">
        <w:rPr>
          <w:rFonts w:ascii="Bookman Old Style" w:hAnsi="Bookman Old Style" w:cs="Arial"/>
          <w:bCs/>
          <w:sz w:val="18"/>
          <w:szCs w:val="18"/>
          <w:lang w:val="en-ID"/>
        </w:rPr>
        <w:t xml:space="preserve"> (CFR) dengan nilai 1,90 pada tahun 2022 </w:t>
      </w:r>
      <w:r w:rsidRPr="00CE4E69">
        <w:rPr>
          <w:rFonts w:ascii="Bookman Old Style" w:hAnsi="Bookman Old Style" w:cs="Arial"/>
          <w:bCs/>
          <w:sz w:val="18"/>
          <w:szCs w:val="18"/>
          <w:lang w:val="en-ID"/>
        </w:rPr>
        <w:fldChar w:fldCharType="begin" w:fldLock="1"/>
      </w:r>
      <w:r w:rsidRPr="00CE4E69">
        <w:rPr>
          <w:rFonts w:ascii="Bookman Old Style" w:hAnsi="Bookman Old Style" w:cs="Arial"/>
          <w:bCs/>
          <w:sz w:val="18"/>
          <w:szCs w:val="18"/>
          <w:lang w:val="en-ID"/>
        </w:rPr>
        <w:instrText>ADDIN CSL_CITATION {"citationItems":[{"id":"ITEM-1","itemData":{"author":[{"dropping-particle":"","family":"InfoDATIN","given":"","non-dropping-particle":"","parse-names":false,"suffix":""}],"id":"ITEM-1","issued":{"date-parts":[["2023"]]},"title":"Deteksi Dini Demam Berdarah Dengue (DBD) dan Pengendaliannya di Indonesia Tahun 2023","type":"report"},"uris":["http://www.mendeley.com/documents/?uuid=f1693e3a-f643-48d9-a536-a3d85f227cbe","http://www.mendeley.com/documents/?uuid=9b08e1ca-ce05-4e63-a7ea-95aede76c40d"]}],"mendeley":{"formattedCitation":"[6]","plainTextFormattedCitation":"[6]","previouslyFormattedCitation":"[6]"},"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[6]</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Data ini menunjukkan bahwa DBD masih menjadi masalah kesehatan serius di Gorontalo, terlebih karena penyebarannya terjadi pada saat yang sama</w:t>
      </w:r>
      <w:r w:rsidRPr="00CE4E69">
        <w:rPr>
          <w:rFonts w:ascii="Bookman Old Style" w:hAnsi="Bookman Old Style"/>
          <w:bCs/>
          <w:sz w:val="18"/>
          <w:szCs w:val="18"/>
          <w:lang w:val="en-ID"/>
        </w:rPr>
        <w:t xml:space="preserve"> d</w:t>
      </w:r>
      <w:r w:rsidRPr="00CE4E69">
        <w:rPr>
          <w:rFonts w:ascii="Bookman Old Style" w:hAnsi="Bookman Old Style" w:cs="Arial"/>
          <w:bCs/>
          <w:sz w:val="18"/>
          <w:szCs w:val="18"/>
          <w:lang w:val="en-ID"/>
        </w:rPr>
        <w:t xml:space="preserve">engan waktu aktivitas masyarakat di luar ruangan. Kondisi tersebut memperkuat urgensi akan adanya produk inovatif yang tidak hanya melindungi kulit dari paparan sinar UV, tetapi juga mampu mencegah gigitan nyamuk penyebab DBD. </w:t>
      </w:r>
    </w:p>
    <w:p w14:paraId="33691E85" w14:textId="36BBCFEF" w:rsidR="00CE4E69" w:rsidRPr="00CE4E69" w:rsidRDefault="00CE4E69" w:rsidP="00CE4E69">
      <w:pPr>
        <w:ind w:firstLine="720"/>
        <w:jc w:val="both"/>
        <w:rPr>
          <w:rFonts w:ascii="Bookman Old Style" w:hAnsi="Bookman Old Style" w:cs="Arial"/>
          <w:bCs/>
          <w:sz w:val="18"/>
          <w:szCs w:val="18"/>
          <w:lang w:val="en-ID"/>
        </w:rPr>
      </w:pPr>
      <w:r w:rsidRPr="00CE4E69">
        <w:rPr>
          <w:rFonts w:ascii="Bookman Old Style" w:hAnsi="Bookman Old Style" w:cs="Arial"/>
          <w:bCs/>
          <w:sz w:val="18"/>
          <w:szCs w:val="18"/>
          <w:lang w:val="en-ID"/>
        </w:rPr>
        <w:t>Sejalan dengan kebutuhan tersebut, penelitian ini mengembangkan formulasi body sunscreen spray kombinasi serai (</w:t>
      </w:r>
      <w:r w:rsidRPr="00735910">
        <w:rPr>
          <w:rFonts w:ascii="Bookman Old Style" w:hAnsi="Bookman Old Style" w:cs="Arial"/>
          <w:bCs/>
          <w:i/>
          <w:iCs/>
          <w:sz w:val="18"/>
          <w:szCs w:val="18"/>
          <w:lang w:val="en-ID"/>
        </w:rPr>
        <w:t>Cymbopogon citratus</w:t>
      </w:r>
      <w:r w:rsidRPr="00CE4E69">
        <w:rPr>
          <w:rFonts w:ascii="Bookman Old Style" w:hAnsi="Bookman Old Style" w:cs="Arial"/>
          <w:bCs/>
          <w:sz w:val="18"/>
          <w:szCs w:val="18"/>
          <w:lang w:val="en-ID"/>
        </w:rPr>
        <w:t>) dan kemangi (</w:t>
      </w:r>
      <w:r w:rsidRPr="00735910">
        <w:rPr>
          <w:rFonts w:ascii="Bookman Old Style" w:hAnsi="Bookman Old Style" w:cs="Arial"/>
          <w:bCs/>
          <w:i/>
          <w:iCs/>
          <w:sz w:val="18"/>
          <w:szCs w:val="18"/>
          <w:lang w:val="en-ID"/>
        </w:rPr>
        <w:t>Ocimum canum</w:t>
      </w:r>
      <w:r w:rsidRPr="00CE4E69">
        <w:rPr>
          <w:rFonts w:ascii="Bookman Old Style" w:hAnsi="Bookman Old Style" w:cs="Arial"/>
          <w:bCs/>
          <w:sz w:val="18"/>
          <w:szCs w:val="18"/>
          <w:lang w:val="en-ID"/>
        </w:rPr>
        <w:t xml:space="preserve">) yang dirancang untuk memberikan perlindungan menyeluruh terhadap kedua risiko tersebut. Kedua tanaman ini mengandung berbagai metabolit sekunder, termasuk fenol, polifenol, flavonoid, alkaloid, steroid, triterpenoid, tanin, dan saponin </w:t>
      </w:r>
      <w:r w:rsidRPr="00CE4E69">
        <w:rPr>
          <w:rFonts w:ascii="Bookman Old Style" w:hAnsi="Bookman Old Style" w:cs="Arial"/>
          <w:bCs/>
          <w:sz w:val="18"/>
          <w:szCs w:val="18"/>
          <w:lang w:val="en-ID"/>
        </w:rPr>
        <w:fldChar w:fldCharType="begin" w:fldLock="1"/>
      </w:r>
      <w:r w:rsidRPr="00CE4E69">
        <w:rPr>
          <w:rFonts w:ascii="Bookman Old Style" w:hAnsi="Bookman Old Style" w:cs="Arial"/>
          <w:bCs/>
          <w:sz w:val="18"/>
          <w:szCs w:val="18"/>
          <w:lang w:val="en-ID"/>
        </w:rPr>
        <w:instrText>ADDIN CSL_CITATION {"citationItems":[{"id":"ITEM-1","itemData":{"DOI":"10.22219/farmasains.v9i1.33968","ISSN":"2086-3373","abstract":"Herbal drinks have therapeutic and refreshing properties. Some plethora of botanicals are used as herbal drink ingredients, including simplicia from lemongrass (Cymbopogon nardus L.) and holy basil (Ocinum sanctum L.). This research was performed to assess the organoleptic and chemical characteristics of lemongrass and holy basil simplicia herbal drink named Serangi. The research underwent two phases: organoleptic testing in the first stage and chemical analysis in the second stage to evaluate pH, vitamin C levels, and total phenols in Serangi herbal drink. Three repetitions had been performed to gain data mean values and standard deviation before being analyzed using General Linear ANOVA model (GLM) on the Minitab 20 software. Results revealed panelists' preferences for F3 in terms of color, aroma, and taste, with ratings of 4.12, 4.02, and 4.05, respectively. All Serangi drink samples met the pH requirements, falling within the 3-8 range, where F3 exhibited the highest vitamin C content of 1.224% and total phenol content of 122.10 mg GAE/100g/ml. Serangi herbal drink is rich in vitamin C and secondary metabolites and it offers immune-boosting benefits.","author":[{"dropping-particle":"","family":"Fidyasari","given":"Ambar","non-dropping-particle":"","parse-names":false,"suffix":""},{"dropping-particle":"","family":"Ayu Ristamaya Yusuf","given":"","non-dropping-particle":"","parse-names":false,"suffix":""},{"dropping-particle":"","family":"Nafila Nada Dzikri","given":"","non-dropping-particle":"","parse-names":false,"suffix":""}],"container-title":"Farmasains: Jurnal Farmasi dan Ilmu Kesehatan","id":"ITEM-1","issue":"1","issued":{"date-parts":[["2024"]]},"page":"19-27","title":"Organoleptic and Chemical Properties of SERANGI Herbal Drink: A Blend of Lemongrass (Cymbopogon nardus L.) and Holy Basil (Ocimum sanctum L.) as Immune Booster.","type":"article-journal","volume":"9"},"uris":["http://www.mendeley.com/documents/?uuid=9488af86-218a-46eb-9db8-18fbae55d952","http://www.mendeley.com/documents/?uuid=0a2ea5f7-b1f6-4639-96a5-537b087f672b"]}],"mendeley":{"formattedCitation":"[7]","plainTextFormattedCitation":"[7]","previouslyFormattedCitation":"[7]"},"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[7]</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xml:space="preserve">.  Ekstrak serai mengandung senyawa aktif berupa antioksidan dan berpotensi untuk dikembangkan sebagai tabir surya </w:t>
      </w:r>
      <w:r w:rsidRPr="00CE4E69">
        <w:rPr>
          <w:rFonts w:ascii="Bookman Old Style" w:hAnsi="Bookman Old Style" w:cs="Arial"/>
          <w:bCs/>
          <w:sz w:val="18"/>
          <w:szCs w:val="18"/>
          <w:lang w:val="en-ID"/>
        </w:rPr>
        <w:fldChar w:fldCharType="begin" w:fldLock="1"/>
      </w:r>
      <w:r w:rsidRPr="00CE4E69">
        <w:rPr>
          <w:rFonts w:ascii="Bookman Old Style" w:hAnsi="Bookman Old Style" w:cs="Arial"/>
          <w:bCs/>
          <w:sz w:val="18"/>
          <w:szCs w:val="18"/>
          <w:lang w:val="en-ID"/>
        </w:rPr>
        <w:instrText>ADDIN CSL_CITATION {"citationItems":[{"id":"ITEM-1","itemData":{"author":[{"dropping-particle":"","family":"Sari","given":"Ni Komang Aprilia Purnama","non-dropping-particle":"","parse-names":false,"suffix":""}],"id":"ITEM-1","issued":{"date-parts":[["2024"]]},"publisher":"Universitas Mahasaraswati Denpasar","title":"Uji Potensi Tabir Surya dan Nilai Sun Protection Factor (SPF) Sediaan Krim Tabir Surya Minyak Atsiri Sereh Wangi (Cymbopogon nardus) dengan Metode Spektrofotometri UV-Vis","type":"thesis"},"uris":["http://www.mendeley.com/documents/?uuid=572a60fe-bac4-4157-9a34-7659c4f1dad2","http://www.mendeley.com/documents/?uuid=b4767872-7946-4da4-8053-e52d7ee49ace"]}],"mendeley":{"formattedCitation":"[8]","manualFormatting":"[8,","plainTextFormattedCitation":"[8]","previouslyFormattedCitation":"[8]"},"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[8,</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fldChar w:fldCharType="begin" w:fldLock="1"/>
      </w:r>
      <w:r w:rsidRPr="00CE4E69">
        <w:rPr>
          <w:rFonts w:ascii="Bookman Old Style" w:hAnsi="Bookman Old Style" w:cs="Arial"/>
          <w:bCs/>
          <w:sz w:val="18"/>
          <w:szCs w:val="18"/>
          <w:lang w:val="en-ID"/>
        </w:rPr>
        <w:instrText>ADDIN CSL_CITATION {"citationItems":[{"id":"ITEM-1","itemData":{"DOI":"10.30653/medsains.v3i2.794","ISSN":"2810-0212","abstract":"Daun sereh (Cymbopogon citratus [DC.] Stapf) dapat berpotensi sebagai tabir surya alami. Senyawa metabolit sekunder yang terkandung dalam daun C. citratus dapat berfungsi sebagai antioksidan sekaligus tabir surya, diantaranya ﬂavonoid, saponin, polifenol, dan tanin. Tujuan penelitian untuk mengetahui evaluasi sediaan dan nilai sun protection factor (SPF) dari lotion ekstrak daun C. citratus. Tahapan penelitian meliputi determinasi, pengumpulan sampel, pembuatan simplisia, pembuatan ekstrak, formulasi lotion dari ekstrak daun C. citratus, pengamatan stabilitas fisik sediaan lotion, penentuan nilai sun protection factor (SPF) sediaan lotion dengan zat aktif daun C. citratus pada konsentrasi 5% (F1), 7,5% (F2) dan 10% (F3) dengan menggunakan spektrofotometer UV-Vis. Hasil penelitian menunjukkan bahwa sediaan lotion tabir surya ekstrak daun C. citratus konsentrasi 5% (F1), 7,5% (F2) dan 10% (F3) memenuhi persyaratan sediaan lotion pada uji yaitu homogenitas, organoleptik, pH, daya lekat dan viskositas namun tidak memenuhi persyaratan daya sebar. Nilai sun protection factor (SPF) sediaan lotion ekstrak daun C. citratus konsentrasi 5% (F1) sebesar 25,669, 7,5% (F2) sebesar 26,553 dan 10% (F3) sebesar 28,327 dengan nilai SPF yaitu; diatas 15 (kategori ultra).","author":[{"dropping-particle":"","family":"Karlina","given":"Lilis","non-dropping-particle":"","parse-names":false,"suffix":""},{"dropping-particle":"","family":"Nurhayati","given":"Ghina Siti","non-dropping-particle":"","parse-names":false,"suffix":""},{"dropping-particle":"","family":"Dita","given":"Lucki","non-dropping-particle":"","parse-names":false,"suffix":""}],"container-title":"Jurnal Medika &amp; Sains","id":"ITEM-1","issue":"2","issued":{"date-parts":[["2023"]]},"page":"88-100","title":"Formulasi Sediaan Lotion Tabir Surya Ekstrak Daun Sereh (Cymbopogon citratus [DC.] Stapf) dan Nilai Sun Protection Factor (SPF) dengan Metode Spektrofotometri UV-Vis","type":"article-journal","volume":"3"},"uris":["http://www.mendeley.com/documents/?uuid=56736913-f4aa-4c5d-a846-019cee7125b2","http://www.mendeley.com/documents/?uuid=bebd0bc8-e66c-4e82-8365-ad251b9e5c61"]}],"mendeley":{"formattedCitation":"[9]","manualFormatting":"9]","plainTextFormattedCitation":"[9]","previouslyFormattedCitation":"[9]"},"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9]</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xml:space="preserve">. Pernyataan ini sesuai dengan penelitian Ramadhan dkk, yang menggambarkan Analisis kandungan total fenol dilakukan untuk mengetahui potensi antioksidan ERD sebagai penangkal radikal bebas. Komponen kimia yang berperan sebagai antioksidan adalah senyawa golongan fenol dan polifenol </w:t>
      </w:r>
      <w:r w:rsidRPr="00CE4E69">
        <w:rPr>
          <w:rFonts w:ascii="Bookman Old Style" w:hAnsi="Bookman Old Style" w:cs="Arial"/>
          <w:bCs/>
          <w:sz w:val="18"/>
          <w:szCs w:val="18"/>
          <w:lang w:val="en-ID"/>
        </w:rPr>
        <w:fldChar w:fldCharType="begin" w:fldLock="1"/>
      </w:r>
      <w:r w:rsidR="00CB5D15">
        <w:rPr>
          <w:rFonts w:ascii="Bookman Old Style" w:hAnsi="Bookman Old Style" w:cs="Arial"/>
          <w:bCs/>
          <w:sz w:val="18"/>
          <w:szCs w:val="18"/>
          <w:lang w:val="en-ID"/>
        </w:rPr>
        <w:instrText>ADDIN CSL_CITATION {"citationItems":[{"id":"ITEM-1","itemData":{"author":[{"dropping-particle":"","family":"Ramadhan","given":"Eko Febrianto","non-dropping-particle":"","parse-names":false,"suffix":""},{"dropping-particle":"","family":"Fachriyah","given":"Enny","non-dropping-particle":"","parse-names":false,"suffix":""},{"dropping-particle":"","family":"Kusrini","given":"Dewi","non-dropping-particle":"","parse-names":false,"suffix":""}],"container-title":"Greensphere: Journal of Environmental Chemistry","id":"ITEM-1","issue":"1","issued":{"date-parts":[["2022"]]},"page":"14-17","title":"Potensi Antioksidan Ekstrak Etanol Residu Destilasi Sereh Wangi (Cymbopogon nardus)","type":"article-journal","volume":"2"},"uris":["http://www.mendeley.com/documents/?uuid=5b8d30e8-5b5c-4483-9bfc-a113f11ece22"]}],"mendeley":{"formattedCitation":"[10]","plainTextFormattedCitation":"[10]","previouslyFormattedCitation":"[10]"},"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[10]</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Sedangkan daun kemangi (</w:t>
      </w:r>
      <w:r w:rsidRPr="00735910">
        <w:rPr>
          <w:rFonts w:ascii="Bookman Old Style" w:hAnsi="Bookman Old Style" w:cs="Arial"/>
          <w:bCs/>
          <w:i/>
          <w:iCs/>
          <w:sz w:val="18"/>
          <w:szCs w:val="18"/>
          <w:lang w:val="en-ID"/>
        </w:rPr>
        <w:t>Ocimum canum</w:t>
      </w:r>
      <w:r w:rsidRPr="00CE4E69">
        <w:rPr>
          <w:rFonts w:ascii="Bookman Old Style" w:hAnsi="Bookman Old Style" w:cs="Arial"/>
          <w:bCs/>
          <w:sz w:val="18"/>
          <w:szCs w:val="18"/>
          <w:lang w:val="en-ID"/>
        </w:rPr>
        <w:t xml:space="preserve">) mengandung senyawa fenolik berupa flavonoid dan tanin, yang dilengkapi dengan gugus kromofor sehingga berpotensi dimanfaatkan sebagai tabir surya karena mampu menyerap sinar UV </w:t>
      </w:r>
      <w:r w:rsidRPr="00CE4E69">
        <w:rPr>
          <w:rFonts w:ascii="Bookman Old Style" w:hAnsi="Bookman Old Style" w:cs="Arial"/>
          <w:bCs/>
          <w:sz w:val="18"/>
          <w:szCs w:val="18"/>
          <w:lang w:val="en-ID"/>
        </w:rPr>
        <w:fldChar w:fldCharType="begin" w:fldLock="1"/>
      </w:r>
      <w:r w:rsidR="00CB5D15">
        <w:rPr>
          <w:rFonts w:ascii="Bookman Old Style" w:hAnsi="Bookman Old Style" w:cs="Arial"/>
          <w:bCs/>
          <w:sz w:val="18"/>
          <w:szCs w:val="18"/>
          <w:lang w:val="en-ID"/>
        </w:rPr>
        <w:instrText>ADDIN CSL_CITATION {"citationItems":[{"id":"ITEM-1","itemData":{"DOI":"10.55181/ijms.v9i2.371","ISSN":"2355-1313","abstract":"Daun kemangi (Ocimum santum L.) merupakan tanaman yang umum bagi masyarakat. Biasanya daun kemangi digunakan sebagai lalapan. Daun kemangi mengandung senyawa flavonoid dan tanin yang mempunyai potensi sebagai tabir surya. Penelitian ini bertujuan untuk mengetahui nilai SPF dan formulasi krim ekstrak etanol daun (kemangi sebagai tabir surya. Penelitian ini merupakan penelitian eksperimental dengan melakukan uji nilai SPF ekstrak etanol daun kemangi sebagai tabir surya dengan cara mengesktraksi daun kemangi dengan metode remaserasi dengan menggunakan etanol 96% dan diuji menggunakan  metode spektrofotometri UV-Vis. Uji sediaan meliputi : uji organoleptis, pengukuran pH, uji homogenitas krim, uji daya sebar, uji daya lekat, uji daya proteksi. Hasil uji evaluasi sediaan dihitung rata-rata dan dianalisis dengan uji ANOVA. Hasil penetapan nilai SPF ekstrak Etanol Daun Kemangi pada konsentrasi 800 ppm, 1000 ppm, 1200 ppm, 1400 ppm,  dan 1600 diperoleh nilai SPF  berturut-turut :  17,73 ± 0,90; 21,17 ± 0,06; 25,59 ± 0,35; 30,54 ± 0,22; 62,56 ± 0,15. ekstrak etanol daun kemangi dengan konsentrasi ekstrak 1600 ppm adalah 62,56 ± 0,15. Berdasarkan Food and Drug Administrastion  (FDA) nilai SPF tersebut termasuk kategori perlindungan tinggi karena memiliki nilai SPF diatas 30. Ekstrak etanol daun kemangi berpotensi sebagai tabir surya.","author":[{"dropping-particle":"","family":"Endahsari","given":"Fahmi Nur","non-dropping-particle":"","parse-names":false,"suffix":""},{"dropping-particle":"","family":"Endrawati","given":"Susi","non-dropping-particle":"","parse-names":false,"suffix":""},{"dropping-particle":"","family":"Wahyuningsih","given":"Sri Saptuti","non-dropping-particle":"","parse-names":false,"suffix":""}],"container-title":"Indonesian Journal on Medical Science","id":"ITEM-1","issue":"2","issued":{"date-parts":[["2022"]]},"page":"133-139","title":"Formulasi dan penentuan Nilai SPF Ekstrak Etanol Daun Kemangi (Ocimum sanctum L.) Sediaan Krim Tabir Surya","type":"article-journal","volume":"9"},"uris":["http://www.mendeley.com/documents/?uuid=2e19eb85-4085-4a56-b29e-c82ec64a87b8","http://www.mendeley.com/documents/?uuid=6c21f819-ae7d-43a1-bf30-17917c241892"]}],"mendeley":{"formattedCitation":"[11]","manualFormatting":"[10,","plainTextFormattedCitation":"[11]","previouslyFormattedCitation":"[11]"},"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[10,</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fldChar w:fldCharType="begin" w:fldLock="1"/>
      </w:r>
      <w:r w:rsidR="00CB5D15">
        <w:rPr>
          <w:rFonts w:ascii="Bookman Old Style" w:hAnsi="Bookman Old Style" w:cs="Arial"/>
          <w:bCs/>
          <w:sz w:val="18"/>
          <w:szCs w:val="18"/>
          <w:lang w:val="en-ID"/>
        </w:rPr>
        <w:instrText>ADDIN CSL_CITATION {"citationItems":[{"id":"ITEM-1","itemData":{"DOI":"10.29303/jbt.v24i2b.7422","ISSN":"1411-9587","abstract":"Excessive sun exposure can reveal harmful effects on the skin. One way to prevent these effects is by using Kepundung (Baccaurea racemosa) a plant known for its antioxidant properties. Several studies have shown that the antioxidant activity of kepundung leaf extract has a very strong IC50 value, making it potentially a sunscreen. However, research on the Sun Protector Factor (SPF) value of kepundung leaf extract has not been reported. Therefore, this study will conduct to determine the SPF value of the extract. Compound extraction will carry out using the sonication method with methanol solvent. The extract obtained was analyzed for SPF value using UV-Vis spectrophotometry and the SPF value will calculated using the Mansur formula. The various concentration of kepundung leaves extract revealed various SPF from minimal and ultra protection. Kepundung leaves extract with concentation 500 ppm have ultra protection with SPF value 15.19. The Kepundung leaves can to be developed as natural SPF.","author":[{"dropping-particle":"","family":"Rosida","given":"Naela","non-dropping-particle":"","parse-names":false,"suffix":""},{"dropping-particle":"","family":"Permatasari","given":"Lina","non-dropping-particle":"","parse-names":false,"suffix":""},{"dropping-particle":"","family":"Hajrin","given":"Wahida","non-dropping-particle":"","parse-names":false,"suffix":""}],"container-title":"Jurnal Biologi Tropis","id":"ITEM-1","issue":"2b","issued":{"date-parts":[["2025"]]},"page":"406-410","title":"The Sun Protection Factor (SPF) of Kepundung Leaf Methanol 96% Extract (Baccaurea racemosa) Using The In-Vitro Test","type":"article-journal","volume":"24"},"uris":["http://www.mendeley.com/documents/?uuid=711a11c6-f0ff-4a89-8585-763e2b838c7d","http://www.mendeley.com/documents/?uuid=2057af73-0be8-4271-a904-cd1fd8f2f847"]}],"mendeley":{"formattedCitation":"[12]","manualFormatting":"11]","plainTextFormattedCitation":"[12]","previouslyFormattedCitation":"[12]"},"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11]</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xml:space="preserve">.  Produk tabir surya yang ideal harus memberikan perlindungan  yang baik di seluruh spektrum UV, bahkan setelah terpapar sinar matahari. Sun block yang ideal harus tidak mengiritasi, tidak beracun, dan tidak menyebabkan alergi apa pun. Karena daya antioksidan dan daya serap UV-R, bahan-bahan alami yang diekstrak dari tumbuhan baru-baru ini dianggap sebagai sumber daya tabir surya yang potensial </w:t>
      </w:r>
      <w:r w:rsidRPr="00CE4E69">
        <w:rPr>
          <w:rFonts w:ascii="Bookman Old Style" w:hAnsi="Bookman Old Style" w:cs="Arial"/>
          <w:bCs/>
          <w:sz w:val="18"/>
          <w:szCs w:val="18"/>
          <w:lang w:val="en-ID"/>
        </w:rPr>
        <w:fldChar w:fldCharType="begin" w:fldLock="1"/>
      </w:r>
      <w:r w:rsidR="00CB5D15">
        <w:rPr>
          <w:rFonts w:ascii="Bookman Old Style" w:hAnsi="Bookman Old Style" w:cs="Arial"/>
          <w:bCs/>
          <w:sz w:val="18"/>
          <w:szCs w:val="18"/>
          <w:lang w:val="en-ID"/>
        </w:rPr>
        <w:instrText>ADDIN CSL_CITATION {"citationItems":[{"id":"ITEM-1","itemData":{"ISSN":"2518-427X","author":[{"dropping-particle":"","family":"Yaseen","given":"Mariam","non-dropping-particle":"","parse-names":false,"suffix":""},{"dropping-particle":"","family":"Mahmood","given":"Tariq","non-dropping-particle":"","parse-names":false,"suffix":""},{"dropping-particle":"","family":"Yousaf","given":"Abid M","non-dropping-particle":"","parse-names":false,"suffix":""},{"dropping-particle":"","family":"Shahzad","given":"Yasser","non-dropping-particle":"","parse-names":false,"suffix":""},{"dropping-particle":"","family":"Bjørklund","given":"Geir","non-dropping-particle":"","parse-names":false,"suffix":""},{"dropping-particle":"","family":"Lysiuk","given":"Roman","non-dropping-particle":"","parse-names":false,"suffix":""}],"container-title":"Proceedings of the Pakistan Academy of Sciences: B. Life and Environmental Sciences","id":"ITEM-1","issue":"2","issued":{"date-parts":[["2018"]]},"page":"11-20","title":"Formulation, characterization and in-vitro sun protection factor of a lemongrass sunscreen lotion: sun protection factor of a lemongrass sunscreen lotion","type":"article-journal","volume":"55"},"uris":["http://www.mendeley.com/documents/?uuid=90850d36-4698-4585-bb6d-2d18f236e951","http://www.mendeley.com/documents/?uuid=d1149a9f-5cc3-40d4-a1c8-3ca7b5c74292"]}],"mendeley":{"formattedCitation":"[13]","plainTextFormattedCitation":"[13]","previouslyFormattedCitation":"[13]"},"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[13]</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w:t>
      </w:r>
    </w:p>
    <w:p w14:paraId="62C4A53D" w14:textId="5E4C722E" w:rsidR="00CE4E69" w:rsidRPr="00CE4E69" w:rsidRDefault="00CE4E69" w:rsidP="00CE4E69">
      <w:pPr>
        <w:ind w:firstLine="720"/>
        <w:jc w:val="both"/>
        <w:rPr>
          <w:rFonts w:ascii="Bookman Old Style" w:hAnsi="Bookman Old Style" w:cs="Arial"/>
          <w:bCs/>
          <w:sz w:val="18"/>
          <w:szCs w:val="18"/>
          <w:lang w:val="en-ID"/>
        </w:rPr>
      </w:pPr>
      <w:r w:rsidRPr="00CE4E69">
        <w:rPr>
          <w:rFonts w:ascii="Bookman Old Style" w:hAnsi="Bookman Old Style" w:cs="Arial"/>
          <w:bCs/>
          <w:sz w:val="18"/>
          <w:szCs w:val="18"/>
          <w:lang w:val="en-ID"/>
        </w:rPr>
        <w:t xml:space="preserve">Penelitian sebelumnya yang dilakukan oleh Kristianingsih dan Febriana </w:t>
      </w:r>
      <w:r w:rsidRPr="00CE4E69">
        <w:rPr>
          <w:rFonts w:ascii="Bookman Old Style" w:hAnsi="Bookman Old Style" w:cs="Arial"/>
          <w:bCs/>
          <w:sz w:val="18"/>
          <w:szCs w:val="18"/>
          <w:lang w:val="en-ID"/>
        </w:rPr>
        <w:fldChar w:fldCharType="begin" w:fldLock="1"/>
      </w:r>
      <w:r w:rsidR="00CB5D15">
        <w:rPr>
          <w:rFonts w:ascii="Bookman Old Style" w:hAnsi="Bookman Old Style" w:cs="Arial"/>
          <w:bCs/>
          <w:sz w:val="18"/>
          <w:szCs w:val="18"/>
          <w:lang w:val="en-ID"/>
        </w:rPr>
        <w:instrText>ADDIN CSL_CITATION {"citationItems":[{"id":"ITEM-1","itemData":{"DOI":"10.31596/cjp.v6i2.177","ISSN":"2599-2163","abstract":"Nyamuk merupakan vektor yang menyebabkan berbagai penyakit antara lain DBD, penyakit kaki gajah, dan malaria. Hal ini menjadi masalah kesehatan yang penting dan berbahaya sehingga perlu upaya untuk mencegahnya. Salah satunya dengan perlindungan yang berasal dari diri sendiri misalnya dengan menggunakan lotion antinyamuk. Minyak atsiri (linalool, estragol, geraniol, eugenol dan sineol) yang terkandung dalam kemangi dan citronellal yang terkandung dalam sereh merupakan senyawa yang berkhasiat sebagai penolak nyamuk. Tujuan penelitian ini untuk mengetahui karakteristik fisik dan efektivitas repellent sediaan lotion kombinasi ekstrak daun kemangi (Ocimum sanctum L.) dan ekstrak sereh (Cymbopogon nardus L Rendle.). Repellent sediaan lotion diformulasikan dengan perbandingan konsentrasi ekstrak F1 10% dan F2 15%. Ekstraksi kemangi dan sereh menggunakan metode maserasi dengan pelarut N-heksan dan didapat rendemen sebesar 6,258% untuk ekstrak kemangi dan 8,842% untuk ekstrak sereh. Repellent sediaan lotion dilakukan uji stabilitas dengan metode freeze and thaw pada parameter uji organoleptis, homogenitas, pH, tipe emulsi, daya lekat, daya sebar, dan efektivitas. Hasil setelah uji stabilitas menunjukkan perubahan organoleptis dari betuknya karena pengaruh suhu, perubahan nilai pH, perubahan daya lekat dan daya sebar, serta menurunnya efektivitas repellent. Kesimpulan penelitian ini adalah repellent sediaan lotion yang dibuat memenuhi persyaratan uji karakteristik yang ditetapkan dan efektif dalam menolak nyamuk","author":[{"dropping-particle":"","family":"Kristianingsih","given":"Ida","non-dropping-particle":"","parse-names":false,"suffix":""},{"dropping-particle":"","family":"Febriana","given":"Ika Nur","non-dropping-particle":"","parse-names":false,"suffix":""}],"container-title":"Cendekia Journal of Pharmacy","id":"ITEM-1","issue":"2","issued":{"date-parts":[["2022"]]},"page":"212-226","title":"Formulasi Sediaan Repellent Sediaan Lotion Kombinasi Ekstrak Daun Kemangi (Ocimum sanctum L.) dan Ekstrak Sereh (Cymbopogon nardus L Rendle.)","type":"article-journal","volume":"6"},"uris":["http://www.mendeley.com/documents/?uuid=9601c2d4-a560-40a7-89c7-007b82bb95d2","http://www.mendeley.com/documents/?uuid=338f6466-b293-4538-84ea-68cae0a0ab5d"]}],"mendeley":{"formattedCitation":"[14]","plainTextFormattedCitation":"[14]","previouslyFormattedCitation":"[14]"},"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[14]</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xml:space="preserve"> membuktikan bahwa kombinasi ekstrak daun serai (</w:t>
      </w:r>
      <w:r w:rsidRPr="00735910">
        <w:rPr>
          <w:rFonts w:ascii="Bookman Old Style" w:hAnsi="Bookman Old Style" w:cs="Arial"/>
          <w:bCs/>
          <w:i/>
          <w:iCs/>
          <w:sz w:val="18"/>
          <w:szCs w:val="18"/>
          <w:lang w:val="en-ID"/>
        </w:rPr>
        <w:t>Cymbopogon citratus</w:t>
      </w:r>
      <w:r w:rsidRPr="00CE4E69">
        <w:rPr>
          <w:rFonts w:ascii="Bookman Old Style" w:hAnsi="Bookman Old Style" w:cs="Arial"/>
          <w:bCs/>
          <w:sz w:val="18"/>
          <w:szCs w:val="18"/>
          <w:lang w:val="en-ID"/>
        </w:rPr>
        <w:t>) dan kemangi (</w:t>
      </w:r>
      <w:r w:rsidRPr="00735910">
        <w:rPr>
          <w:rFonts w:ascii="Bookman Old Style" w:hAnsi="Bookman Old Style" w:cs="Arial"/>
          <w:bCs/>
          <w:i/>
          <w:iCs/>
          <w:sz w:val="18"/>
          <w:szCs w:val="18"/>
          <w:lang w:val="en-ID"/>
        </w:rPr>
        <w:t>Ocimum canum</w:t>
      </w:r>
      <w:r w:rsidRPr="00CE4E69">
        <w:rPr>
          <w:rFonts w:ascii="Bookman Old Style" w:hAnsi="Bookman Old Style" w:cs="Arial"/>
          <w:bCs/>
          <w:sz w:val="18"/>
          <w:szCs w:val="18"/>
          <w:lang w:val="en-ID"/>
        </w:rPr>
        <w:t xml:space="preserve">) berbentuk sediaan lotion efektif sebagai repellent alami terhadap nyamuk. Utami dan Setianto </w:t>
      </w:r>
      <w:r w:rsidRPr="00CE4E69">
        <w:rPr>
          <w:rFonts w:ascii="Bookman Old Style" w:hAnsi="Bookman Old Style" w:cs="Arial"/>
          <w:bCs/>
          <w:sz w:val="18"/>
          <w:szCs w:val="18"/>
          <w:lang w:val="en-ID"/>
        </w:rPr>
        <w:fldChar w:fldCharType="begin" w:fldLock="1"/>
      </w:r>
      <w:r w:rsidR="00CB5D15">
        <w:rPr>
          <w:rFonts w:ascii="Bookman Old Style" w:hAnsi="Bookman Old Style" w:cs="Arial"/>
          <w:bCs/>
          <w:sz w:val="18"/>
          <w:szCs w:val="18"/>
          <w:lang w:val="en-ID"/>
        </w:rPr>
        <w:instrText>ADDIN CSL_CITATION {"citationItems":[{"id":"ITEM-1","itemData":{"DOI":"https://doi.org/10.36387/jiis.v6i1.631","author":[{"dropping-particle":"","family":"Utami","given":"Faikah Dyah","non-dropping-particle":"","parse-names":false,"suffix":""},{"dropping-particle":"","family":"Setianto","given":"Arif Budi","non-dropping-particle":"","parse-names":false,"suffix":""}],"container-title":"Jurnal Ilmiah Ibnu Sina","id":"ITEM-1","issue":"1","issued":{"date-parts":[["2021"]]},"page":"87-97","title":"Formulasi Repellent Aktivitas Sediaan Spray Kombinasi Minyak Atsiri Serai (Cymbopogon Cablin), Daun Kemangi (Ocimum Basilicum), dan Nilam (Pogostemon Cablin) Beserta Uji Preferensinya","type":"article-journal","volume":"6"},"uris":["http://www.mendeley.com/documents/?uuid=1fb759ee-c0de-4616-bde6-47dad4b05ccb","http://www.mendeley.com/documents/?uuid=d51f2c09-3f9c-4c23-abcc-7734f7ed37f8"]}],"mendeley":{"formattedCitation":"[15]","plainTextFormattedCitation":"[15]","previouslyFormattedCitation":"[15]"},"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[15]</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xml:space="preserve"> juga telah melakukan pengujian aktivitas </w:t>
      </w:r>
      <w:r w:rsidRPr="00735910">
        <w:rPr>
          <w:rFonts w:ascii="Bookman Old Style" w:hAnsi="Bookman Old Style" w:cs="Arial"/>
          <w:bCs/>
          <w:i/>
          <w:iCs/>
          <w:sz w:val="18"/>
          <w:szCs w:val="18"/>
          <w:lang w:val="en-ID"/>
        </w:rPr>
        <w:t>repellent</w:t>
      </w:r>
      <w:r w:rsidRPr="00CE4E69">
        <w:rPr>
          <w:rFonts w:ascii="Bookman Old Style" w:hAnsi="Bookman Old Style" w:cs="Arial"/>
          <w:bCs/>
          <w:sz w:val="18"/>
          <w:szCs w:val="18"/>
          <w:lang w:val="en-ID"/>
        </w:rPr>
        <w:t xml:space="preserve"> sediaan spray kombinasi ekstrak minyak atsiri serai (</w:t>
      </w:r>
      <w:r w:rsidRPr="00735910">
        <w:rPr>
          <w:rFonts w:ascii="Bookman Old Style" w:hAnsi="Bookman Old Style" w:cs="Arial"/>
          <w:bCs/>
          <w:i/>
          <w:iCs/>
          <w:sz w:val="18"/>
          <w:szCs w:val="18"/>
          <w:lang w:val="en-ID"/>
        </w:rPr>
        <w:t>Cymbopogon cablin</w:t>
      </w:r>
      <w:r w:rsidRPr="00CE4E69">
        <w:rPr>
          <w:rFonts w:ascii="Bookman Old Style" w:hAnsi="Bookman Old Style" w:cs="Arial"/>
          <w:bCs/>
          <w:sz w:val="18"/>
          <w:szCs w:val="18"/>
          <w:lang w:val="en-ID"/>
        </w:rPr>
        <w:t>), daun kemangi (</w:t>
      </w:r>
      <w:r w:rsidRPr="00735910">
        <w:rPr>
          <w:rFonts w:ascii="Bookman Old Style" w:hAnsi="Bookman Old Style" w:cs="Arial"/>
          <w:bCs/>
          <w:i/>
          <w:iCs/>
          <w:sz w:val="18"/>
          <w:szCs w:val="18"/>
          <w:lang w:val="en-ID"/>
        </w:rPr>
        <w:t>Ocimum canum</w:t>
      </w:r>
      <w:r w:rsidRPr="00CE4E69">
        <w:rPr>
          <w:rFonts w:ascii="Bookman Old Style" w:hAnsi="Bookman Old Style" w:cs="Arial"/>
          <w:bCs/>
          <w:sz w:val="18"/>
          <w:szCs w:val="18"/>
          <w:lang w:val="en-ID"/>
        </w:rPr>
        <w:t>), dan nilam (</w:t>
      </w:r>
      <w:r w:rsidRPr="00735910">
        <w:rPr>
          <w:rFonts w:ascii="Bookman Old Style" w:hAnsi="Bookman Old Style" w:cs="Arial"/>
          <w:bCs/>
          <w:i/>
          <w:iCs/>
          <w:sz w:val="18"/>
          <w:szCs w:val="18"/>
          <w:lang w:val="en-ID"/>
        </w:rPr>
        <w:t>Pogostemon cablin</w:t>
      </w:r>
      <w:r w:rsidRPr="00CE4E69">
        <w:rPr>
          <w:rFonts w:ascii="Bookman Old Style" w:hAnsi="Bookman Old Style" w:cs="Arial"/>
          <w:bCs/>
          <w:sz w:val="18"/>
          <w:szCs w:val="18"/>
          <w:lang w:val="en-ID"/>
        </w:rPr>
        <w:t xml:space="preserve">). Menurut Sangi dan Katja </w:t>
      </w:r>
      <w:r w:rsidRPr="00CE4E69">
        <w:rPr>
          <w:rFonts w:ascii="Bookman Old Style" w:hAnsi="Bookman Old Style" w:cs="Arial"/>
          <w:bCs/>
          <w:sz w:val="18"/>
          <w:szCs w:val="18"/>
          <w:lang w:val="en-ID"/>
        </w:rPr>
        <w:fldChar w:fldCharType="begin" w:fldLock="1"/>
      </w:r>
      <w:r w:rsidR="00CB5D15">
        <w:rPr>
          <w:rFonts w:ascii="Bookman Old Style" w:hAnsi="Bookman Old Style" w:cs="Arial"/>
          <w:bCs/>
          <w:sz w:val="18"/>
          <w:szCs w:val="18"/>
          <w:lang w:val="en-ID"/>
        </w:rPr>
        <w:instrText>ADDIN CSL_CITATION {"citationItems":[{"id":"ITEM-1","itemData":{"abstract":"ABSTRAK Sangi, S. M dan D. G. Katja, 2011. Aktivitas antioksidan pada beberapa rempah-rempah masakan khas Minahasa. Telah dilakukan penelitian untuk menentukan aktivitas antioksidan dari beberapa rempah-rempah masakan Minahasa, yaitu batang sereh, daun kemangi dan daun pandan serta formula yang dibuat dengan kombinasi rempah-rempah tersebut. Di dalam penelitian ditentukan kandungan total fenol, aktivitas penangkal radikal bebas dan kandungan total antioksidan. Penentuan total fenol dilakukan menurut metode Folin-Ciocalteu, penentuan aktivitas penangkal radikal bebas menggunakan metode DPPH. Penentuan total antioksidan dilakukan menurut metode FRAP. Perubahan warna yang terjadi dalam setiap reaksi diukur dengan spektrofotometer Milton-Roy (visible). Berdasarkan hasil penelitian dapat diketahui bahwa sereh dan formula B (sereh + kemangi) memiliki aktivitas antioksidan paling tinggi. Sereh memiliki total fenol sebesar 42,959 mg/kg ekstrak, aktivitas penangkal radikal bebas sebesar 64,85 %, dan total antioksidan sebesar 104 µmol/L. Formula B (sereh + kemangi) memiliki total fenol sebesar 169,082 mg/kg ekstrak, aktivitas penangkal radikal bebas sebesar 80,39 %, dan total antioksidan sebesar 120,875 µmol/L. Dari hasil yang diperoleh dapat diketahui bahwa efek antioksidan akan lebih besar jika menggunakan kombinasi dari rempah-rempah tersebut. ABSTRACT Sangi, S. M dan D. G. Katja, 2011. Aktivitas antioksidan pada beberapa rempah-rempah masakan khas Minahasa. A research was done to determine antioxidant activity of some Minahasa tribe spices such as Cimbopogon citratus, Ocinum canum and Pandanus amaryllifolius and its combination. Total phenolic content, free radical scavenging activity and total antioxidant were determined in this research. Total phenolic content was done by Folin-Ciocalteu method, free radical scavenging activity by DPPH method and total antioxidant by FRAP method. Color changes in the reaction examined by spectrophotometer Milton-Roy (visible). The result shows that C. citratus and B formulas (C. citratus plus O. canum) possess the highest antioxidant activity. Total phenolic of C. citratus were 42,959 mg/kg extract, free radical scavenging activity were 64,85 % and total antioxidant were 104 µmol/L. B formulas possess total phenolic content 169,082 mg/kg sample, free radical scavenging activity 80,39 %, and total antioxidant 120,875 µmol/L. From the results, a combination of spices shows highest effect.","author":[{"dropping-particle":"","family":"Sangi","given":"Meiske S","non-dropping-particle":"","parse-names":false,"suffix":""},{"dropping-particle":"","family":"Katja","given":"Dewa G","non-dropping-particle":"","parse-names":false,"suffix":""}],"container-title":"Chem. Prog","id":"ITEM-1","issue":"2","issued":{"date-parts":[["2011"]]},"page":"66-74","title":"Aktivitas Antioksidan pada Beberapa Rempah-Rempah Masakan Khas Minahasa","type":"article-journal","volume":"4"},"uris":["http://www.mendeley.com/documents/?uuid=85460ba7-5409-44e4-a2a2-f0173374f2aa","http://www.mendeley.com/documents/?uuid=a07ad682-58fc-482f-b5da-fec31d3914c1"]}],"mendeley":{"formattedCitation":"[16]","plainTextFormattedCitation":"[16]","previouslyFormattedCitation":"[16]"},"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[16]</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xml:space="preserve"> kandungan antioksidan dari kombinasi serai dan kemangi (</w:t>
      </w:r>
      <w:r w:rsidRPr="00735910">
        <w:rPr>
          <w:rFonts w:ascii="Bookman Old Style" w:hAnsi="Bookman Old Style" w:cs="Arial"/>
          <w:bCs/>
          <w:i/>
          <w:iCs/>
          <w:sz w:val="18"/>
          <w:szCs w:val="18"/>
          <w:lang w:val="en-ID"/>
        </w:rPr>
        <w:t>Ocimum canum</w:t>
      </w:r>
      <w:r w:rsidRPr="00CE4E69">
        <w:rPr>
          <w:rFonts w:ascii="Bookman Old Style" w:hAnsi="Bookman Old Style" w:cs="Arial"/>
          <w:bCs/>
          <w:sz w:val="18"/>
          <w:szCs w:val="18"/>
          <w:lang w:val="en-ID"/>
        </w:rPr>
        <w:t xml:space="preserve">) </w:t>
      </w:r>
      <w:r w:rsidRPr="00CE4E69">
        <w:rPr>
          <w:rFonts w:ascii="Bookman Old Style" w:hAnsi="Bookman Old Style" w:cs="Arial"/>
          <w:bCs/>
          <w:sz w:val="18"/>
          <w:szCs w:val="18"/>
          <w:lang w:val="en-ID"/>
        </w:rPr>
        <w:t xml:space="preserve">mencapai 120,875 µmol/L, dan efek antioksidannya semakin besar apabila keduanya digabungkan. </w:t>
      </w:r>
    </w:p>
    <w:p w14:paraId="2D03F598" w14:textId="6C023595" w:rsidR="00CE4E69" w:rsidRPr="00CE4E69" w:rsidRDefault="00CE4E69" w:rsidP="00CE4E69">
      <w:pPr>
        <w:ind w:firstLine="720"/>
        <w:jc w:val="both"/>
        <w:rPr>
          <w:rFonts w:ascii="Bookman Old Style" w:hAnsi="Bookman Old Style" w:cs="Arial"/>
          <w:bCs/>
          <w:sz w:val="18"/>
          <w:szCs w:val="18"/>
          <w:lang w:val="en-ID"/>
        </w:rPr>
      </w:pPr>
      <w:r w:rsidRPr="00CE4E69">
        <w:rPr>
          <w:rFonts w:ascii="Bookman Old Style" w:hAnsi="Bookman Old Style" w:cs="Arial"/>
          <w:bCs/>
          <w:sz w:val="18"/>
          <w:szCs w:val="18"/>
          <w:lang w:val="en-ID"/>
        </w:rPr>
        <w:t xml:space="preserve">Tingginya nilai SPF suatu sediaan dipengaruhi oleh kandungan antioksidannya </w:t>
      </w:r>
      <w:r w:rsidRPr="00CE4E69">
        <w:rPr>
          <w:rFonts w:ascii="Bookman Old Style" w:hAnsi="Bookman Old Style" w:cs="Arial"/>
          <w:bCs/>
          <w:sz w:val="18"/>
          <w:szCs w:val="18"/>
          <w:lang w:val="en-ID"/>
        </w:rPr>
        <w:fldChar w:fldCharType="begin" w:fldLock="1"/>
      </w:r>
      <w:r w:rsidR="00CB5D15">
        <w:rPr>
          <w:rFonts w:ascii="Bookman Old Style" w:hAnsi="Bookman Old Style" w:cs="Arial"/>
          <w:bCs/>
          <w:sz w:val="18"/>
          <w:szCs w:val="18"/>
          <w:lang w:val="en-ID"/>
        </w:rPr>
        <w:instrText>ADDIN CSL_CITATION {"citationItems":[{"id":"ITEM-1","itemData":{"DOI":"10.35971/jjhsr.v3i2.10319","ISSN":"2623-0674","abstract":"Lime (Citrus aurantifolia) is a plant that contains phenolic compounds, such as phenols, flavonoids, and tannins. With this content, lime peel extract has the potential as a sunscreen and has antioxidant activity. Sunscreen compounds refer to ones that can protect the skin from the effect of ultraviolet radiation. At first, the peel was extracted by maceration method using three solvents with different polarity (n-hexane, ethyl acetate, and 70% ethanol). The preliminary test found that the ethyl acetate and ethanol 70% extracts positively contained phenol, tannin, and flavonoid compounds, which were marked by a color change in the sample and continued to test the sunscreen activity. Further, the sunscreen activity test was determined based on the determination of the Sun Protection Factor (SPF) value that was done at 290-320 nm (wavelength) with a 5 nm interval.  The results showed that the sunscreen activity of the peel extract is very good at a concentration of 200 ppm for ethyl acetate extract with a value of 28.8; meanwhile, ethanol extracts 70% and ethyl acetate extracts of 400 and 600 ppm concentrations with an average SPF value of 24, 42.5, 42.2 and 81.8, respectively, are included in ultra protection because they have an SPF value of 15.     ","author":[{"dropping-particle":"","family":"Andy Suryadi","given":"AM","non-dropping-particle":"","parse-names":false,"suffix":""},{"dropping-particle":"","family":"Pakaya","given":"Mahdalena SY","non-dropping-particle":"","parse-names":false,"suffix":""},{"dropping-particle":"","family":"Djuwarno","given":"Endah Nurrohwinta","non-dropping-particle":"","parse-names":false,"suffix":""},{"dropping-particle":"","family":"Akuba","given":"Julianty","non-dropping-particle":"","parse-names":false,"suffix":""}],"container-title":"Jambura Journal of Health Sciences and Research","id":"ITEM-1","issue":"2","issued":{"date-parts":[["2021"]]},"page":"169-180","title":"Determination of Sun Protection Factor (Spf) Value in Lime (Citrus Aurantifolia) Peel Extract Using Uv-Vis Spectrophotometry Method","type":"article-journal","volume":"3"},"uris":["http://www.mendeley.com/documents/?uuid=768bb051-c790-4ac2-9c8e-e8d9da2042fe","http://www.mendeley.com/documents/?uuid=13c5b097-90a4-438a-86c0-3323083b4ffd"]}],"mendeley":{"formattedCitation":"[17]","plainTextFormattedCitation":"[17]","previouslyFormattedCitation":"[17]"},"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[17]</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Hal ini mendukung potensi kombinasi serai (</w:t>
      </w:r>
      <w:r w:rsidRPr="00DB77CF">
        <w:rPr>
          <w:rFonts w:ascii="Bookman Old Style" w:hAnsi="Bookman Old Style" w:cs="Arial"/>
          <w:bCs/>
          <w:i/>
          <w:iCs/>
          <w:sz w:val="18"/>
          <w:szCs w:val="18"/>
          <w:lang w:val="en-ID"/>
        </w:rPr>
        <w:t>Cymbopogon citratus</w:t>
      </w:r>
      <w:r w:rsidRPr="00CE4E69">
        <w:rPr>
          <w:rFonts w:ascii="Bookman Old Style" w:hAnsi="Bookman Old Style" w:cs="Arial"/>
          <w:bCs/>
          <w:sz w:val="18"/>
          <w:szCs w:val="18"/>
          <w:lang w:val="en-ID"/>
        </w:rPr>
        <w:t>) dan kemangi (</w:t>
      </w:r>
      <w:r w:rsidRPr="00DB77CF">
        <w:rPr>
          <w:rFonts w:ascii="Bookman Old Style" w:hAnsi="Bookman Old Style" w:cs="Arial"/>
          <w:bCs/>
          <w:i/>
          <w:iCs/>
          <w:sz w:val="18"/>
          <w:szCs w:val="18"/>
          <w:lang w:val="en-ID"/>
        </w:rPr>
        <w:t>Ocimum canum</w:t>
      </w:r>
      <w:r w:rsidRPr="00CE4E69">
        <w:rPr>
          <w:rFonts w:ascii="Bookman Old Style" w:hAnsi="Bookman Old Style" w:cs="Arial"/>
          <w:bCs/>
          <w:sz w:val="18"/>
          <w:szCs w:val="18"/>
          <w:lang w:val="en-ID"/>
        </w:rPr>
        <w:t xml:space="preserve">) </w:t>
      </w:r>
      <w:r w:rsidRPr="00CE4E69">
        <w:rPr>
          <w:rFonts w:ascii="Bookman Old Style" w:hAnsi="Bookman Old Style" w:cs="Arial"/>
          <w:bCs/>
          <w:sz w:val="18"/>
          <w:szCs w:val="18"/>
          <w:lang w:val="en-ID"/>
        </w:rPr>
        <w:fldChar w:fldCharType="begin" w:fldLock="1"/>
      </w:r>
      <w:r w:rsidR="00CB5D15">
        <w:rPr>
          <w:rFonts w:ascii="Bookman Old Style" w:hAnsi="Bookman Old Style" w:cs="Arial"/>
          <w:bCs/>
          <w:sz w:val="18"/>
          <w:szCs w:val="18"/>
          <w:lang w:val="en-ID"/>
        </w:rPr>
        <w:instrText>ADDIN CSL_CITATION {"citationItems":[{"id":"ITEM-1","itemData":{"DOI":"10.55181/ijms.v9i2.371","ISSN":"2355-1313","abstract":"Daun kemangi (Ocimum santum L.) merupakan tanaman yang umum bagi masyarakat. Biasanya daun kemangi digunakan sebagai lalapan. Daun kemangi mengandung senyawa flavonoid dan tanin yang mempunyai potensi sebagai tabir surya. Penelitian ini bertujuan untuk mengetahui nilai SPF dan formulasi krim ekstrak etanol daun (kemangi sebagai tabir surya. Penelitian ini merupakan penelitian eksperimental dengan melakukan uji nilai SPF ekstrak etanol daun kemangi sebagai tabir surya dengan cara mengesktraksi daun kemangi dengan metode remaserasi dengan menggunakan etanol 96% dan diuji menggunakan  metode spektrofotometri UV-Vis. Uji sediaan meliputi : uji organoleptis, pengukuran pH, uji homogenitas krim, uji daya sebar, uji daya lekat, uji daya proteksi. Hasil uji evaluasi sediaan dihitung rata-rata dan dianalisis dengan uji ANOVA. Hasil penetapan nilai SPF ekstrak Etanol Daun Kemangi pada konsentrasi 800 ppm, 1000 ppm, 1200 ppm, 1400 ppm,  dan 1600 diperoleh nilai SPF  berturut-turut :  17,73 ± 0,90; 21,17 ± 0,06; 25,59 ± 0,35; 30,54 ± 0,22; 62,56 ± 0,15. ekstrak etanol daun kemangi dengan konsentrasi ekstrak 1600 ppm adalah 62,56 ± 0,15. Berdasarkan Food and Drug Administrastion  (FDA) nilai SPF tersebut termasuk kategori perlindungan tinggi karena memiliki nilai SPF diatas 30. Ekstrak etanol daun kemangi berpotensi sebagai tabir surya.","author":[{"dropping-particle":"","family":"Endahsari","given":"Fahmi Nur","non-dropping-particle":"","parse-names":false,"suffix":""},{"dropping-particle":"","family":"Endrawati","given":"Susi","non-dropping-particle":"","parse-names":false,"suffix":""},{"dropping-particle":"","family":"Wahyuningsih","given":"Sri Saptuti","non-dropping-particle":"","parse-names":false,"suffix":""}],"container-title":"Indonesian Journal on Medical Science","id":"ITEM-1","issue":"2","issued":{"date-parts":[["2022"]]},"page":"133-139","title":"Formulasi dan penentuan Nilai SPF Ekstrak Etanol Daun Kemangi (Ocimum sanctum L.) Sediaan Krim Tabir Surya","type":"article-journal","volume":"9"},"uris":["http://www.mendeley.com/documents/?uuid=2e19eb85-4085-4a56-b29e-c82ec64a87b8"]}],"mendeley":{"formattedCitation":"[11]","plainTextFormattedCitation":"[11]","previouslyFormattedCitation":"[11]"},"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[11]</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xml:space="preserve"> sebagai bahan aktif tabir surya dengan nilai SPF yang tinggi sekaligus berfungsi sebagai repellent. Oleh sebab itu, peneliti tertarik mengembangkan </w:t>
      </w:r>
      <w:r w:rsidRPr="00DB77CF">
        <w:rPr>
          <w:rFonts w:ascii="Bookman Old Style" w:hAnsi="Bookman Old Style" w:cs="Arial"/>
          <w:bCs/>
          <w:i/>
          <w:iCs/>
          <w:sz w:val="18"/>
          <w:szCs w:val="18"/>
          <w:lang w:val="en-ID"/>
        </w:rPr>
        <w:t>Body Sunscreen</w:t>
      </w:r>
      <w:r w:rsidRPr="00CE4E69">
        <w:rPr>
          <w:rFonts w:ascii="Bookman Old Style" w:hAnsi="Bookman Old Style" w:cs="Arial"/>
          <w:bCs/>
          <w:sz w:val="18"/>
          <w:szCs w:val="18"/>
          <w:lang w:val="en-ID"/>
        </w:rPr>
        <w:t xml:space="preserve"> dengan bentuk sediaan </w:t>
      </w:r>
      <w:r w:rsidRPr="00DB77CF">
        <w:rPr>
          <w:rFonts w:ascii="Bookman Old Style" w:hAnsi="Bookman Old Style" w:cs="Arial"/>
          <w:bCs/>
          <w:i/>
          <w:iCs/>
          <w:sz w:val="18"/>
          <w:szCs w:val="18"/>
          <w:lang w:val="en-ID"/>
        </w:rPr>
        <w:t>spray</w:t>
      </w:r>
      <w:r w:rsidRPr="00CE4E69">
        <w:rPr>
          <w:rFonts w:ascii="Bookman Old Style" w:hAnsi="Bookman Old Style" w:cs="Arial"/>
          <w:bCs/>
          <w:sz w:val="18"/>
          <w:szCs w:val="18"/>
          <w:lang w:val="en-ID"/>
        </w:rPr>
        <w:t xml:space="preserve">, karena dinilai lebih praktis dan efisien. Menurut Meilina dkk </w:t>
      </w:r>
      <w:r w:rsidRPr="00CE4E69">
        <w:rPr>
          <w:rFonts w:ascii="Bookman Old Style" w:hAnsi="Bookman Old Style" w:cs="Arial"/>
          <w:bCs/>
          <w:sz w:val="18"/>
          <w:szCs w:val="18"/>
          <w:lang w:val="en-ID"/>
        </w:rPr>
        <w:fldChar w:fldCharType="begin" w:fldLock="1"/>
      </w:r>
      <w:r w:rsidR="00CB5D15">
        <w:rPr>
          <w:rFonts w:ascii="Bookman Old Style" w:hAnsi="Bookman Old Style" w:cs="Arial"/>
          <w:bCs/>
          <w:sz w:val="18"/>
          <w:szCs w:val="18"/>
          <w:lang w:val="en-ID"/>
        </w:rPr>
        <w:instrText>ADDIN CSL_CITATION {"citationItems":[{"id":"ITEM-1","itemData":{"abstract":"Abstrak Dampak dari gigitan nyamuk sangat merugikan bagi manusia, yang paling ringan diantaranya dapat menyebabkan gatal-gatal dan segala dampak yang ditimbulkannya juga sangat mengganggu aktifitas. Tujuan penelitian Mengetahui efektivitas sediaan spray ekstrak etanol daun mint (Mentha piperita L.) sebagai anti nyamuk alami serta mengetahui evaluasi sediaan spray ekstrak etanol daun mint (Mentha piperita L.). Metode penelitian yang digunakan adalah eksperimental laboraturium. Spray diformulasikan dengan F0 tidak ada penambahan ekstrak, sedangkan pada F1 (5%), F2 (10%), F3 (15%) ada penambahan ekstrak etanol daun mint, kemudian tahap evaluasi formulasi spray dan data uji efektivitas formulasi spray anti nyamuk dianalisis menggunakan metode statistik berupa uji One Way Anova. Hasil penelitian dari uji pH (5,5-4,5), daya sebar baik, tidak menimbulkan iritasi kulit, nilai uji hedonic (uji kesukaan) keterangan rata-rata suka dan efektifitas formulasi spray anti nyamuk untuk F0 terdapat 11 nyamuk yang hinggap dikarenakan tanpa kandungan ekstrak sedangkan F1, F2, F3 tidak terdapat nyamuk yang hinggap dikarenakan penambahan ekstrak etanol daun mint pada masing-masing formula. Kesimpulan penelitian adalah spray ekstrak etanol daun mint (Mentha piperita L.) sangat efektif untuk digunakan sebagai anti nyamuk alami dan hasil evaluasi formulasi spray meliputi uji pH, uji daya sebar, uji iritasi dan uji hedonic (uji kesukaan) dari Ekstrak daun mint (Mentha piperita L.) dapat digunakan sebagai anti nyamuk alami. Kata Kunci: Daun mint, spray, ekstrak, anti nyamuk Abstract The impact of mosquito bites is very detrimental to humans, the mildest of which can cause itching and all the effects it causes are also very disturbing to activities. To determine the effectiveness of ethanol extract of mint leaves (Mentha piperita L.) spray preparation as a natural mosquito repellent and to determine the evaluation of ethanol extract of mint leaves (Mentha piperita L.) spray preparation. The research method used is laboratory experimental. The spray is formulated with F0 without the addition of extract, while in F1 (5%), F2 (10%), F3 (15%) there is the addition of ethanol extract of mint leaves, then the stage of evaluating the spray formulation and mosquito repellent spray formulation test data are analyzed using statistical methods in the form of One Way Anova test. The results of the pH test (5.5-4.5), good spreadability, no skin irritation, hedonic test value (preference test) …","author":[{"dropping-particle":"","family":"Meilina","given":"Rulia","non-dropping-particle":"","parse-names":false,"suffix":""},{"dropping-particle":"","family":"Dewi","given":"Revina","non-dropping-particle":"","parse-names":false,"suffix":""},{"dropping-particle":"","family":"Husna","given":"Asmaul","non-dropping-particle":"","parse-names":false,"suffix":""},{"dropping-particle":"","family":"Willis","given":"Ratna","non-dropping-particle":"","parse-names":false,"suffix":""}],"container-title":"Journal of Healtcare Technology and Medicine","id":"ITEM-1","issue":"1","issued":{"date-parts":[["2024"]]},"page":"2615-109","title":"Formulasi dan Efektivitas Sediaan Spray Ekstrak Etanol Daun Mint (Mentha Piperita L.) Sebagai Anti Nyamuk Formulation and Effectiveness of Mint Leaves (Mentha Piperita L.) Ethanol Extract Spray as an Anti-Mosquito","type":"article-journal","volume":"10"},"uris":["http://www.mendeley.com/documents/?uuid=f6dd3294-af62-444e-a55c-6a755a9b3791","http://www.mendeley.com/documents/?uuid=ec00dd18-6a11-462c-9798-979f2039cf5f"]}],"mendeley":{"formattedCitation":"[18]","plainTextFormattedCitation":"[18]","previouslyFormattedCitation":"[18]"},"properties":{"noteIndex":0},"schema":"https://github.com/citation-style-language/schema/raw/master/csl-citation.json"}</w:instrText>
      </w:r>
      <w:r w:rsidRPr="00CE4E69">
        <w:rPr>
          <w:rFonts w:ascii="Bookman Old Style" w:hAnsi="Bookman Old Style" w:cs="Arial"/>
          <w:bCs/>
          <w:sz w:val="18"/>
          <w:szCs w:val="18"/>
          <w:lang w:val="en-ID"/>
        </w:rPr>
        <w:fldChar w:fldCharType="separate"/>
      </w:r>
      <w:r w:rsidRPr="00CE4E69">
        <w:rPr>
          <w:rFonts w:ascii="Bookman Old Style" w:hAnsi="Bookman Old Style" w:cs="Arial"/>
          <w:bCs/>
          <w:noProof/>
          <w:sz w:val="18"/>
          <w:szCs w:val="18"/>
          <w:lang w:val="en-ID"/>
        </w:rPr>
        <w:t>[18]</w:t>
      </w:r>
      <w:r w:rsidRPr="00CE4E69">
        <w:rPr>
          <w:rFonts w:ascii="Bookman Old Style" w:hAnsi="Bookman Old Style" w:cs="Arial"/>
          <w:bCs/>
          <w:sz w:val="18"/>
          <w:szCs w:val="18"/>
          <w:lang w:val="en-ID"/>
        </w:rPr>
        <w:fldChar w:fldCharType="end"/>
      </w:r>
      <w:r w:rsidRPr="00CE4E69">
        <w:rPr>
          <w:rFonts w:ascii="Bookman Old Style" w:hAnsi="Bookman Old Style" w:cs="Arial"/>
          <w:bCs/>
          <w:sz w:val="18"/>
          <w:szCs w:val="18"/>
          <w:lang w:val="en-ID"/>
        </w:rPr>
        <w:t xml:space="preserve">, bentuk sediaan spray dinilai sangat efektif sebagai penolak nyamuk karena memiliki kemampuan distribusi yang baik, sehingga memudahkan proses aplikasi pada permukaan kulit. penyemprotan ini juga membuat bahan aktif tersebar lebih merata, sehingga efek yang dihasilkan dapat bekerja secara optimal. Semakin luas area kulit yang terlapisi oleh sediaan, maka semakin besar pula peluang penyebaran bahan aktif yang terkandung di dalamnya. </w:t>
      </w:r>
    </w:p>
    <w:p w14:paraId="39C9AE5F" w14:textId="7A8CDD66" w:rsidR="00CE4E69" w:rsidRPr="00735910" w:rsidRDefault="00CE4E69" w:rsidP="00735910">
      <w:pPr>
        <w:ind w:firstLine="720"/>
        <w:jc w:val="both"/>
        <w:rPr>
          <w:rFonts w:ascii="Arial" w:hAnsi="Arial" w:cs="Arial"/>
          <w:sz w:val="22"/>
          <w:szCs w:val="22"/>
          <w:lang w:val="en-GB"/>
        </w:rPr>
      </w:pPr>
      <w:r w:rsidRPr="00CE4E69">
        <w:rPr>
          <w:rFonts w:ascii="Bookman Old Style" w:hAnsi="Bookman Old Style" w:cs="Arial"/>
          <w:bCs/>
          <w:sz w:val="18"/>
          <w:szCs w:val="18"/>
          <w:lang w:val="en-ID"/>
        </w:rPr>
        <w:t>Berdasarkan uraian tersebut, penelitian ini bertujuan untuk mengembangkan inovasi Citracanum Sunspray sebagai produk yang mampu memberikan perlindungan ganda, yaitu melindungi kulit dari paparan sinar UV sekaligus mencegah penularan penyakit DBD di Gorontalo.</w:t>
      </w:r>
    </w:p>
    <w:p w14:paraId="09334FA7" w14:textId="77777777" w:rsidR="00CE4E69" w:rsidRPr="0095521B" w:rsidRDefault="00CE4E69" w:rsidP="00CE4E69">
      <w:pPr>
        <w:pStyle w:val="ListParagraph"/>
        <w:autoSpaceDE w:val="0"/>
        <w:autoSpaceDN w:val="0"/>
        <w:adjustRightInd w:val="0"/>
        <w:ind w:left="0" w:firstLine="284"/>
        <w:jc w:val="both"/>
        <w:rPr>
          <w:rFonts w:ascii="Bookman Old Style" w:hAnsi="Bookman Old Style" w:cs="Arial"/>
          <w:i/>
          <w:sz w:val="18"/>
          <w:szCs w:val="18"/>
        </w:rPr>
      </w:pPr>
    </w:p>
    <w:p w14:paraId="108364AE" w14:textId="77777777" w:rsidR="00CE4E69" w:rsidRPr="0095521B" w:rsidRDefault="00CE4E69" w:rsidP="00CE4E69">
      <w:pPr>
        <w:pStyle w:val="subbab1"/>
        <w:spacing w:before="0" w:after="120"/>
        <w:rPr>
          <w:lang w:val="sv-SE"/>
        </w:rPr>
      </w:pPr>
      <w:r w:rsidRPr="0095521B">
        <w:rPr>
          <w:lang w:val="sv-SE"/>
        </w:rPr>
        <w:t>Metode Penelitian</w:t>
      </w:r>
    </w:p>
    <w:p w14:paraId="1BBA24BB" w14:textId="7CD792D7" w:rsidR="00CE4E69" w:rsidRPr="006D656A" w:rsidRDefault="00CE4E69" w:rsidP="003F5DAA">
      <w:pPr>
        <w:spacing w:after="120"/>
        <w:jc w:val="both"/>
        <w:rPr>
          <w:rFonts w:ascii="Bookman Old Style" w:hAnsi="Bookman Old Style" w:cs="Arial"/>
          <w:sz w:val="18"/>
          <w:szCs w:val="18"/>
          <w:lang w:val="en-ID"/>
        </w:rPr>
      </w:pPr>
      <w:r>
        <w:rPr>
          <w:bCs/>
          <w:sz w:val="18"/>
          <w:szCs w:val="18"/>
          <w:lang w:val="sv-SE"/>
        </w:rPr>
        <w:tab/>
      </w:r>
      <w:r w:rsidR="003F5DAA" w:rsidRPr="003F5DAA">
        <w:rPr>
          <w:rFonts w:ascii="Bookman Old Style" w:hAnsi="Bookman Old Style" w:cs="Arial"/>
          <w:bCs/>
          <w:sz w:val="18"/>
          <w:szCs w:val="18"/>
          <w:lang w:val="en-GB"/>
        </w:rPr>
        <w:t xml:space="preserve">Penelitian ini menggunakan rancangan eksperimental laboratorium dengan pendekatan kuantitatif. Tujuan dari penelitian ini adalah menguji formulasi </w:t>
      </w:r>
      <w:r w:rsidR="003F5DAA" w:rsidRPr="003F5DAA">
        <w:rPr>
          <w:rFonts w:ascii="Bookman Old Style" w:hAnsi="Bookman Old Style" w:cs="Arial"/>
          <w:bCs/>
          <w:i/>
          <w:iCs/>
          <w:sz w:val="18"/>
          <w:szCs w:val="18"/>
          <w:lang w:val="en-GB"/>
        </w:rPr>
        <w:t xml:space="preserve">Body Sunscreen Spray </w:t>
      </w:r>
      <w:r w:rsidR="003F5DAA" w:rsidRPr="003F5DAA">
        <w:rPr>
          <w:rFonts w:ascii="Bookman Old Style" w:hAnsi="Bookman Old Style" w:cs="Arial"/>
          <w:bCs/>
          <w:sz w:val="18"/>
          <w:szCs w:val="18"/>
          <w:lang w:val="en-GB"/>
        </w:rPr>
        <w:t>berbahan kombinasi ekstrak serai (</w:t>
      </w:r>
      <w:r w:rsidR="003F5DAA" w:rsidRPr="003F5DAA">
        <w:rPr>
          <w:rFonts w:ascii="Bookman Old Style" w:hAnsi="Bookman Old Style" w:cs="Arial"/>
          <w:bCs/>
          <w:i/>
          <w:iCs/>
          <w:sz w:val="18"/>
          <w:szCs w:val="18"/>
          <w:lang w:val="en-GB"/>
        </w:rPr>
        <w:t>Cymbopogon citratus</w:t>
      </w:r>
      <w:r w:rsidR="003F5DAA" w:rsidRPr="003F5DAA">
        <w:rPr>
          <w:rFonts w:ascii="Bookman Old Style" w:hAnsi="Bookman Old Style" w:cs="Arial"/>
          <w:bCs/>
          <w:sz w:val="18"/>
          <w:szCs w:val="18"/>
          <w:lang w:val="en-GB"/>
        </w:rPr>
        <w:t>) dan kemangi (</w:t>
      </w:r>
      <w:r w:rsidR="003F5DAA" w:rsidRPr="003F5DAA">
        <w:rPr>
          <w:rFonts w:ascii="Bookman Old Style" w:hAnsi="Bookman Old Style" w:cs="Arial"/>
          <w:bCs/>
          <w:i/>
          <w:iCs/>
          <w:sz w:val="18"/>
          <w:szCs w:val="18"/>
          <w:lang w:val="en-GB"/>
        </w:rPr>
        <w:t>Ocimum canum</w:t>
      </w:r>
      <w:r w:rsidR="003F5DAA" w:rsidRPr="003F5DAA">
        <w:rPr>
          <w:rFonts w:ascii="Bookman Old Style" w:hAnsi="Bookman Old Style" w:cs="Arial"/>
          <w:bCs/>
          <w:sz w:val="18"/>
          <w:szCs w:val="18"/>
          <w:lang w:val="en-GB"/>
        </w:rPr>
        <w:t xml:space="preserve">), dengan fokus pada efektivitas perlindungan dari sinar UV serta aktivitas </w:t>
      </w:r>
      <w:r w:rsidR="003F5DAA" w:rsidRPr="003F5DAA">
        <w:rPr>
          <w:rFonts w:ascii="Bookman Old Style" w:hAnsi="Bookman Old Style" w:cs="Arial"/>
          <w:bCs/>
          <w:i/>
          <w:iCs/>
          <w:sz w:val="18"/>
          <w:szCs w:val="18"/>
          <w:lang w:val="en-GB"/>
        </w:rPr>
        <w:t>repellent</w:t>
      </w:r>
      <w:r w:rsidR="003F5DAA" w:rsidRPr="003F5DAA">
        <w:rPr>
          <w:rFonts w:ascii="Bookman Old Style" w:hAnsi="Bookman Old Style" w:cs="Arial"/>
          <w:bCs/>
          <w:sz w:val="18"/>
          <w:szCs w:val="18"/>
          <w:lang w:val="en-GB"/>
        </w:rPr>
        <w:t xml:space="preserve"> terhadap nyamuk. </w:t>
      </w:r>
      <w:r w:rsidR="003F5DAA" w:rsidRPr="003F5DAA">
        <w:rPr>
          <w:rFonts w:ascii="Bookman Old Style" w:hAnsi="Bookman Old Style" w:cs="Arial"/>
          <w:bCs/>
          <w:sz w:val="18"/>
          <w:szCs w:val="18"/>
        </w:rPr>
        <w:t xml:space="preserve">Rancangan penelitian meliputi tahapan pengambilan sampel, proses ekstraksi, formulasi sediaan, serta serangkaian uji evaluasi, meliputi organoleptik, homogenitas, viskositas, pH, nilai </w:t>
      </w:r>
      <w:r w:rsidR="003F5DAA" w:rsidRPr="003F5DAA">
        <w:rPr>
          <w:rFonts w:ascii="Bookman Old Style" w:hAnsi="Bookman Old Style" w:cs="Arial"/>
          <w:bCs/>
          <w:i/>
          <w:iCs/>
          <w:sz w:val="18"/>
          <w:szCs w:val="18"/>
        </w:rPr>
        <w:t>Sun Protection Factor</w:t>
      </w:r>
      <w:r w:rsidR="003F5DAA" w:rsidRPr="003F5DAA">
        <w:rPr>
          <w:rFonts w:ascii="Bookman Old Style" w:hAnsi="Bookman Old Style" w:cs="Arial"/>
          <w:bCs/>
          <w:sz w:val="18"/>
          <w:szCs w:val="18"/>
        </w:rPr>
        <w:t xml:space="preserve"> (SPF), serta aktivitas </w:t>
      </w:r>
      <w:r w:rsidR="003F5DAA" w:rsidRPr="003F5DAA">
        <w:rPr>
          <w:rFonts w:ascii="Bookman Old Style" w:hAnsi="Bookman Old Style" w:cs="Arial"/>
          <w:bCs/>
          <w:i/>
          <w:iCs/>
          <w:sz w:val="18"/>
          <w:szCs w:val="18"/>
        </w:rPr>
        <w:t>repellent</w:t>
      </w:r>
      <w:r w:rsidRPr="006D656A">
        <w:rPr>
          <w:rFonts w:ascii="Bookman Old Style" w:hAnsi="Bookman Old Style" w:cs="Arial"/>
          <w:sz w:val="18"/>
          <w:szCs w:val="18"/>
          <w:lang w:val="en-ID"/>
        </w:rPr>
        <w:t>.</w:t>
      </w:r>
    </w:p>
    <w:p w14:paraId="4F1FD247" w14:textId="77777777" w:rsidR="00CE4E69" w:rsidRPr="006D656A" w:rsidRDefault="00CE4E69" w:rsidP="00CE4E69">
      <w:pPr>
        <w:spacing w:after="120"/>
        <w:jc w:val="both"/>
        <w:rPr>
          <w:rFonts w:ascii="Bookman Old Style" w:hAnsi="Bookman Old Style" w:cs="Arial"/>
          <w:b/>
          <w:bCs/>
          <w:sz w:val="18"/>
          <w:szCs w:val="18"/>
          <w:lang w:val="en-ID"/>
        </w:rPr>
      </w:pPr>
      <w:r w:rsidRPr="006D656A">
        <w:rPr>
          <w:rFonts w:ascii="Bookman Old Style" w:hAnsi="Bookman Old Style" w:cs="Arial"/>
          <w:b/>
          <w:bCs/>
          <w:sz w:val="18"/>
          <w:szCs w:val="18"/>
          <w:lang w:val="en-ID"/>
        </w:rPr>
        <w:t>Alat dan Bahan </w:t>
      </w:r>
    </w:p>
    <w:p w14:paraId="12D2DE6A" w14:textId="03CD15DA" w:rsidR="00CE4E69" w:rsidRPr="006D656A" w:rsidRDefault="00CE4E69" w:rsidP="003F5DAA">
      <w:pPr>
        <w:spacing w:after="120"/>
        <w:jc w:val="both"/>
        <w:rPr>
          <w:rFonts w:ascii="Bookman Old Style" w:hAnsi="Bookman Old Style" w:cs="Arial"/>
          <w:sz w:val="18"/>
          <w:szCs w:val="18"/>
          <w:lang w:val="en-ID"/>
        </w:rPr>
      </w:pPr>
      <w:r w:rsidRPr="006D656A">
        <w:rPr>
          <w:rFonts w:ascii="Bookman Old Style" w:hAnsi="Bookman Old Style" w:cs="Arial"/>
          <w:b/>
          <w:bCs/>
          <w:sz w:val="18"/>
          <w:szCs w:val="18"/>
          <w:lang w:val="en-ID"/>
        </w:rPr>
        <w:t xml:space="preserve">Alat : </w:t>
      </w:r>
      <w:r w:rsidR="003F5DAA" w:rsidRPr="003F5DAA">
        <w:rPr>
          <w:rFonts w:ascii="Bookman Old Style" w:hAnsi="Bookman Old Style" w:cs="Arial"/>
          <w:bCs/>
          <w:sz w:val="18"/>
          <w:szCs w:val="18"/>
          <w:lang w:val="en-GB"/>
        </w:rPr>
        <w:t xml:space="preserve">Alat yang digunakan dalam penelitian ini mencakup pisau, wadah, sarung tangan plastik, kain lap, pemanggang, sarung tangan anti panas, pelumat, stoples, kertas aluminium, kain saring, corong, panci listrik, batang pengaduk, penjepit kayu, gelas ukur, gelas beaker, </w:t>
      </w:r>
      <w:r w:rsidR="003F5DAA" w:rsidRPr="003F5DAA">
        <w:rPr>
          <w:rFonts w:ascii="Bookman Old Style" w:hAnsi="Bookman Old Style" w:cs="Arial"/>
          <w:bCs/>
          <w:i/>
          <w:iCs/>
          <w:sz w:val="18"/>
          <w:szCs w:val="18"/>
          <w:lang w:val="en-GB"/>
        </w:rPr>
        <w:t>distallation flask</w:t>
      </w:r>
      <w:r w:rsidR="003F5DAA" w:rsidRPr="003F5DAA">
        <w:rPr>
          <w:rFonts w:ascii="Bookman Old Style" w:hAnsi="Bookman Old Style" w:cs="Arial"/>
          <w:bCs/>
          <w:sz w:val="18"/>
          <w:szCs w:val="18"/>
          <w:lang w:val="en-GB"/>
        </w:rPr>
        <w:t xml:space="preserve">, kondensor, </w:t>
      </w:r>
      <w:r w:rsidR="003F5DAA" w:rsidRPr="003F5DAA">
        <w:rPr>
          <w:rFonts w:ascii="Bookman Old Style" w:hAnsi="Bookman Old Style" w:cs="Arial"/>
          <w:bCs/>
          <w:i/>
          <w:iCs/>
          <w:sz w:val="18"/>
          <w:szCs w:val="18"/>
          <w:lang w:val="en-GB"/>
        </w:rPr>
        <w:t>separatory funnel</w:t>
      </w:r>
      <w:r w:rsidR="003F5DAA" w:rsidRPr="003F5DAA">
        <w:rPr>
          <w:rFonts w:ascii="Bookman Old Style" w:hAnsi="Bookman Old Style" w:cs="Arial"/>
          <w:bCs/>
          <w:sz w:val="18"/>
          <w:szCs w:val="18"/>
          <w:lang w:val="en-GB"/>
        </w:rPr>
        <w:t xml:space="preserve">, termometer, pH meter, wadah </w:t>
      </w:r>
      <w:r w:rsidR="003F5DAA" w:rsidRPr="003F5DAA">
        <w:rPr>
          <w:rFonts w:ascii="Bookman Old Style" w:hAnsi="Bookman Old Style" w:cs="Arial"/>
          <w:bCs/>
          <w:i/>
          <w:iCs/>
          <w:sz w:val="18"/>
          <w:szCs w:val="18"/>
          <w:lang w:val="en-GB"/>
        </w:rPr>
        <w:t>spray</w:t>
      </w:r>
      <w:r w:rsidR="003F5DAA" w:rsidRPr="003F5DAA">
        <w:rPr>
          <w:rFonts w:ascii="Bookman Old Style" w:hAnsi="Bookman Old Style" w:cs="Arial"/>
          <w:bCs/>
          <w:sz w:val="18"/>
          <w:szCs w:val="18"/>
          <w:lang w:val="en-GB"/>
        </w:rPr>
        <w:t>, timbangan analitik, dan spektrometri UV</w:t>
      </w:r>
      <w:r w:rsidR="003F5DAA" w:rsidRPr="003F5DAA">
        <w:rPr>
          <w:rFonts w:ascii="Bookman Old Style" w:hAnsi="Bookman Old Style" w:cs="Arial"/>
          <w:bCs/>
          <w:i/>
          <w:iCs/>
          <w:sz w:val="18"/>
          <w:szCs w:val="18"/>
          <w:lang w:val="en-GB"/>
        </w:rPr>
        <w:t>-Vis</w:t>
      </w:r>
      <w:r w:rsidRPr="006D656A">
        <w:rPr>
          <w:rFonts w:ascii="Bookman Old Style" w:hAnsi="Bookman Old Style" w:cs="Arial"/>
          <w:sz w:val="18"/>
          <w:szCs w:val="18"/>
          <w:lang w:val="en-ID"/>
        </w:rPr>
        <w:t>.</w:t>
      </w:r>
    </w:p>
    <w:p w14:paraId="3EAB3C35" w14:textId="7060868B" w:rsidR="00CE4E69" w:rsidRPr="006D656A" w:rsidRDefault="00CE4E69" w:rsidP="003F5DAA">
      <w:pPr>
        <w:spacing w:after="120"/>
        <w:jc w:val="both"/>
        <w:rPr>
          <w:rFonts w:ascii="Bookman Old Style" w:hAnsi="Bookman Old Style" w:cs="Arial"/>
          <w:sz w:val="18"/>
          <w:szCs w:val="18"/>
          <w:lang w:val="en-ID"/>
        </w:rPr>
      </w:pPr>
      <w:r w:rsidRPr="006D656A">
        <w:rPr>
          <w:rFonts w:ascii="Bookman Old Style" w:hAnsi="Bookman Old Style" w:cs="Arial"/>
          <w:b/>
          <w:bCs/>
          <w:sz w:val="18"/>
          <w:szCs w:val="18"/>
          <w:lang w:val="en-ID"/>
        </w:rPr>
        <w:t xml:space="preserve">Bahan : </w:t>
      </w:r>
      <w:r w:rsidR="003F5DAA" w:rsidRPr="003F5DAA">
        <w:rPr>
          <w:rFonts w:ascii="Bookman Old Style" w:hAnsi="Bookman Old Style" w:cs="Arial"/>
          <w:bCs/>
          <w:sz w:val="18"/>
          <w:szCs w:val="18"/>
          <w:lang w:val="en-GB"/>
        </w:rPr>
        <w:t>Bahan yang digunakan dalam penelitian ini mencakup ekstrak serai (</w:t>
      </w:r>
      <w:r w:rsidR="003F5DAA" w:rsidRPr="003F5DAA">
        <w:rPr>
          <w:rFonts w:ascii="Bookman Old Style" w:hAnsi="Bookman Old Style" w:cs="Arial"/>
          <w:bCs/>
          <w:i/>
          <w:iCs/>
          <w:sz w:val="18"/>
          <w:szCs w:val="18"/>
          <w:lang w:val="en-GB"/>
        </w:rPr>
        <w:t>Cymbopogon citratus</w:t>
      </w:r>
      <w:r w:rsidR="003F5DAA" w:rsidRPr="003F5DAA">
        <w:rPr>
          <w:rFonts w:ascii="Bookman Old Style" w:hAnsi="Bookman Old Style" w:cs="Arial"/>
          <w:bCs/>
          <w:sz w:val="18"/>
          <w:szCs w:val="18"/>
          <w:lang w:val="en-GB"/>
        </w:rPr>
        <w:t>), ekstrak kemangi (</w:t>
      </w:r>
      <w:r w:rsidR="003F5DAA" w:rsidRPr="003F5DAA">
        <w:rPr>
          <w:rFonts w:ascii="Bookman Old Style" w:hAnsi="Bookman Old Style" w:cs="Arial"/>
          <w:bCs/>
          <w:i/>
          <w:iCs/>
          <w:sz w:val="18"/>
          <w:szCs w:val="18"/>
          <w:lang w:val="en-GB"/>
        </w:rPr>
        <w:t>Ocimum canum</w:t>
      </w:r>
      <w:r w:rsidR="003F5DAA" w:rsidRPr="003F5DAA">
        <w:rPr>
          <w:rFonts w:ascii="Bookman Old Style" w:hAnsi="Bookman Old Style" w:cs="Arial"/>
          <w:bCs/>
          <w:sz w:val="18"/>
          <w:szCs w:val="18"/>
          <w:lang w:val="en-GB"/>
        </w:rPr>
        <w:t xml:space="preserve">), trietanolamin, fenoksitanol, asam stearat, </w:t>
      </w:r>
      <w:r w:rsidR="003F5DAA" w:rsidRPr="003F5DAA">
        <w:rPr>
          <w:rFonts w:ascii="Bookman Old Style" w:hAnsi="Bookman Old Style" w:cs="Arial"/>
          <w:bCs/>
          <w:i/>
          <w:iCs/>
          <w:sz w:val="18"/>
          <w:szCs w:val="18"/>
          <w:lang w:val="en-GB"/>
        </w:rPr>
        <w:t>virgin coconat oil</w:t>
      </w:r>
      <w:r w:rsidR="003F5DAA" w:rsidRPr="003F5DAA">
        <w:rPr>
          <w:rFonts w:ascii="Bookman Old Style" w:hAnsi="Bookman Old Style" w:cs="Arial"/>
          <w:bCs/>
          <w:sz w:val="18"/>
          <w:szCs w:val="18"/>
          <w:lang w:val="en-GB"/>
        </w:rPr>
        <w:t>, aquades, alkohol 96% dan 70%</w:t>
      </w:r>
      <w:r w:rsidRPr="006D656A">
        <w:rPr>
          <w:rFonts w:ascii="Bookman Old Style" w:hAnsi="Bookman Old Style" w:cs="Arial"/>
          <w:sz w:val="18"/>
          <w:szCs w:val="18"/>
          <w:lang w:val="en-ID"/>
        </w:rPr>
        <w:t>.</w:t>
      </w:r>
    </w:p>
    <w:p w14:paraId="4A31A3D5" w14:textId="77777777" w:rsidR="00CE4E69" w:rsidRPr="006D656A" w:rsidRDefault="00CE4E69" w:rsidP="00CE4E69">
      <w:pPr>
        <w:spacing w:after="120"/>
        <w:jc w:val="both"/>
        <w:rPr>
          <w:rFonts w:ascii="Bookman Old Style" w:hAnsi="Bookman Old Style" w:cs="Arial"/>
          <w:b/>
          <w:bCs/>
          <w:sz w:val="18"/>
          <w:szCs w:val="18"/>
          <w:lang w:val="en-ID"/>
        </w:rPr>
      </w:pPr>
      <w:r w:rsidRPr="006D656A">
        <w:rPr>
          <w:rFonts w:ascii="Bookman Old Style" w:hAnsi="Bookman Old Style" w:cs="Arial"/>
          <w:b/>
          <w:bCs/>
          <w:sz w:val="18"/>
          <w:szCs w:val="18"/>
          <w:lang w:val="en-ID"/>
        </w:rPr>
        <w:t>Cara Kerja</w:t>
      </w:r>
    </w:p>
    <w:p w14:paraId="6D66EF67" w14:textId="6051986F" w:rsidR="00CE4E69" w:rsidRPr="006D656A" w:rsidRDefault="003F5DAA" w:rsidP="00CE4E69">
      <w:pPr>
        <w:spacing w:after="120"/>
        <w:jc w:val="both"/>
        <w:rPr>
          <w:rFonts w:ascii="Bookman Old Style" w:hAnsi="Bookman Old Style" w:cs="Arial"/>
          <w:b/>
          <w:bCs/>
          <w:sz w:val="18"/>
          <w:szCs w:val="18"/>
          <w:lang w:val="en-ID"/>
        </w:rPr>
      </w:pPr>
      <w:r>
        <w:rPr>
          <w:rFonts w:ascii="Bookman Old Style" w:hAnsi="Bookman Old Style" w:cs="Arial"/>
          <w:b/>
          <w:bCs/>
          <w:sz w:val="18"/>
          <w:szCs w:val="18"/>
          <w:lang w:val="en-ID"/>
        </w:rPr>
        <w:t>Proses Ekstraksi</w:t>
      </w:r>
    </w:p>
    <w:p w14:paraId="20FB3822" w14:textId="025C66E0" w:rsidR="00CE4E69" w:rsidRDefault="003F5DAA" w:rsidP="003F5DAA">
      <w:pPr>
        <w:spacing w:after="120"/>
        <w:jc w:val="both"/>
        <w:rPr>
          <w:rFonts w:ascii="Bookman Old Style" w:hAnsi="Bookman Old Style" w:cs="Arial"/>
          <w:bCs/>
          <w:sz w:val="18"/>
          <w:szCs w:val="18"/>
          <w:lang w:val="en-GB"/>
        </w:rPr>
      </w:pPr>
      <w:r w:rsidRPr="003F5DAA">
        <w:rPr>
          <w:rFonts w:ascii="Bookman Old Style" w:hAnsi="Bookman Old Style" w:cs="Arial"/>
          <w:bCs/>
          <w:sz w:val="18"/>
          <w:szCs w:val="18"/>
          <w:lang w:val="en-GB"/>
        </w:rPr>
        <w:t xml:space="preserve">Ekstraksi merupakan tahap penting untuk memperoleh senyawa aktif dari bahan alam yang </w:t>
      </w:r>
      <w:r w:rsidRPr="003F5DAA">
        <w:rPr>
          <w:rFonts w:ascii="Bookman Old Style" w:hAnsi="Bookman Old Style" w:cs="Arial"/>
          <w:bCs/>
          <w:sz w:val="18"/>
          <w:szCs w:val="18"/>
          <w:lang w:val="en-GB"/>
        </w:rPr>
        <w:lastRenderedPageBreak/>
        <w:t>akan diformulasikan ke dalam sediaan. Pada penelitian ini, ekstraksi dilakukan dengan dua metode berbeda sesuai dengan karakteristik bahan yang digunakan. Daun kemangi diekstraksi menggunakan metode maserasi dengan pelarut etanol 96%, sedangkan batang serai diekstraksi dengan metode destilasi uap-air untuk memperoleh minyak atsirinya. Kedua metode ini dipilih karena mampu menjaga stabilitas senyawa aktif yang terkandung di dalam masing-masing tanaman. Proses ekstraksi secara lebih rinci dapat dilihat pada Gambar [1,2].</w:t>
      </w:r>
    </w:p>
    <w:p w14:paraId="22714A7B" w14:textId="6F4316F7" w:rsidR="003F5DAA" w:rsidRPr="006D656A" w:rsidRDefault="003F5DAA" w:rsidP="003F5DAA">
      <w:pPr>
        <w:spacing w:after="120"/>
        <w:jc w:val="both"/>
        <w:rPr>
          <w:rFonts w:ascii="Bookman Old Style" w:hAnsi="Bookman Old Style" w:cs="Arial"/>
          <w:sz w:val="18"/>
          <w:szCs w:val="18"/>
          <w:lang w:val="en-ID"/>
        </w:rPr>
      </w:pPr>
      <w:r>
        <w:rPr>
          <w:rFonts w:ascii="Arial" w:hAnsi="Arial"/>
          <w:noProof/>
        </w:rPr>
        <w:drawing>
          <wp:inline distT="0" distB="0" distL="0" distR="0" wp14:anchorId="7BD4EA1A" wp14:editId="2B692C77">
            <wp:extent cx="2917190" cy="1686233"/>
            <wp:effectExtent l="0" t="0" r="0" b="9525"/>
            <wp:docPr id="102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0" cstate="print"/>
                    <a:srcRect l="4704" t="2103" r="645" b="4016"/>
                    <a:stretch/>
                  </pic:blipFill>
                  <pic:spPr>
                    <a:xfrm>
                      <a:off x="0" y="0"/>
                      <a:ext cx="2917190" cy="1686233"/>
                    </a:xfrm>
                    <a:prstGeom prst="rect">
                      <a:avLst/>
                    </a:prstGeom>
                    <a:ln>
                      <a:noFill/>
                    </a:ln>
                  </pic:spPr>
                </pic:pic>
              </a:graphicData>
            </a:graphic>
          </wp:inline>
        </w:drawing>
      </w:r>
    </w:p>
    <w:p w14:paraId="5D72BBDA" w14:textId="2F36EA05" w:rsidR="003F5DAA" w:rsidRPr="003F5DAA" w:rsidRDefault="003F5DAA" w:rsidP="003F5DAA">
      <w:pPr>
        <w:spacing w:after="120"/>
        <w:jc w:val="center"/>
        <w:rPr>
          <w:rFonts w:ascii="Bookman Old Style" w:hAnsi="Bookman Old Style" w:cs="Arial"/>
          <w:sz w:val="18"/>
          <w:szCs w:val="18"/>
          <w:lang w:val="en-ID"/>
        </w:rPr>
      </w:pPr>
      <w:r w:rsidRPr="003F5DAA">
        <w:rPr>
          <w:rFonts w:ascii="Bookman Old Style" w:eastAsia="Times New Roman" w:hAnsi="Bookman Old Style"/>
          <w:bCs/>
          <w:color w:val="221F1F"/>
          <w:sz w:val="18"/>
          <w:szCs w:val="18"/>
          <w:lang w:eastAsia="en-ID"/>
        </w:rPr>
        <w:t>Gambar 1. Proses Ekstraksi Maserasi</w:t>
      </w:r>
    </w:p>
    <w:p w14:paraId="60A5319D" w14:textId="57F1B4F0" w:rsidR="00CE4E69" w:rsidRDefault="003F5DAA" w:rsidP="00CE4E69">
      <w:pPr>
        <w:spacing w:after="120"/>
        <w:jc w:val="both"/>
        <w:rPr>
          <w:rFonts w:ascii="Bookman Old Style" w:hAnsi="Bookman Old Style" w:cs="Arial"/>
          <w:sz w:val="18"/>
          <w:szCs w:val="18"/>
          <w:lang w:val="en-ID"/>
        </w:rPr>
      </w:pPr>
      <w:r>
        <w:rPr>
          <w:rFonts w:ascii="Arial" w:hAnsi="Arial"/>
          <w:noProof/>
        </w:rPr>
        <w:drawing>
          <wp:inline distT="0" distB="0" distL="0" distR="0" wp14:anchorId="6EB746DB" wp14:editId="73BADC3B">
            <wp:extent cx="2917190" cy="1214925"/>
            <wp:effectExtent l="0" t="0" r="0" b="4445"/>
            <wp:docPr id="102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11" cstate="print"/>
                    <a:srcRect l="1807" t="4963" r="1337" b="5211"/>
                    <a:stretch/>
                  </pic:blipFill>
                  <pic:spPr>
                    <a:xfrm>
                      <a:off x="0" y="0"/>
                      <a:ext cx="2917190" cy="1214925"/>
                    </a:xfrm>
                    <a:prstGeom prst="rect">
                      <a:avLst/>
                    </a:prstGeom>
                    <a:ln>
                      <a:noFill/>
                    </a:ln>
                  </pic:spPr>
                </pic:pic>
              </a:graphicData>
            </a:graphic>
          </wp:inline>
        </w:drawing>
      </w:r>
    </w:p>
    <w:p w14:paraId="26775215" w14:textId="447F290B" w:rsidR="003F5DAA" w:rsidRPr="003F5DAA" w:rsidRDefault="003F5DAA" w:rsidP="003F5DAA">
      <w:pPr>
        <w:spacing w:after="120"/>
        <w:jc w:val="center"/>
        <w:rPr>
          <w:rFonts w:ascii="Bookman Old Style" w:hAnsi="Bookman Old Style" w:cs="Arial"/>
          <w:sz w:val="18"/>
          <w:szCs w:val="18"/>
          <w:lang w:val="en-ID"/>
        </w:rPr>
      </w:pPr>
      <w:r w:rsidRPr="003F5DAA">
        <w:rPr>
          <w:rFonts w:ascii="Bookman Old Style" w:eastAsia="Times New Roman" w:hAnsi="Bookman Old Style"/>
          <w:bCs/>
          <w:color w:val="221F1F"/>
          <w:sz w:val="18"/>
          <w:szCs w:val="18"/>
          <w:lang w:eastAsia="en-ID"/>
        </w:rPr>
        <w:t>Gambar 2. Proses Ekstraksi Destilasi</w:t>
      </w:r>
    </w:p>
    <w:p w14:paraId="3C6D35E4" w14:textId="60D1594B" w:rsidR="00CE4E69" w:rsidRPr="006D656A" w:rsidRDefault="00CE4E69" w:rsidP="00CE4E69">
      <w:pPr>
        <w:spacing w:after="120"/>
        <w:jc w:val="both"/>
        <w:rPr>
          <w:rFonts w:ascii="Bookman Old Style" w:hAnsi="Bookman Old Style" w:cs="Arial"/>
          <w:b/>
          <w:bCs/>
          <w:sz w:val="18"/>
          <w:szCs w:val="18"/>
          <w:lang w:val="en-ID"/>
        </w:rPr>
      </w:pPr>
      <w:r w:rsidRPr="006D656A">
        <w:rPr>
          <w:rFonts w:ascii="Bookman Old Style" w:hAnsi="Bookman Old Style" w:cs="Arial"/>
          <w:b/>
          <w:bCs/>
          <w:sz w:val="18"/>
          <w:szCs w:val="18"/>
          <w:lang w:val="en-ID"/>
        </w:rPr>
        <w:t xml:space="preserve">Formulasi </w:t>
      </w:r>
      <w:r w:rsidR="003F5DAA">
        <w:rPr>
          <w:rFonts w:ascii="Bookman Old Style" w:hAnsi="Bookman Old Style" w:cs="Arial"/>
          <w:b/>
          <w:bCs/>
          <w:sz w:val="18"/>
          <w:szCs w:val="18"/>
          <w:lang w:val="en-ID"/>
        </w:rPr>
        <w:t>Sediaan Spray</w:t>
      </w:r>
    </w:p>
    <w:p w14:paraId="44B94E36" w14:textId="48C09548" w:rsidR="00CE4E69" w:rsidRDefault="003F5DAA" w:rsidP="00AD5201">
      <w:pPr>
        <w:ind w:firstLine="720"/>
        <w:jc w:val="both"/>
        <w:rPr>
          <w:rFonts w:ascii="Bookman Old Style" w:hAnsi="Bookman Old Style" w:cs="Arial"/>
          <w:sz w:val="18"/>
          <w:szCs w:val="18"/>
          <w:lang w:val="en-ID"/>
        </w:rPr>
      </w:pPr>
      <w:r w:rsidRPr="003F5DAA">
        <w:rPr>
          <w:rFonts w:ascii="Bookman Old Style" w:hAnsi="Bookman Old Style" w:cs="Arial"/>
          <w:bCs/>
          <w:sz w:val="18"/>
          <w:szCs w:val="18"/>
          <w:lang w:val="en-GB"/>
        </w:rPr>
        <w:t xml:space="preserve">Setelah ekstrak serai dan kemangi diperoleh, tahap selanjutnya adalah formulasi sediaan </w:t>
      </w:r>
      <w:r w:rsidRPr="003F5DAA">
        <w:rPr>
          <w:rFonts w:ascii="Bookman Old Style" w:hAnsi="Bookman Old Style" w:cs="Arial"/>
          <w:bCs/>
          <w:i/>
          <w:iCs/>
          <w:sz w:val="18"/>
          <w:szCs w:val="18"/>
          <w:lang w:val="en-GB"/>
        </w:rPr>
        <w:t>Body Sunscreen Spray</w:t>
      </w:r>
      <w:r w:rsidRPr="003F5DAA">
        <w:rPr>
          <w:rFonts w:ascii="Bookman Old Style" w:hAnsi="Bookman Old Style" w:cs="Arial"/>
          <w:bCs/>
          <w:sz w:val="18"/>
          <w:szCs w:val="18"/>
          <w:lang w:val="en-GB"/>
        </w:rPr>
        <w:t>. Pada tahap ini, ekstrak dikombinasikan dengan berbagai bahan tambahan lain yang berfungsi sebagai pengawet, emulgator, emulsiﬁer, emolien, pengharum, dan pelarut. Formulasi disusun dalam tiga variasi konsentrasi ekstrak (F1, F2, dan F3) untuk menentukan komposisi terbaik berdasarkan uji evaluasi. Rincian komposisi setiap formula dapat dilihat pada Tabel 1</w:t>
      </w:r>
      <w:r w:rsidR="00CE4E69" w:rsidRPr="003F5DAA">
        <w:rPr>
          <w:rFonts w:ascii="Bookman Old Style" w:hAnsi="Bookman Old Style" w:cs="Arial"/>
          <w:sz w:val="18"/>
          <w:szCs w:val="18"/>
          <w:lang w:val="en-ID"/>
        </w:rPr>
        <w:t>.</w:t>
      </w:r>
    </w:p>
    <w:p w14:paraId="68EB0BD8" w14:textId="4903E0D9" w:rsidR="003F5DAA" w:rsidRPr="003F5DAA" w:rsidRDefault="003F5DAA" w:rsidP="00AD5201">
      <w:pPr>
        <w:ind w:firstLine="720"/>
        <w:jc w:val="both"/>
        <w:rPr>
          <w:rFonts w:ascii="Bookman Old Style" w:hAnsi="Bookman Old Style" w:cs="Arial"/>
          <w:sz w:val="18"/>
          <w:szCs w:val="18"/>
          <w:lang w:val="en-ID"/>
        </w:rPr>
      </w:pPr>
      <w:r w:rsidRPr="003F5DAA">
        <w:rPr>
          <w:rFonts w:ascii="Bookman Old Style" w:hAnsi="Bookman Old Style" w:cs="Arial"/>
          <w:bCs/>
          <w:sz w:val="18"/>
          <w:szCs w:val="18"/>
          <w:lang w:val="en-GB"/>
        </w:rPr>
        <w:t xml:space="preserve">Proses formulasi dilakukan melalui tahapan pencampuran fase minyak dan fase air, penambahan bahan aktif, serta homogenisasi hingga terbentuk sediaan yang stabil. Tahapan ini digambarkan secara rinci pada Gambar 3 mengenai alur pembuatan formulasi </w:t>
      </w:r>
      <w:r w:rsidRPr="003F5DAA">
        <w:rPr>
          <w:rFonts w:ascii="Bookman Old Style" w:hAnsi="Bookman Old Style" w:cs="Arial"/>
          <w:bCs/>
          <w:i/>
          <w:iCs/>
          <w:sz w:val="18"/>
          <w:szCs w:val="18"/>
          <w:lang w:val="en-GB"/>
        </w:rPr>
        <w:t>Body Sunscreen Spray</w:t>
      </w:r>
      <w:r w:rsidRPr="003F5DAA">
        <w:rPr>
          <w:rFonts w:ascii="Bookman Old Style" w:hAnsi="Bookman Old Style" w:cs="Arial"/>
          <w:bCs/>
          <w:sz w:val="18"/>
          <w:szCs w:val="18"/>
          <w:lang w:val="en-GB"/>
        </w:rPr>
        <w:t>.</w:t>
      </w:r>
    </w:p>
    <w:p w14:paraId="13FA340E" w14:textId="77777777" w:rsidR="00CE4E69" w:rsidRDefault="00CE4E69" w:rsidP="00CE4E69">
      <w:pPr>
        <w:spacing w:after="120"/>
        <w:jc w:val="both"/>
        <w:rPr>
          <w:rFonts w:ascii="Bookman Old Style" w:hAnsi="Bookman Old Style" w:cs="Arial"/>
          <w:sz w:val="18"/>
          <w:szCs w:val="18"/>
          <w:lang w:val="en-ID"/>
        </w:rPr>
      </w:pPr>
    </w:p>
    <w:p w14:paraId="00ABA6AD" w14:textId="2D205DFA" w:rsidR="00CE4E69" w:rsidRPr="006D656A" w:rsidRDefault="00CE4E69" w:rsidP="00AD5201">
      <w:pPr>
        <w:spacing w:line="360" w:lineRule="auto"/>
        <w:jc w:val="both"/>
        <w:rPr>
          <w:rFonts w:ascii="Bookman Old Style" w:hAnsi="Bookman Old Style" w:cs="Arial"/>
          <w:sz w:val="18"/>
          <w:szCs w:val="18"/>
          <w:lang w:val="en-ID"/>
        </w:rPr>
      </w:pPr>
      <w:r w:rsidRPr="006D656A">
        <w:rPr>
          <w:rFonts w:ascii="Bookman Old Style" w:hAnsi="Bookman Old Style" w:cs="Arial"/>
          <w:sz w:val="18"/>
          <w:szCs w:val="18"/>
          <w:lang w:val="en-ID"/>
        </w:rPr>
        <w:t xml:space="preserve">Tabel 1. </w:t>
      </w:r>
      <w:r w:rsidR="00AD5201" w:rsidRPr="00AD5201">
        <w:rPr>
          <w:rFonts w:ascii="Bookman Old Style" w:hAnsi="Bookman Old Style" w:cs="Arial"/>
          <w:bCs/>
          <w:sz w:val="18"/>
          <w:szCs w:val="18"/>
          <w:lang w:val="en-GB"/>
        </w:rPr>
        <w:t xml:space="preserve">Formulasi Sediaan </w:t>
      </w:r>
      <w:r w:rsidR="00AD5201" w:rsidRPr="00AD5201">
        <w:rPr>
          <w:rFonts w:ascii="Bookman Old Style" w:hAnsi="Bookman Old Style" w:cs="Arial"/>
          <w:bCs/>
          <w:i/>
          <w:iCs/>
          <w:sz w:val="18"/>
          <w:szCs w:val="18"/>
          <w:lang w:val="en-GB"/>
        </w:rPr>
        <w:t>Spray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649"/>
        <w:gridCol w:w="649"/>
        <w:gridCol w:w="649"/>
        <w:gridCol w:w="1166"/>
      </w:tblGrid>
      <w:tr w:rsidR="00AD5201" w:rsidRPr="00AD5201" w14:paraId="6386AD03" w14:textId="77777777" w:rsidTr="00AD5201">
        <w:tc>
          <w:tcPr>
            <w:tcW w:w="1373" w:type="dxa"/>
            <w:vMerge w:val="restart"/>
            <w:tcBorders>
              <w:top w:val="single" w:sz="4" w:space="0" w:color="auto"/>
            </w:tcBorders>
          </w:tcPr>
          <w:p w14:paraId="1B762B69" w14:textId="77777777" w:rsidR="00AD5201" w:rsidRPr="00AD5201" w:rsidRDefault="00AD5201" w:rsidP="00867DC6">
            <w:pPr>
              <w:jc w:val="center"/>
              <w:rPr>
                <w:rFonts w:ascii="Bookman Old Style" w:eastAsia="Times New Roman" w:hAnsi="Bookman Old Style"/>
                <w:b/>
                <w:color w:val="221F1F"/>
                <w:sz w:val="18"/>
                <w:szCs w:val="18"/>
              </w:rPr>
            </w:pPr>
            <w:r w:rsidRPr="00AD5201">
              <w:rPr>
                <w:rFonts w:ascii="Bookman Old Style" w:eastAsia="Times New Roman" w:hAnsi="Bookman Old Style"/>
                <w:b/>
                <w:color w:val="221F1F"/>
                <w:sz w:val="18"/>
                <w:szCs w:val="18"/>
              </w:rPr>
              <w:t>NAMA BAHAN</w:t>
            </w:r>
          </w:p>
        </w:tc>
        <w:tc>
          <w:tcPr>
            <w:tcW w:w="1947" w:type="dxa"/>
            <w:gridSpan w:val="3"/>
            <w:tcBorders>
              <w:top w:val="single" w:sz="4" w:space="0" w:color="auto"/>
              <w:bottom w:val="single" w:sz="4" w:space="0" w:color="auto"/>
            </w:tcBorders>
          </w:tcPr>
          <w:p w14:paraId="1F6C16A4" w14:textId="77777777" w:rsidR="00AD5201" w:rsidRPr="00AD5201" w:rsidRDefault="00AD5201" w:rsidP="00867DC6">
            <w:pPr>
              <w:jc w:val="center"/>
              <w:rPr>
                <w:rFonts w:ascii="Bookman Old Style" w:eastAsia="Times New Roman" w:hAnsi="Bookman Old Style"/>
                <w:b/>
                <w:color w:val="221F1F"/>
                <w:sz w:val="18"/>
                <w:szCs w:val="18"/>
              </w:rPr>
            </w:pPr>
            <w:r w:rsidRPr="00AD5201">
              <w:rPr>
                <w:rFonts w:ascii="Bookman Old Style" w:eastAsia="Times New Roman" w:hAnsi="Bookman Old Style"/>
                <w:b/>
                <w:color w:val="221F1F"/>
                <w:sz w:val="18"/>
                <w:szCs w:val="18"/>
              </w:rPr>
              <w:t>KONSENTRASI (%)</w:t>
            </w:r>
          </w:p>
        </w:tc>
        <w:tc>
          <w:tcPr>
            <w:tcW w:w="1166" w:type="dxa"/>
            <w:vMerge w:val="restart"/>
            <w:tcBorders>
              <w:top w:val="single" w:sz="4" w:space="0" w:color="auto"/>
            </w:tcBorders>
          </w:tcPr>
          <w:p w14:paraId="10AD4D99" w14:textId="77777777" w:rsidR="00AD5201" w:rsidRPr="00AD5201" w:rsidRDefault="00AD5201" w:rsidP="00867DC6">
            <w:pPr>
              <w:jc w:val="center"/>
              <w:rPr>
                <w:rFonts w:ascii="Bookman Old Style" w:eastAsia="Times New Roman" w:hAnsi="Bookman Old Style"/>
                <w:b/>
                <w:color w:val="221F1F"/>
                <w:sz w:val="18"/>
                <w:szCs w:val="18"/>
              </w:rPr>
            </w:pPr>
            <w:r w:rsidRPr="00AD5201">
              <w:rPr>
                <w:rFonts w:ascii="Bookman Old Style" w:eastAsia="Times New Roman" w:hAnsi="Bookman Old Style"/>
                <w:b/>
                <w:color w:val="221F1F"/>
                <w:sz w:val="18"/>
                <w:szCs w:val="18"/>
              </w:rPr>
              <w:t>FUNGSI BAHAN</w:t>
            </w:r>
          </w:p>
        </w:tc>
      </w:tr>
      <w:tr w:rsidR="00AD5201" w:rsidRPr="00AD5201" w14:paraId="62712AC9" w14:textId="77777777" w:rsidTr="00AD5201">
        <w:tc>
          <w:tcPr>
            <w:tcW w:w="1373" w:type="dxa"/>
            <w:vMerge/>
            <w:tcBorders>
              <w:bottom w:val="single" w:sz="4" w:space="0" w:color="auto"/>
            </w:tcBorders>
          </w:tcPr>
          <w:p w14:paraId="40A84267" w14:textId="77777777" w:rsidR="00AD5201" w:rsidRPr="00AD5201" w:rsidRDefault="00AD5201" w:rsidP="00867DC6">
            <w:pPr>
              <w:jc w:val="both"/>
              <w:rPr>
                <w:rFonts w:ascii="Bookman Old Style" w:eastAsia="Times New Roman" w:hAnsi="Bookman Old Style"/>
                <w:color w:val="221F1F"/>
                <w:sz w:val="18"/>
                <w:szCs w:val="18"/>
              </w:rPr>
            </w:pPr>
          </w:p>
        </w:tc>
        <w:tc>
          <w:tcPr>
            <w:tcW w:w="649" w:type="dxa"/>
            <w:tcBorders>
              <w:top w:val="single" w:sz="4" w:space="0" w:color="auto"/>
              <w:bottom w:val="single" w:sz="4" w:space="0" w:color="auto"/>
            </w:tcBorders>
          </w:tcPr>
          <w:p w14:paraId="12083BFE" w14:textId="77777777" w:rsidR="00AD5201" w:rsidRPr="00AD5201" w:rsidRDefault="00AD5201" w:rsidP="00867DC6">
            <w:pPr>
              <w:jc w:val="center"/>
              <w:rPr>
                <w:rFonts w:ascii="Bookman Old Style" w:eastAsia="Times New Roman" w:hAnsi="Bookman Old Style"/>
                <w:b/>
                <w:color w:val="221F1F"/>
                <w:sz w:val="18"/>
                <w:szCs w:val="18"/>
              </w:rPr>
            </w:pPr>
            <w:r w:rsidRPr="00AD5201">
              <w:rPr>
                <w:rFonts w:ascii="Bookman Old Style" w:eastAsia="Times New Roman" w:hAnsi="Bookman Old Style"/>
                <w:b/>
                <w:color w:val="221F1F"/>
                <w:sz w:val="18"/>
                <w:szCs w:val="18"/>
              </w:rPr>
              <w:t>F1</w:t>
            </w:r>
          </w:p>
        </w:tc>
        <w:tc>
          <w:tcPr>
            <w:tcW w:w="649" w:type="dxa"/>
            <w:tcBorders>
              <w:top w:val="single" w:sz="4" w:space="0" w:color="auto"/>
              <w:bottom w:val="single" w:sz="4" w:space="0" w:color="auto"/>
            </w:tcBorders>
          </w:tcPr>
          <w:p w14:paraId="60F23931" w14:textId="77777777" w:rsidR="00AD5201" w:rsidRPr="00AD5201" w:rsidRDefault="00AD5201" w:rsidP="00867DC6">
            <w:pPr>
              <w:jc w:val="center"/>
              <w:rPr>
                <w:rFonts w:ascii="Bookman Old Style" w:eastAsia="Times New Roman" w:hAnsi="Bookman Old Style"/>
                <w:b/>
                <w:color w:val="221F1F"/>
                <w:sz w:val="18"/>
                <w:szCs w:val="18"/>
              </w:rPr>
            </w:pPr>
            <w:r w:rsidRPr="00AD5201">
              <w:rPr>
                <w:rFonts w:ascii="Bookman Old Style" w:eastAsia="Times New Roman" w:hAnsi="Bookman Old Style"/>
                <w:b/>
                <w:color w:val="221F1F"/>
                <w:sz w:val="18"/>
                <w:szCs w:val="18"/>
              </w:rPr>
              <w:t>F2</w:t>
            </w:r>
          </w:p>
        </w:tc>
        <w:tc>
          <w:tcPr>
            <w:tcW w:w="649" w:type="dxa"/>
            <w:tcBorders>
              <w:top w:val="single" w:sz="4" w:space="0" w:color="auto"/>
              <w:bottom w:val="single" w:sz="4" w:space="0" w:color="auto"/>
            </w:tcBorders>
          </w:tcPr>
          <w:p w14:paraId="4788F64D" w14:textId="77777777" w:rsidR="00AD5201" w:rsidRPr="00AD5201" w:rsidRDefault="00AD5201" w:rsidP="00867DC6">
            <w:pPr>
              <w:jc w:val="center"/>
              <w:rPr>
                <w:rFonts w:ascii="Bookman Old Style" w:eastAsia="Times New Roman" w:hAnsi="Bookman Old Style"/>
                <w:b/>
                <w:color w:val="221F1F"/>
                <w:sz w:val="18"/>
                <w:szCs w:val="18"/>
              </w:rPr>
            </w:pPr>
            <w:r w:rsidRPr="00AD5201">
              <w:rPr>
                <w:rFonts w:ascii="Bookman Old Style" w:eastAsia="Times New Roman" w:hAnsi="Bookman Old Style"/>
                <w:b/>
                <w:color w:val="221F1F"/>
                <w:sz w:val="18"/>
                <w:szCs w:val="18"/>
              </w:rPr>
              <w:t>F3</w:t>
            </w:r>
          </w:p>
        </w:tc>
        <w:tc>
          <w:tcPr>
            <w:tcW w:w="1166" w:type="dxa"/>
            <w:vMerge/>
            <w:tcBorders>
              <w:bottom w:val="single" w:sz="4" w:space="0" w:color="auto"/>
            </w:tcBorders>
          </w:tcPr>
          <w:p w14:paraId="6C5DB838" w14:textId="77777777" w:rsidR="00AD5201" w:rsidRPr="00AD5201" w:rsidRDefault="00AD5201" w:rsidP="00867DC6">
            <w:pPr>
              <w:jc w:val="center"/>
              <w:rPr>
                <w:rFonts w:ascii="Bookman Old Style" w:eastAsia="Times New Roman" w:hAnsi="Bookman Old Style"/>
                <w:b/>
                <w:color w:val="221F1F"/>
                <w:sz w:val="18"/>
                <w:szCs w:val="18"/>
              </w:rPr>
            </w:pPr>
          </w:p>
        </w:tc>
      </w:tr>
      <w:tr w:rsidR="00AD5201" w:rsidRPr="00AD5201" w14:paraId="6D66531F" w14:textId="77777777" w:rsidTr="00AD5201">
        <w:tc>
          <w:tcPr>
            <w:tcW w:w="1373" w:type="dxa"/>
            <w:tcBorders>
              <w:top w:val="single" w:sz="4" w:space="0" w:color="auto"/>
              <w:bottom w:val="single" w:sz="4" w:space="0" w:color="auto"/>
            </w:tcBorders>
          </w:tcPr>
          <w:p w14:paraId="2A835755"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Ekstrak Serai</w:t>
            </w:r>
          </w:p>
        </w:tc>
        <w:tc>
          <w:tcPr>
            <w:tcW w:w="649" w:type="dxa"/>
            <w:tcBorders>
              <w:top w:val="single" w:sz="4" w:space="0" w:color="auto"/>
              <w:bottom w:val="single" w:sz="4" w:space="0" w:color="auto"/>
            </w:tcBorders>
          </w:tcPr>
          <w:p w14:paraId="0BBA2A74"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2</w:t>
            </w:r>
          </w:p>
        </w:tc>
        <w:tc>
          <w:tcPr>
            <w:tcW w:w="649" w:type="dxa"/>
            <w:tcBorders>
              <w:top w:val="single" w:sz="4" w:space="0" w:color="auto"/>
              <w:bottom w:val="single" w:sz="4" w:space="0" w:color="auto"/>
            </w:tcBorders>
          </w:tcPr>
          <w:p w14:paraId="7FFB5E0E"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4</w:t>
            </w:r>
          </w:p>
        </w:tc>
        <w:tc>
          <w:tcPr>
            <w:tcW w:w="649" w:type="dxa"/>
            <w:tcBorders>
              <w:top w:val="single" w:sz="4" w:space="0" w:color="auto"/>
              <w:bottom w:val="single" w:sz="4" w:space="0" w:color="auto"/>
            </w:tcBorders>
          </w:tcPr>
          <w:p w14:paraId="69544EF2"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6</w:t>
            </w:r>
          </w:p>
        </w:tc>
        <w:tc>
          <w:tcPr>
            <w:tcW w:w="1166" w:type="dxa"/>
            <w:tcBorders>
              <w:top w:val="single" w:sz="4" w:space="0" w:color="auto"/>
              <w:bottom w:val="single" w:sz="4" w:space="0" w:color="auto"/>
            </w:tcBorders>
          </w:tcPr>
          <w:p w14:paraId="62659086"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Zat Aktif</w:t>
            </w:r>
          </w:p>
        </w:tc>
      </w:tr>
      <w:tr w:rsidR="00AD5201" w:rsidRPr="00AD5201" w14:paraId="229F7515" w14:textId="77777777" w:rsidTr="00AD5201">
        <w:tc>
          <w:tcPr>
            <w:tcW w:w="1373" w:type="dxa"/>
            <w:tcBorders>
              <w:top w:val="single" w:sz="4" w:space="0" w:color="auto"/>
              <w:bottom w:val="single" w:sz="4" w:space="0" w:color="auto"/>
            </w:tcBorders>
          </w:tcPr>
          <w:p w14:paraId="098FC26D"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Ekstrak Kemangi</w:t>
            </w:r>
          </w:p>
        </w:tc>
        <w:tc>
          <w:tcPr>
            <w:tcW w:w="649" w:type="dxa"/>
            <w:tcBorders>
              <w:top w:val="single" w:sz="4" w:space="0" w:color="auto"/>
              <w:bottom w:val="single" w:sz="4" w:space="0" w:color="auto"/>
            </w:tcBorders>
          </w:tcPr>
          <w:p w14:paraId="6B22944E"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4</w:t>
            </w:r>
          </w:p>
        </w:tc>
        <w:tc>
          <w:tcPr>
            <w:tcW w:w="649" w:type="dxa"/>
            <w:tcBorders>
              <w:top w:val="single" w:sz="4" w:space="0" w:color="auto"/>
              <w:bottom w:val="single" w:sz="4" w:space="0" w:color="auto"/>
            </w:tcBorders>
          </w:tcPr>
          <w:p w14:paraId="28A063D5"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6</w:t>
            </w:r>
          </w:p>
        </w:tc>
        <w:tc>
          <w:tcPr>
            <w:tcW w:w="649" w:type="dxa"/>
            <w:tcBorders>
              <w:top w:val="single" w:sz="4" w:space="0" w:color="auto"/>
              <w:bottom w:val="single" w:sz="4" w:space="0" w:color="auto"/>
            </w:tcBorders>
          </w:tcPr>
          <w:p w14:paraId="2C22A0A5"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8</w:t>
            </w:r>
          </w:p>
        </w:tc>
        <w:tc>
          <w:tcPr>
            <w:tcW w:w="1166" w:type="dxa"/>
            <w:tcBorders>
              <w:top w:val="single" w:sz="4" w:space="0" w:color="auto"/>
              <w:bottom w:val="single" w:sz="4" w:space="0" w:color="auto"/>
            </w:tcBorders>
          </w:tcPr>
          <w:p w14:paraId="4779B19B"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Zat Aktif</w:t>
            </w:r>
          </w:p>
        </w:tc>
      </w:tr>
      <w:tr w:rsidR="00AD5201" w:rsidRPr="00AD5201" w14:paraId="0D2CE1D4" w14:textId="77777777" w:rsidTr="00AD5201">
        <w:tc>
          <w:tcPr>
            <w:tcW w:w="1373" w:type="dxa"/>
            <w:tcBorders>
              <w:top w:val="single" w:sz="4" w:space="0" w:color="auto"/>
              <w:bottom w:val="single" w:sz="4" w:space="0" w:color="auto"/>
            </w:tcBorders>
          </w:tcPr>
          <w:p w14:paraId="5A5B5E13" w14:textId="77777777" w:rsidR="00AD5201" w:rsidRPr="00AD5201" w:rsidRDefault="00AD5201" w:rsidP="00867DC6">
            <w:pPr>
              <w:jc w:val="center"/>
              <w:rPr>
                <w:rFonts w:ascii="Bookman Old Style" w:eastAsia="Times New Roman" w:hAnsi="Bookman Old Style"/>
                <w:i/>
                <w:color w:val="221F1F"/>
                <w:sz w:val="18"/>
                <w:szCs w:val="18"/>
              </w:rPr>
            </w:pPr>
            <w:r w:rsidRPr="00AD5201">
              <w:rPr>
                <w:rFonts w:ascii="Bookman Old Style" w:eastAsia="Times New Roman" w:hAnsi="Bookman Old Style"/>
                <w:i/>
                <w:color w:val="221F1F"/>
                <w:sz w:val="18"/>
                <w:szCs w:val="18"/>
              </w:rPr>
              <w:t>Fenoksitanol</w:t>
            </w:r>
          </w:p>
        </w:tc>
        <w:tc>
          <w:tcPr>
            <w:tcW w:w="649" w:type="dxa"/>
            <w:tcBorders>
              <w:top w:val="single" w:sz="4" w:space="0" w:color="auto"/>
              <w:bottom w:val="single" w:sz="4" w:space="0" w:color="auto"/>
            </w:tcBorders>
          </w:tcPr>
          <w:p w14:paraId="7E34E89F"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0,5</w:t>
            </w:r>
          </w:p>
        </w:tc>
        <w:tc>
          <w:tcPr>
            <w:tcW w:w="649" w:type="dxa"/>
            <w:tcBorders>
              <w:top w:val="single" w:sz="4" w:space="0" w:color="auto"/>
              <w:bottom w:val="single" w:sz="4" w:space="0" w:color="auto"/>
            </w:tcBorders>
          </w:tcPr>
          <w:p w14:paraId="4ECD2747"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0,5</w:t>
            </w:r>
          </w:p>
        </w:tc>
        <w:tc>
          <w:tcPr>
            <w:tcW w:w="649" w:type="dxa"/>
            <w:tcBorders>
              <w:top w:val="single" w:sz="4" w:space="0" w:color="auto"/>
              <w:bottom w:val="single" w:sz="4" w:space="0" w:color="auto"/>
            </w:tcBorders>
          </w:tcPr>
          <w:p w14:paraId="2F68B106"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0,5</w:t>
            </w:r>
          </w:p>
        </w:tc>
        <w:tc>
          <w:tcPr>
            <w:tcW w:w="1166" w:type="dxa"/>
            <w:tcBorders>
              <w:top w:val="single" w:sz="4" w:space="0" w:color="auto"/>
              <w:bottom w:val="single" w:sz="4" w:space="0" w:color="auto"/>
            </w:tcBorders>
          </w:tcPr>
          <w:p w14:paraId="5E5C120A"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Pengawet</w:t>
            </w:r>
          </w:p>
        </w:tc>
      </w:tr>
      <w:tr w:rsidR="00AD5201" w:rsidRPr="00AD5201" w14:paraId="50A8DF72" w14:textId="77777777" w:rsidTr="00AD5201">
        <w:tc>
          <w:tcPr>
            <w:tcW w:w="1373" w:type="dxa"/>
            <w:tcBorders>
              <w:top w:val="single" w:sz="4" w:space="0" w:color="auto"/>
              <w:bottom w:val="single" w:sz="4" w:space="0" w:color="auto"/>
            </w:tcBorders>
          </w:tcPr>
          <w:p w14:paraId="0DE02D7A" w14:textId="77777777" w:rsidR="00AD5201" w:rsidRPr="00AD5201" w:rsidRDefault="00AD5201" w:rsidP="00867DC6">
            <w:pPr>
              <w:jc w:val="center"/>
              <w:rPr>
                <w:rFonts w:ascii="Bookman Old Style" w:eastAsia="Times New Roman" w:hAnsi="Bookman Old Style"/>
                <w:i/>
                <w:color w:val="221F1F"/>
                <w:sz w:val="18"/>
                <w:szCs w:val="18"/>
              </w:rPr>
            </w:pPr>
            <w:r w:rsidRPr="00AD5201">
              <w:rPr>
                <w:rFonts w:ascii="Bookman Old Style" w:eastAsia="Times New Roman" w:hAnsi="Bookman Old Style"/>
                <w:i/>
                <w:color w:val="221F1F"/>
                <w:sz w:val="18"/>
                <w:szCs w:val="18"/>
              </w:rPr>
              <w:t>Trietanolamin</w:t>
            </w:r>
          </w:p>
        </w:tc>
        <w:tc>
          <w:tcPr>
            <w:tcW w:w="649" w:type="dxa"/>
            <w:tcBorders>
              <w:top w:val="single" w:sz="4" w:space="0" w:color="auto"/>
              <w:bottom w:val="single" w:sz="4" w:space="0" w:color="auto"/>
            </w:tcBorders>
          </w:tcPr>
          <w:p w14:paraId="6C3D6248"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0,5</w:t>
            </w:r>
          </w:p>
        </w:tc>
        <w:tc>
          <w:tcPr>
            <w:tcW w:w="649" w:type="dxa"/>
            <w:tcBorders>
              <w:top w:val="single" w:sz="4" w:space="0" w:color="auto"/>
              <w:bottom w:val="single" w:sz="4" w:space="0" w:color="auto"/>
            </w:tcBorders>
          </w:tcPr>
          <w:p w14:paraId="09F05082"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0,5</w:t>
            </w:r>
          </w:p>
        </w:tc>
        <w:tc>
          <w:tcPr>
            <w:tcW w:w="649" w:type="dxa"/>
            <w:tcBorders>
              <w:top w:val="single" w:sz="4" w:space="0" w:color="auto"/>
              <w:bottom w:val="single" w:sz="4" w:space="0" w:color="auto"/>
            </w:tcBorders>
          </w:tcPr>
          <w:p w14:paraId="634D3183"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0,5</w:t>
            </w:r>
          </w:p>
        </w:tc>
        <w:tc>
          <w:tcPr>
            <w:tcW w:w="1166" w:type="dxa"/>
            <w:tcBorders>
              <w:top w:val="single" w:sz="4" w:space="0" w:color="auto"/>
              <w:bottom w:val="single" w:sz="4" w:space="0" w:color="auto"/>
            </w:tcBorders>
          </w:tcPr>
          <w:p w14:paraId="237167D3"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Emulgator</w:t>
            </w:r>
          </w:p>
        </w:tc>
      </w:tr>
      <w:tr w:rsidR="00AD5201" w:rsidRPr="00AD5201" w14:paraId="6A896769" w14:textId="77777777" w:rsidTr="00AD5201">
        <w:tc>
          <w:tcPr>
            <w:tcW w:w="1373" w:type="dxa"/>
            <w:tcBorders>
              <w:top w:val="single" w:sz="4" w:space="0" w:color="auto"/>
              <w:bottom w:val="single" w:sz="4" w:space="0" w:color="auto"/>
            </w:tcBorders>
          </w:tcPr>
          <w:p w14:paraId="7990F16D"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Asam Stearat</w:t>
            </w:r>
          </w:p>
        </w:tc>
        <w:tc>
          <w:tcPr>
            <w:tcW w:w="649" w:type="dxa"/>
            <w:tcBorders>
              <w:top w:val="single" w:sz="4" w:space="0" w:color="auto"/>
              <w:bottom w:val="single" w:sz="4" w:space="0" w:color="auto"/>
            </w:tcBorders>
          </w:tcPr>
          <w:p w14:paraId="488ADAB5"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1,25</w:t>
            </w:r>
          </w:p>
        </w:tc>
        <w:tc>
          <w:tcPr>
            <w:tcW w:w="649" w:type="dxa"/>
            <w:tcBorders>
              <w:top w:val="single" w:sz="4" w:space="0" w:color="auto"/>
              <w:bottom w:val="single" w:sz="4" w:space="0" w:color="auto"/>
            </w:tcBorders>
          </w:tcPr>
          <w:p w14:paraId="11F53231"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1,25</w:t>
            </w:r>
          </w:p>
        </w:tc>
        <w:tc>
          <w:tcPr>
            <w:tcW w:w="649" w:type="dxa"/>
            <w:tcBorders>
              <w:top w:val="single" w:sz="4" w:space="0" w:color="auto"/>
              <w:bottom w:val="single" w:sz="4" w:space="0" w:color="auto"/>
            </w:tcBorders>
          </w:tcPr>
          <w:p w14:paraId="06932C84"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1,25</w:t>
            </w:r>
          </w:p>
        </w:tc>
        <w:tc>
          <w:tcPr>
            <w:tcW w:w="1166" w:type="dxa"/>
            <w:tcBorders>
              <w:top w:val="single" w:sz="4" w:space="0" w:color="auto"/>
              <w:bottom w:val="single" w:sz="4" w:space="0" w:color="auto"/>
            </w:tcBorders>
          </w:tcPr>
          <w:p w14:paraId="571F6598"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Emulsifier</w:t>
            </w:r>
          </w:p>
        </w:tc>
      </w:tr>
      <w:tr w:rsidR="00AD5201" w:rsidRPr="00AD5201" w14:paraId="41CD27CE" w14:textId="77777777" w:rsidTr="00AD5201">
        <w:tc>
          <w:tcPr>
            <w:tcW w:w="1373" w:type="dxa"/>
            <w:tcBorders>
              <w:top w:val="single" w:sz="4" w:space="0" w:color="auto"/>
              <w:bottom w:val="single" w:sz="4" w:space="0" w:color="auto"/>
            </w:tcBorders>
          </w:tcPr>
          <w:p w14:paraId="34511644" w14:textId="77777777" w:rsidR="00AD5201" w:rsidRPr="00AD5201" w:rsidRDefault="00AD5201" w:rsidP="00867DC6">
            <w:pPr>
              <w:jc w:val="center"/>
              <w:rPr>
                <w:rFonts w:ascii="Bookman Old Style" w:eastAsia="Times New Roman" w:hAnsi="Bookman Old Style"/>
                <w:i/>
                <w:color w:val="221F1F"/>
                <w:sz w:val="18"/>
                <w:szCs w:val="18"/>
              </w:rPr>
            </w:pPr>
            <w:r w:rsidRPr="00AD5201">
              <w:rPr>
                <w:rFonts w:ascii="Bookman Old Style" w:eastAsia="Times New Roman" w:hAnsi="Bookman Old Style"/>
                <w:i/>
                <w:color w:val="221F1F"/>
                <w:sz w:val="18"/>
                <w:szCs w:val="18"/>
              </w:rPr>
              <w:t>Virgin Coconut Oil</w:t>
            </w:r>
          </w:p>
        </w:tc>
        <w:tc>
          <w:tcPr>
            <w:tcW w:w="649" w:type="dxa"/>
            <w:tcBorders>
              <w:top w:val="single" w:sz="4" w:space="0" w:color="auto"/>
              <w:bottom w:val="single" w:sz="4" w:space="0" w:color="auto"/>
            </w:tcBorders>
          </w:tcPr>
          <w:p w14:paraId="25CFF07E"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5</w:t>
            </w:r>
          </w:p>
        </w:tc>
        <w:tc>
          <w:tcPr>
            <w:tcW w:w="649" w:type="dxa"/>
            <w:tcBorders>
              <w:top w:val="single" w:sz="4" w:space="0" w:color="auto"/>
              <w:bottom w:val="single" w:sz="4" w:space="0" w:color="auto"/>
            </w:tcBorders>
          </w:tcPr>
          <w:p w14:paraId="3549D7AF"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5</w:t>
            </w:r>
          </w:p>
        </w:tc>
        <w:tc>
          <w:tcPr>
            <w:tcW w:w="649" w:type="dxa"/>
            <w:tcBorders>
              <w:top w:val="single" w:sz="4" w:space="0" w:color="auto"/>
              <w:bottom w:val="single" w:sz="4" w:space="0" w:color="auto"/>
            </w:tcBorders>
          </w:tcPr>
          <w:p w14:paraId="6CE41A1B"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5</w:t>
            </w:r>
          </w:p>
        </w:tc>
        <w:tc>
          <w:tcPr>
            <w:tcW w:w="1166" w:type="dxa"/>
            <w:tcBorders>
              <w:top w:val="single" w:sz="4" w:space="0" w:color="auto"/>
              <w:bottom w:val="single" w:sz="4" w:space="0" w:color="auto"/>
            </w:tcBorders>
          </w:tcPr>
          <w:p w14:paraId="05CA6D3B"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Emolien</w:t>
            </w:r>
          </w:p>
        </w:tc>
      </w:tr>
      <w:tr w:rsidR="00AD5201" w:rsidRPr="00AD5201" w14:paraId="1D99323D" w14:textId="77777777" w:rsidTr="00AD5201">
        <w:tc>
          <w:tcPr>
            <w:tcW w:w="1373" w:type="dxa"/>
            <w:tcBorders>
              <w:top w:val="single" w:sz="4" w:space="0" w:color="auto"/>
              <w:bottom w:val="single" w:sz="4" w:space="0" w:color="auto"/>
            </w:tcBorders>
          </w:tcPr>
          <w:p w14:paraId="767CEC97" w14:textId="77777777" w:rsidR="00AD5201" w:rsidRPr="00AD5201" w:rsidRDefault="00AD5201" w:rsidP="00867DC6">
            <w:pPr>
              <w:jc w:val="center"/>
              <w:rPr>
                <w:rFonts w:ascii="Bookman Old Style" w:eastAsia="Times New Roman" w:hAnsi="Bookman Old Style"/>
                <w:i/>
                <w:color w:val="221F1F"/>
                <w:sz w:val="18"/>
                <w:szCs w:val="18"/>
              </w:rPr>
            </w:pPr>
            <w:r w:rsidRPr="00AD5201">
              <w:rPr>
                <w:rFonts w:ascii="Bookman Old Style" w:eastAsia="Times New Roman" w:hAnsi="Bookman Old Style"/>
                <w:i/>
                <w:color w:val="221F1F"/>
                <w:sz w:val="18"/>
                <w:szCs w:val="18"/>
              </w:rPr>
              <w:t>Aloe Vera Fragrence Oil</w:t>
            </w:r>
          </w:p>
        </w:tc>
        <w:tc>
          <w:tcPr>
            <w:tcW w:w="649" w:type="dxa"/>
            <w:tcBorders>
              <w:top w:val="single" w:sz="4" w:space="0" w:color="auto"/>
              <w:bottom w:val="single" w:sz="4" w:space="0" w:color="auto"/>
            </w:tcBorders>
          </w:tcPr>
          <w:p w14:paraId="318D4622"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q.s</w:t>
            </w:r>
          </w:p>
        </w:tc>
        <w:tc>
          <w:tcPr>
            <w:tcW w:w="649" w:type="dxa"/>
            <w:tcBorders>
              <w:top w:val="single" w:sz="4" w:space="0" w:color="auto"/>
              <w:bottom w:val="single" w:sz="4" w:space="0" w:color="auto"/>
            </w:tcBorders>
          </w:tcPr>
          <w:p w14:paraId="13C841C6"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q.s</w:t>
            </w:r>
          </w:p>
        </w:tc>
        <w:tc>
          <w:tcPr>
            <w:tcW w:w="649" w:type="dxa"/>
            <w:tcBorders>
              <w:top w:val="single" w:sz="4" w:space="0" w:color="auto"/>
              <w:bottom w:val="single" w:sz="4" w:space="0" w:color="auto"/>
            </w:tcBorders>
          </w:tcPr>
          <w:p w14:paraId="048FFDFC"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q.s</w:t>
            </w:r>
          </w:p>
        </w:tc>
        <w:tc>
          <w:tcPr>
            <w:tcW w:w="1166" w:type="dxa"/>
            <w:tcBorders>
              <w:top w:val="single" w:sz="4" w:space="0" w:color="auto"/>
              <w:bottom w:val="single" w:sz="4" w:space="0" w:color="auto"/>
            </w:tcBorders>
          </w:tcPr>
          <w:p w14:paraId="230F50BD"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Pengaroma</w:t>
            </w:r>
          </w:p>
        </w:tc>
      </w:tr>
      <w:tr w:rsidR="00AD5201" w:rsidRPr="00AD5201" w14:paraId="21571B96" w14:textId="77777777" w:rsidTr="00AD5201">
        <w:tc>
          <w:tcPr>
            <w:tcW w:w="1373" w:type="dxa"/>
            <w:tcBorders>
              <w:top w:val="single" w:sz="4" w:space="0" w:color="auto"/>
              <w:bottom w:val="single" w:sz="4" w:space="0" w:color="auto"/>
            </w:tcBorders>
          </w:tcPr>
          <w:p w14:paraId="1928FDE4"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Aquadest</w:t>
            </w:r>
          </w:p>
        </w:tc>
        <w:tc>
          <w:tcPr>
            <w:tcW w:w="649" w:type="dxa"/>
            <w:tcBorders>
              <w:top w:val="single" w:sz="4" w:space="0" w:color="auto"/>
              <w:bottom w:val="single" w:sz="4" w:space="0" w:color="auto"/>
            </w:tcBorders>
          </w:tcPr>
          <w:p w14:paraId="54A0E25A"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Ad 50ml</w:t>
            </w:r>
          </w:p>
        </w:tc>
        <w:tc>
          <w:tcPr>
            <w:tcW w:w="649" w:type="dxa"/>
            <w:tcBorders>
              <w:top w:val="single" w:sz="4" w:space="0" w:color="auto"/>
              <w:bottom w:val="single" w:sz="4" w:space="0" w:color="auto"/>
            </w:tcBorders>
          </w:tcPr>
          <w:p w14:paraId="3B187E52"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Ad 50ml</w:t>
            </w:r>
          </w:p>
        </w:tc>
        <w:tc>
          <w:tcPr>
            <w:tcW w:w="649" w:type="dxa"/>
            <w:tcBorders>
              <w:top w:val="single" w:sz="4" w:space="0" w:color="auto"/>
              <w:bottom w:val="single" w:sz="4" w:space="0" w:color="auto"/>
            </w:tcBorders>
          </w:tcPr>
          <w:p w14:paraId="35B2F1A5"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Ad 50ml</w:t>
            </w:r>
          </w:p>
        </w:tc>
        <w:tc>
          <w:tcPr>
            <w:tcW w:w="1166" w:type="dxa"/>
            <w:tcBorders>
              <w:top w:val="single" w:sz="4" w:space="0" w:color="auto"/>
              <w:bottom w:val="single" w:sz="4" w:space="0" w:color="auto"/>
            </w:tcBorders>
          </w:tcPr>
          <w:p w14:paraId="2CED2953" w14:textId="77777777" w:rsidR="00AD5201" w:rsidRPr="00AD5201" w:rsidRDefault="00AD5201" w:rsidP="00867DC6">
            <w:pPr>
              <w:jc w:val="center"/>
              <w:rPr>
                <w:rFonts w:ascii="Bookman Old Style" w:eastAsia="Times New Roman" w:hAnsi="Bookman Old Style"/>
                <w:color w:val="221F1F"/>
                <w:sz w:val="18"/>
                <w:szCs w:val="18"/>
              </w:rPr>
            </w:pPr>
            <w:r w:rsidRPr="00AD5201">
              <w:rPr>
                <w:rFonts w:ascii="Bookman Old Style" w:eastAsia="Times New Roman" w:hAnsi="Bookman Old Style"/>
                <w:color w:val="221F1F"/>
                <w:sz w:val="18"/>
                <w:szCs w:val="18"/>
              </w:rPr>
              <w:t>Pelarut</w:t>
            </w:r>
          </w:p>
        </w:tc>
      </w:tr>
    </w:tbl>
    <w:p w14:paraId="0C696F3D" w14:textId="17C7B4BC" w:rsidR="00AD5201" w:rsidRPr="00AD5201" w:rsidRDefault="00AD5201" w:rsidP="00CE4E69">
      <w:pPr>
        <w:jc w:val="both"/>
        <w:rPr>
          <w:rFonts w:ascii="Bookman Old Style" w:hAnsi="Bookman Old Style" w:cs="Arial"/>
          <w:sz w:val="18"/>
          <w:szCs w:val="18"/>
          <w:lang w:val="en-ID"/>
        </w:rPr>
      </w:pPr>
      <w:r w:rsidRPr="00AD5201">
        <w:rPr>
          <w:rFonts w:ascii="Bookman Old Style" w:hAnsi="Bookman Old Style" w:cs="Arial"/>
          <w:bCs/>
          <w:color w:val="221F1F"/>
          <w:sz w:val="18"/>
          <w:szCs w:val="18"/>
          <w:lang w:eastAsia="en-ID"/>
        </w:rPr>
        <w:t>q.s (</w:t>
      </w:r>
      <w:r w:rsidRPr="00AD5201">
        <w:rPr>
          <w:rFonts w:ascii="Bookman Old Style" w:hAnsi="Bookman Old Style" w:cs="Arial"/>
          <w:bCs/>
          <w:i/>
          <w:iCs/>
          <w:color w:val="221F1F"/>
          <w:sz w:val="18"/>
          <w:szCs w:val="18"/>
          <w:lang w:val="id-ID" w:eastAsia="en-ID"/>
        </w:rPr>
        <w:t>quantum sufficit</w:t>
      </w:r>
      <w:r w:rsidRPr="00AD5201">
        <w:rPr>
          <w:rFonts w:ascii="Bookman Old Style" w:hAnsi="Bookman Old Style" w:cs="Arial"/>
          <w:bCs/>
          <w:color w:val="221F1F"/>
          <w:sz w:val="18"/>
          <w:szCs w:val="18"/>
          <w:lang w:val="id-ID" w:eastAsia="en-ID"/>
        </w:rPr>
        <w:t>)</w:t>
      </w:r>
      <w:r w:rsidRPr="00AD5201">
        <w:rPr>
          <w:rFonts w:ascii="Bookman Old Style" w:hAnsi="Bookman Old Style" w:cs="Arial"/>
          <w:bCs/>
          <w:color w:val="221F1F"/>
          <w:sz w:val="18"/>
          <w:szCs w:val="18"/>
          <w:lang w:eastAsia="en-ID"/>
        </w:rPr>
        <w:t>: secukupnya; biasa digunakan pada bahan tambahan (pengaroma, pewarna, atau perasa)</w:t>
      </w:r>
    </w:p>
    <w:p w14:paraId="65DE9E20" w14:textId="4CC7E198" w:rsidR="00AD5201" w:rsidRDefault="00AD5201" w:rsidP="00CE4E69">
      <w:pPr>
        <w:jc w:val="both"/>
        <w:rPr>
          <w:rFonts w:ascii="Bookman Old Style" w:hAnsi="Bookman Old Style" w:cs="Arial"/>
          <w:sz w:val="18"/>
          <w:szCs w:val="18"/>
          <w:lang w:val="en-ID"/>
        </w:rPr>
      </w:pPr>
      <w:r>
        <w:rPr>
          <w:rFonts w:ascii="Arial" w:hAnsi="Arial" w:cs="Arial"/>
          <w:noProof/>
          <w:sz w:val="22"/>
          <w:szCs w:val="22"/>
        </w:rPr>
        <w:drawing>
          <wp:inline distT="0" distB="0" distL="0" distR="0" wp14:anchorId="2B26675A" wp14:editId="064093D2">
            <wp:extent cx="2917190" cy="1813772"/>
            <wp:effectExtent l="0" t="0" r="0" b="0"/>
            <wp:docPr id="1028"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3"/>
                    <pic:cNvPicPr/>
                  </pic:nvPicPr>
                  <pic:blipFill>
                    <a:blip r:embed="rId12" cstate="print"/>
                    <a:srcRect l="2287" t="2187" r="1220" b="6115"/>
                    <a:stretch/>
                  </pic:blipFill>
                  <pic:spPr>
                    <a:xfrm>
                      <a:off x="0" y="0"/>
                      <a:ext cx="2917190" cy="1813772"/>
                    </a:xfrm>
                    <a:prstGeom prst="rect">
                      <a:avLst/>
                    </a:prstGeom>
                    <a:ln>
                      <a:noFill/>
                    </a:ln>
                  </pic:spPr>
                </pic:pic>
              </a:graphicData>
            </a:graphic>
          </wp:inline>
        </w:drawing>
      </w:r>
    </w:p>
    <w:p w14:paraId="4990495C" w14:textId="656A972A" w:rsidR="00AD5201" w:rsidRPr="00AD5201" w:rsidRDefault="00AD5201" w:rsidP="00AD5201">
      <w:pPr>
        <w:jc w:val="center"/>
        <w:rPr>
          <w:rFonts w:ascii="Bookman Old Style" w:hAnsi="Bookman Old Style" w:cs="Arial"/>
          <w:sz w:val="18"/>
          <w:szCs w:val="18"/>
          <w:lang w:val="en-ID"/>
        </w:rPr>
      </w:pPr>
      <w:r w:rsidRPr="00AD5201">
        <w:rPr>
          <w:rFonts w:ascii="Bookman Old Style" w:hAnsi="Bookman Old Style" w:cs="Arial"/>
          <w:bCs/>
          <w:color w:val="221F1F"/>
          <w:sz w:val="18"/>
          <w:szCs w:val="18"/>
          <w:lang w:eastAsia="en-ID"/>
        </w:rPr>
        <w:t>Gambar 3. Proses Pembuatan Formulasi</w:t>
      </w:r>
    </w:p>
    <w:p w14:paraId="03B04225" w14:textId="7B4DBE01" w:rsidR="00CE4E69" w:rsidRDefault="00CE4E69" w:rsidP="00AD5201">
      <w:pPr>
        <w:jc w:val="both"/>
        <w:rPr>
          <w:rFonts w:ascii="Bookman Old Style" w:hAnsi="Bookman Old Style" w:cs="Arial"/>
          <w:sz w:val="18"/>
          <w:szCs w:val="18"/>
          <w:lang w:val="en-ID"/>
        </w:rPr>
      </w:pPr>
    </w:p>
    <w:p w14:paraId="1BE64941" w14:textId="15D3AA45" w:rsidR="00CE4E69" w:rsidRPr="00884378" w:rsidRDefault="00AD5201" w:rsidP="00CE4E69">
      <w:pPr>
        <w:jc w:val="both"/>
        <w:rPr>
          <w:rFonts w:ascii="Bookman Old Style" w:hAnsi="Bookman Old Style" w:cs="Arial"/>
          <w:b/>
          <w:bCs/>
          <w:sz w:val="18"/>
          <w:szCs w:val="18"/>
          <w:lang w:val="en-ID"/>
        </w:rPr>
      </w:pPr>
      <w:r>
        <w:rPr>
          <w:rFonts w:ascii="Bookman Old Style" w:hAnsi="Bookman Old Style" w:cs="Arial"/>
          <w:b/>
          <w:bCs/>
          <w:sz w:val="18"/>
          <w:szCs w:val="18"/>
          <w:lang w:val="en-ID"/>
        </w:rPr>
        <w:t>Uji Organoleptik</w:t>
      </w:r>
    </w:p>
    <w:p w14:paraId="6C9504D9" w14:textId="30D61D4C" w:rsidR="00CE4E69" w:rsidRDefault="00AD5201" w:rsidP="00CE4E69">
      <w:pPr>
        <w:spacing w:after="120"/>
        <w:jc w:val="both"/>
        <w:rPr>
          <w:rFonts w:ascii="Bookman Old Style" w:hAnsi="Bookman Old Style" w:cs="Arial"/>
          <w:sz w:val="18"/>
          <w:szCs w:val="18"/>
        </w:rPr>
      </w:pPr>
      <w:r w:rsidRPr="00AD5201">
        <w:rPr>
          <w:rFonts w:ascii="Bookman Old Style" w:hAnsi="Bookman Old Style" w:cs="Arial"/>
          <w:bCs/>
          <w:sz w:val="18"/>
          <w:szCs w:val="18"/>
          <w:lang w:val="en-GB"/>
        </w:rPr>
        <w:t>Uji Organoleptik dilakukan dengan mengamati warna, aroma, dan bentuk fisik sediaan. Hasil diamati secara visual dan dicatat perbedaan antar formula</w:t>
      </w:r>
      <w:r>
        <w:rPr>
          <w:rFonts w:ascii="Arial" w:hAnsi="Arial" w:cs="Arial"/>
          <w:bCs/>
          <w:sz w:val="22"/>
          <w:szCs w:val="22"/>
          <w:lang w:val="en-GB"/>
        </w:rPr>
        <w:t>.</w:t>
      </w:r>
    </w:p>
    <w:p w14:paraId="1A9CBA29" w14:textId="360B942D" w:rsidR="00AD5201" w:rsidRDefault="00AD5201" w:rsidP="00CE4E69">
      <w:pPr>
        <w:spacing w:after="120"/>
        <w:jc w:val="both"/>
        <w:rPr>
          <w:rFonts w:ascii="Bookman Old Style" w:hAnsi="Bookman Old Style" w:cs="Arial"/>
          <w:b/>
          <w:bCs/>
          <w:sz w:val="18"/>
          <w:szCs w:val="18"/>
          <w:lang w:val="en-ID"/>
        </w:rPr>
      </w:pPr>
      <w:r>
        <w:rPr>
          <w:rFonts w:ascii="Bookman Old Style" w:hAnsi="Bookman Old Style" w:cs="Arial"/>
          <w:b/>
          <w:bCs/>
          <w:sz w:val="18"/>
          <w:szCs w:val="18"/>
          <w:lang w:val="en-ID"/>
        </w:rPr>
        <w:t>Uji Homogenitas</w:t>
      </w:r>
    </w:p>
    <w:p w14:paraId="77305B04" w14:textId="5786D7C3" w:rsidR="00AD5201" w:rsidRDefault="00AD5201" w:rsidP="00CE4E69">
      <w:pPr>
        <w:spacing w:after="120"/>
        <w:jc w:val="both"/>
        <w:rPr>
          <w:rFonts w:ascii="Bookman Old Style" w:hAnsi="Bookman Old Style" w:cs="Arial"/>
          <w:bCs/>
          <w:color w:val="221F1F"/>
          <w:sz w:val="18"/>
          <w:szCs w:val="18"/>
          <w:lang w:eastAsia="en-ID"/>
        </w:rPr>
      </w:pPr>
      <w:r w:rsidRPr="00AD5201">
        <w:rPr>
          <w:rFonts w:ascii="Bookman Old Style" w:hAnsi="Bookman Old Style" w:cs="Arial"/>
          <w:bCs/>
          <w:color w:val="221F1F"/>
          <w:sz w:val="18"/>
          <w:szCs w:val="18"/>
          <w:lang w:eastAsia="en-ID"/>
        </w:rPr>
        <w:t>Uji homogenitas dilakukan dengan mengoleskan sejumlah sampel sediaan pada kaca objek. Diamati adanya butiran kasar atau pemisahan fase di bawah cahaya terang.</w:t>
      </w:r>
    </w:p>
    <w:p w14:paraId="4295FE2B" w14:textId="6DCA6414" w:rsidR="00AD5201" w:rsidRDefault="00AD5201" w:rsidP="00CE4E69">
      <w:pPr>
        <w:spacing w:after="120"/>
        <w:jc w:val="both"/>
        <w:rPr>
          <w:rFonts w:ascii="Bookman Old Style" w:hAnsi="Bookman Old Style" w:cs="Arial"/>
          <w:b/>
          <w:bCs/>
          <w:sz w:val="18"/>
          <w:szCs w:val="18"/>
        </w:rPr>
      </w:pPr>
      <w:r w:rsidRPr="00AD5201">
        <w:rPr>
          <w:rFonts w:ascii="Bookman Old Style" w:hAnsi="Bookman Old Style" w:cs="Arial"/>
          <w:b/>
          <w:bCs/>
          <w:sz w:val="18"/>
          <w:szCs w:val="18"/>
        </w:rPr>
        <w:t>Uji pH</w:t>
      </w:r>
    </w:p>
    <w:p w14:paraId="08B094EF" w14:textId="4DF40AF5" w:rsidR="00AD5201" w:rsidRDefault="00AD5201" w:rsidP="00CE4E69">
      <w:pPr>
        <w:spacing w:after="120"/>
        <w:jc w:val="both"/>
        <w:rPr>
          <w:rFonts w:ascii="Arial" w:hAnsi="Arial" w:cs="Arial"/>
          <w:bCs/>
          <w:color w:val="221F1F"/>
          <w:sz w:val="22"/>
          <w:szCs w:val="22"/>
          <w:lang w:eastAsia="en-ID"/>
        </w:rPr>
      </w:pPr>
      <w:r w:rsidRPr="00AD5201">
        <w:rPr>
          <w:rFonts w:ascii="Bookman Old Style" w:hAnsi="Bookman Old Style" w:cs="Arial"/>
          <w:bCs/>
          <w:color w:val="221F1F"/>
          <w:sz w:val="18"/>
          <w:szCs w:val="18"/>
          <w:lang w:eastAsia="en-ID"/>
        </w:rPr>
        <w:t>Sampel sediaan diukur menggunakan pH meter yang telah dikalibrasi. Nilai pH dicatat dan dibandingkan dengan standar SNI (4,5-8,0)</w:t>
      </w:r>
      <w:r>
        <w:rPr>
          <w:rFonts w:ascii="Arial" w:hAnsi="Arial" w:cs="Arial"/>
          <w:bCs/>
          <w:color w:val="221F1F"/>
          <w:sz w:val="22"/>
          <w:szCs w:val="22"/>
          <w:lang w:eastAsia="en-ID"/>
        </w:rPr>
        <w:t>.</w:t>
      </w:r>
    </w:p>
    <w:p w14:paraId="41B4F267" w14:textId="01872C25" w:rsidR="00AD5201" w:rsidRDefault="00AD5201" w:rsidP="00CE4E69">
      <w:pPr>
        <w:spacing w:after="120"/>
        <w:jc w:val="both"/>
        <w:rPr>
          <w:rFonts w:ascii="Bookman Old Style" w:hAnsi="Bookman Old Style"/>
          <w:b/>
          <w:color w:val="221F1F"/>
          <w:sz w:val="18"/>
          <w:szCs w:val="18"/>
          <w:lang w:eastAsia="en-ID"/>
        </w:rPr>
      </w:pPr>
      <w:r w:rsidRPr="00AD5201">
        <w:rPr>
          <w:rFonts w:ascii="Bookman Old Style" w:hAnsi="Bookman Old Style"/>
          <w:b/>
          <w:color w:val="221F1F"/>
          <w:sz w:val="18"/>
          <w:szCs w:val="18"/>
          <w:lang w:eastAsia="en-ID"/>
        </w:rPr>
        <w:t>Uji Viskositas</w:t>
      </w:r>
    </w:p>
    <w:p w14:paraId="3551D6DC" w14:textId="0EED9299" w:rsidR="00AD5201" w:rsidRDefault="00AD5201" w:rsidP="00CE4E69">
      <w:pPr>
        <w:spacing w:after="120"/>
        <w:jc w:val="both"/>
        <w:rPr>
          <w:rFonts w:ascii="Bookman Old Style" w:hAnsi="Bookman Old Style" w:cs="Arial"/>
          <w:bCs/>
          <w:color w:val="221F1F"/>
          <w:sz w:val="18"/>
          <w:szCs w:val="18"/>
          <w:lang w:eastAsia="en-ID"/>
        </w:rPr>
      </w:pPr>
      <w:r w:rsidRPr="00AD5201">
        <w:rPr>
          <w:rFonts w:ascii="Bookman Old Style" w:hAnsi="Bookman Old Style" w:cs="Arial"/>
          <w:bCs/>
          <w:color w:val="221F1F"/>
          <w:sz w:val="18"/>
          <w:szCs w:val="18"/>
          <w:lang w:eastAsia="en-ID"/>
        </w:rPr>
        <w:t>Uji viskositas dilakukan dengan mengukur sampel menggunakan viskometer digital. Sampel dimasukkan ke dalam wadah, rotor dipasang, kemudian alat dijalankan. Nilai viskositas dicatat untuk masing-masing formula.</w:t>
      </w:r>
    </w:p>
    <w:p w14:paraId="57CDC2F3" w14:textId="0458493F" w:rsidR="00AD5201" w:rsidRDefault="00AD5201" w:rsidP="00CE4E69">
      <w:pPr>
        <w:spacing w:after="120"/>
        <w:jc w:val="both"/>
        <w:rPr>
          <w:rFonts w:ascii="Bookman Old Style" w:hAnsi="Bookman Old Style"/>
          <w:b/>
          <w:color w:val="221F1F"/>
          <w:sz w:val="18"/>
          <w:szCs w:val="18"/>
          <w:lang w:eastAsia="en-ID"/>
        </w:rPr>
      </w:pPr>
      <w:r w:rsidRPr="00AD5201">
        <w:rPr>
          <w:rFonts w:ascii="Bookman Old Style" w:hAnsi="Bookman Old Style"/>
          <w:b/>
          <w:color w:val="221F1F"/>
          <w:sz w:val="18"/>
          <w:szCs w:val="18"/>
          <w:lang w:eastAsia="en-ID"/>
        </w:rPr>
        <w:t xml:space="preserve">Uji </w:t>
      </w:r>
      <w:r w:rsidRPr="00AD5201">
        <w:rPr>
          <w:rFonts w:ascii="Bookman Old Style" w:hAnsi="Bookman Old Style"/>
          <w:b/>
          <w:i/>
          <w:iCs/>
          <w:color w:val="221F1F"/>
          <w:sz w:val="18"/>
          <w:szCs w:val="18"/>
          <w:lang w:eastAsia="en-ID"/>
        </w:rPr>
        <w:t>Sun Protection Factor</w:t>
      </w:r>
      <w:r w:rsidRPr="00AD5201">
        <w:rPr>
          <w:rFonts w:ascii="Bookman Old Style" w:hAnsi="Bookman Old Style"/>
          <w:b/>
          <w:color w:val="221F1F"/>
          <w:sz w:val="18"/>
          <w:szCs w:val="18"/>
          <w:lang w:eastAsia="en-ID"/>
        </w:rPr>
        <w:t xml:space="preserve"> (SPF)</w:t>
      </w:r>
    </w:p>
    <w:p w14:paraId="77E62333" w14:textId="7A7AC50A" w:rsidR="00AD5201" w:rsidRDefault="00AD5201" w:rsidP="00CE4E69">
      <w:pPr>
        <w:spacing w:after="120"/>
        <w:jc w:val="both"/>
        <w:rPr>
          <w:rFonts w:ascii="Bookman Old Style" w:hAnsi="Bookman Old Style" w:cs="Arial"/>
          <w:bCs/>
          <w:color w:val="221F1F"/>
          <w:sz w:val="18"/>
          <w:szCs w:val="18"/>
          <w:lang w:eastAsia="en-ID"/>
        </w:rPr>
      </w:pPr>
      <w:r w:rsidRPr="00AD5201">
        <w:rPr>
          <w:rFonts w:ascii="Bookman Old Style" w:hAnsi="Bookman Old Style" w:cs="Arial"/>
          <w:bCs/>
          <w:color w:val="221F1F"/>
          <w:sz w:val="18"/>
          <w:szCs w:val="18"/>
          <w:lang w:eastAsia="en-ID"/>
        </w:rPr>
        <w:t xml:space="preserve">Uji SPF dilakukan untuk menilai kemampuan sediaan tabir surya dalam melindungi kulit dari paparan sinar ultraviolet (UV). Metode yang digunakan dalam penelitian ini adalah metode spektrometri UV-Vis, yang mengukur absorbansi sinar UV yang diserap oleh sampel pada rentang panjang gelombang 290 – 400 nm, spesifiknya pada </w:t>
      </w:r>
      <w:r w:rsidRPr="00AD5201">
        <w:rPr>
          <w:rFonts w:ascii="Bookman Old Style" w:hAnsi="Bookman Old Style" w:cs="Arial"/>
          <w:bCs/>
          <w:color w:val="221F1F"/>
          <w:sz w:val="18"/>
          <w:szCs w:val="18"/>
          <w:lang w:eastAsia="en-ID"/>
        </w:rPr>
        <w:lastRenderedPageBreak/>
        <w:t>panjang gelombang 305 nm. Perhitungan SPF dilakukan dengan menggunakan rumus berikut.</w:t>
      </w:r>
    </w:p>
    <w:p w14:paraId="427EC5D4" w14:textId="77777777" w:rsidR="00AD5201" w:rsidRPr="00AD5201" w:rsidRDefault="00AD5201" w:rsidP="00AD5201">
      <w:pPr>
        <w:pStyle w:val="BodyText"/>
        <w:rPr>
          <w:rFonts w:ascii="Bookman Old Style" w:hAnsi="Bookman Old Style" w:cs="Arial"/>
          <w:bCs/>
          <w:iCs/>
          <w:color w:val="221F1F"/>
          <w:sz w:val="18"/>
          <w:szCs w:val="18"/>
          <w:lang w:eastAsia="en-ID"/>
        </w:rPr>
      </w:pPr>
      <m:oMathPara>
        <m:oMath>
          <m:r>
            <m:rPr>
              <m:sty m:val="p"/>
            </m:rPr>
            <w:rPr>
              <w:rFonts w:ascii="Cambria Math" w:hAnsi="Cambria Math" w:cs="Arial"/>
              <w:color w:val="221F1F"/>
              <w:sz w:val="18"/>
              <w:szCs w:val="18"/>
              <w:lang w:eastAsia="en-ID"/>
            </w:rPr>
            <m:t xml:space="preserve">SPF= </m:t>
          </m:r>
          <m:nary>
            <m:naryPr>
              <m:limLoc m:val="subSup"/>
              <m:ctrlPr>
                <w:rPr>
                  <w:rFonts w:ascii="Cambria Math" w:hAnsi="Cambria Math" w:cs="Arial"/>
                  <w:bCs/>
                  <w:iCs/>
                  <w:color w:val="221F1F"/>
                  <w:sz w:val="18"/>
                  <w:szCs w:val="18"/>
                  <w:lang w:eastAsia="en-ID"/>
                </w:rPr>
              </m:ctrlPr>
            </m:naryPr>
            <m:sub>
              <m:r>
                <m:rPr>
                  <m:sty m:val="p"/>
                </m:rPr>
                <w:rPr>
                  <w:rFonts w:ascii="Cambria Math" w:hAnsi="Cambria Math" w:cs="Arial"/>
                  <w:color w:val="221F1F"/>
                  <w:sz w:val="18"/>
                  <w:szCs w:val="18"/>
                  <w:lang w:eastAsia="en-ID"/>
                </w:rPr>
                <m:t>290</m:t>
              </m:r>
            </m:sub>
            <m:sup>
              <m:r>
                <m:rPr>
                  <m:sty m:val="p"/>
                </m:rPr>
                <w:rPr>
                  <w:rFonts w:ascii="Cambria Math" w:hAnsi="Cambria Math" w:cs="Arial"/>
                  <w:color w:val="221F1F"/>
                  <w:sz w:val="18"/>
                  <w:szCs w:val="18"/>
                  <w:lang w:eastAsia="en-ID"/>
                </w:rPr>
                <m:t>400</m:t>
              </m:r>
            </m:sup>
            <m:e>
              <m:d>
                <m:dPr>
                  <m:ctrlPr>
                    <w:rPr>
                      <w:rFonts w:ascii="Cambria Math" w:hAnsi="Cambria Math" w:cs="Arial"/>
                      <w:bCs/>
                      <w:iCs/>
                      <w:color w:val="221F1F"/>
                      <w:sz w:val="18"/>
                      <w:szCs w:val="18"/>
                      <w:lang w:eastAsia="en-ID"/>
                    </w:rPr>
                  </m:ctrlPr>
                </m:dPr>
                <m:e>
                  <m:r>
                    <m:rPr>
                      <m:sty m:val="p"/>
                    </m:rPr>
                    <w:rPr>
                      <w:rFonts w:ascii="Cambria Math" w:hAnsi="Cambria Math" w:cs="Arial"/>
                      <w:color w:val="221F1F"/>
                      <w:sz w:val="18"/>
                      <w:szCs w:val="18"/>
                      <w:lang w:eastAsia="en-ID"/>
                    </w:rPr>
                    <m:t>EI</m:t>
                  </m:r>
                  <m:d>
                    <m:dPr>
                      <m:ctrlPr>
                        <w:rPr>
                          <w:rFonts w:ascii="Cambria Math" w:hAnsi="Cambria Math" w:cs="Arial"/>
                          <w:bCs/>
                          <w:iCs/>
                          <w:color w:val="221F1F"/>
                          <w:sz w:val="18"/>
                          <w:szCs w:val="18"/>
                          <w:lang w:eastAsia="en-ID"/>
                        </w:rPr>
                      </m:ctrlPr>
                    </m:dPr>
                    <m:e>
                      <m:r>
                        <m:rPr>
                          <m:sty m:val="p"/>
                        </m:rPr>
                        <w:rPr>
                          <w:rFonts w:ascii="Cambria Math" w:hAnsi="Cambria Math" w:cs="Arial"/>
                          <w:color w:val="221F1F"/>
                          <w:sz w:val="18"/>
                          <w:szCs w:val="18"/>
                          <w:lang w:eastAsia="en-ID"/>
                        </w:rPr>
                        <m:t>λ</m:t>
                      </m:r>
                    </m:e>
                  </m:d>
                  <m:r>
                    <m:rPr>
                      <m:sty m:val="p"/>
                    </m:rPr>
                    <w:rPr>
                      <w:rFonts w:ascii="Cambria Math" w:hAnsi="Cambria Math" w:cs="Arial"/>
                      <w:color w:val="221F1F"/>
                      <w:sz w:val="18"/>
                      <w:szCs w:val="18"/>
                      <w:lang w:eastAsia="en-ID"/>
                    </w:rPr>
                    <m:t>×I</m:t>
                  </m:r>
                  <m:d>
                    <m:dPr>
                      <m:ctrlPr>
                        <w:rPr>
                          <w:rFonts w:ascii="Cambria Math" w:hAnsi="Cambria Math" w:cs="Arial"/>
                          <w:bCs/>
                          <w:iCs/>
                          <w:color w:val="221F1F"/>
                          <w:sz w:val="18"/>
                          <w:szCs w:val="18"/>
                          <w:lang w:eastAsia="en-ID"/>
                        </w:rPr>
                      </m:ctrlPr>
                    </m:dPr>
                    <m:e>
                      <m:r>
                        <m:rPr>
                          <m:sty m:val="p"/>
                        </m:rPr>
                        <w:rPr>
                          <w:rFonts w:ascii="Cambria Math" w:hAnsi="Cambria Math" w:cs="Arial"/>
                          <w:color w:val="221F1F"/>
                          <w:sz w:val="18"/>
                          <w:szCs w:val="18"/>
                          <w:lang w:eastAsia="en-ID"/>
                        </w:rPr>
                        <m:t>λ</m:t>
                      </m:r>
                    </m:e>
                  </m:d>
                  <m:r>
                    <m:rPr>
                      <m:sty m:val="p"/>
                    </m:rPr>
                    <w:rPr>
                      <w:rFonts w:ascii="Cambria Math" w:hAnsi="Cambria Math" w:cs="Arial"/>
                      <w:color w:val="221F1F"/>
                      <w:sz w:val="18"/>
                      <w:szCs w:val="18"/>
                      <w:lang w:eastAsia="en-ID"/>
                    </w:rPr>
                    <m:t>×A</m:t>
                  </m:r>
                  <m:d>
                    <m:dPr>
                      <m:ctrlPr>
                        <w:rPr>
                          <w:rFonts w:ascii="Cambria Math" w:hAnsi="Cambria Math" w:cs="Arial"/>
                          <w:bCs/>
                          <w:iCs/>
                          <w:color w:val="221F1F"/>
                          <w:sz w:val="18"/>
                          <w:szCs w:val="18"/>
                          <w:lang w:eastAsia="en-ID"/>
                        </w:rPr>
                      </m:ctrlPr>
                    </m:dPr>
                    <m:e>
                      <m:r>
                        <m:rPr>
                          <m:sty m:val="p"/>
                        </m:rPr>
                        <w:rPr>
                          <w:rFonts w:ascii="Cambria Math" w:hAnsi="Cambria Math" w:cs="Arial"/>
                          <w:color w:val="221F1F"/>
                          <w:sz w:val="18"/>
                          <w:szCs w:val="18"/>
                          <w:lang w:eastAsia="en-ID"/>
                        </w:rPr>
                        <m:t>λ</m:t>
                      </m:r>
                    </m:e>
                  </m:d>
                </m:e>
              </m:d>
              <m:r>
                <m:rPr>
                  <m:sty m:val="p"/>
                </m:rPr>
                <w:rPr>
                  <w:rFonts w:ascii="Cambria Math" w:hAnsi="Cambria Math" w:cs="Arial"/>
                  <w:color w:val="221F1F"/>
                  <w:sz w:val="18"/>
                  <w:szCs w:val="18"/>
                  <w:lang w:eastAsia="en-ID"/>
                </w:rPr>
                <m:t>dλ</m:t>
              </m:r>
            </m:e>
          </m:nary>
        </m:oMath>
      </m:oMathPara>
    </w:p>
    <w:p w14:paraId="14781D80" w14:textId="77777777" w:rsidR="00AD5201" w:rsidRPr="00AD5201" w:rsidRDefault="00AD5201" w:rsidP="00AD5201">
      <w:pPr>
        <w:pStyle w:val="BodyText"/>
        <w:rPr>
          <w:rFonts w:ascii="Bookman Old Style" w:hAnsi="Bookman Old Style" w:cs="Arial"/>
          <w:bCs/>
          <w:iCs/>
          <w:color w:val="221F1F"/>
          <w:sz w:val="18"/>
          <w:szCs w:val="18"/>
          <w:lang w:eastAsia="en-ID"/>
        </w:rPr>
      </w:pPr>
      <w:r w:rsidRPr="00AD5201">
        <w:rPr>
          <w:rFonts w:ascii="Bookman Old Style" w:hAnsi="Bookman Old Style" w:cs="Arial"/>
          <w:bCs/>
          <w:iCs/>
          <w:color w:val="221F1F"/>
          <w:sz w:val="18"/>
          <w:szCs w:val="18"/>
          <w:lang w:eastAsia="en-ID"/>
        </w:rPr>
        <w:t>Di mana:</w:t>
      </w:r>
    </w:p>
    <w:p w14:paraId="5F1075EA" w14:textId="77777777" w:rsidR="00AD5201" w:rsidRPr="00AD5201" w:rsidRDefault="00AD5201" w:rsidP="00AD5201">
      <w:pPr>
        <w:pStyle w:val="BodyText"/>
        <w:numPr>
          <w:ilvl w:val="0"/>
          <w:numId w:val="4"/>
        </w:numPr>
        <w:spacing w:line="276" w:lineRule="auto"/>
        <w:rPr>
          <w:rFonts w:ascii="Bookman Old Style" w:hAnsi="Bookman Old Style" w:cs="Arial"/>
          <w:bCs/>
          <w:iCs/>
          <w:color w:val="221F1F"/>
          <w:sz w:val="18"/>
          <w:szCs w:val="18"/>
          <w:lang w:val="id-ID" w:eastAsia="en-ID"/>
        </w:rPr>
      </w:pPr>
      <m:oMath>
        <m:r>
          <m:rPr>
            <m:sty m:val="p"/>
          </m:rPr>
          <w:rPr>
            <w:rFonts w:ascii="Cambria Math" w:hAnsi="Cambria Math" w:cs="Arial"/>
            <w:color w:val="221F1F"/>
            <w:sz w:val="18"/>
            <w:szCs w:val="18"/>
            <w:lang w:eastAsia="en-ID"/>
          </w:rPr>
          <m:t>EI</m:t>
        </m:r>
        <m:d>
          <m:dPr>
            <m:ctrlPr>
              <w:rPr>
                <w:rFonts w:ascii="Cambria Math" w:hAnsi="Cambria Math" w:cs="Arial"/>
                <w:bCs/>
                <w:iCs/>
                <w:color w:val="221F1F"/>
                <w:sz w:val="18"/>
                <w:szCs w:val="18"/>
                <w:lang w:eastAsia="en-ID"/>
              </w:rPr>
            </m:ctrlPr>
          </m:dPr>
          <m:e>
            <m:r>
              <m:rPr>
                <m:sty m:val="p"/>
              </m:rPr>
              <w:rPr>
                <w:rFonts w:ascii="Cambria Math" w:hAnsi="Cambria Math" w:cs="Arial"/>
                <w:color w:val="221F1F"/>
                <w:sz w:val="18"/>
                <w:szCs w:val="18"/>
                <w:lang w:eastAsia="en-ID"/>
              </w:rPr>
              <m:t>λ</m:t>
            </m:r>
          </m:e>
        </m:d>
      </m:oMath>
      <w:r w:rsidRPr="00AD5201">
        <w:rPr>
          <w:rFonts w:ascii="Bookman Old Style" w:hAnsi="Bookman Old Style" w:cs="Arial"/>
          <w:bCs/>
          <w:iCs/>
          <w:color w:val="221F1F"/>
          <w:sz w:val="18"/>
          <w:szCs w:val="18"/>
          <w:lang w:eastAsia="en-ID"/>
        </w:rPr>
        <w:t xml:space="preserve"> adalah </w:t>
      </w:r>
      <w:r w:rsidRPr="00AD5201">
        <w:rPr>
          <w:rFonts w:ascii="Bookman Old Style" w:hAnsi="Bookman Old Style" w:cs="Arial"/>
          <w:bCs/>
          <w:i/>
          <w:color w:val="221F1F"/>
          <w:sz w:val="18"/>
          <w:szCs w:val="18"/>
          <w:lang w:val="id-ID" w:eastAsia="en-ID"/>
        </w:rPr>
        <w:t>erythemal effect spectrum</w:t>
      </w:r>
      <w:r w:rsidRPr="00AD5201">
        <w:rPr>
          <w:rFonts w:ascii="Bookman Old Style" w:hAnsi="Bookman Old Style" w:cs="Arial"/>
          <w:bCs/>
          <w:iCs/>
          <w:color w:val="221F1F"/>
          <w:sz w:val="18"/>
          <w:szCs w:val="18"/>
          <w:lang w:val="id-ID" w:eastAsia="en-ID"/>
        </w:rPr>
        <w:t>, yang menunjukkan sensitifitas kulit terhadap panjang gelombang UV tertentu.</w:t>
      </w:r>
    </w:p>
    <w:p w14:paraId="1588779D" w14:textId="77777777" w:rsidR="00AD5201" w:rsidRPr="00AD5201" w:rsidRDefault="00AD5201" w:rsidP="00AD5201">
      <w:pPr>
        <w:pStyle w:val="BodyText"/>
        <w:numPr>
          <w:ilvl w:val="0"/>
          <w:numId w:val="4"/>
        </w:numPr>
        <w:spacing w:line="276" w:lineRule="auto"/>
        <w:rPr>
          <w:rFonts w:ascii="Bookman Old Style" w:hAnsi="Bookman Old Style" w:cs="Arial"/>
          <w:bCs/>
          <w:iCs/>
          <w:color w:val="221F1F"/>
          <w:sz w:val="18"/>
          <w:szCs w:val="18"/>
          <w:lang w:val="id-ID" w:eastAsia="en-ID"/>
        </w:rPr>
      </w:pPr>
      <m:oMath>
        <m:r>
          <m:rPr>
            <m:sty m:val="p"/>
          </m:rPr>
          <w:rPr>
            <w:rFonts w:ascii="Cambria Math" w:hAnsi="Cambria Math" w:cs="Arial"/>
            <w:color w:val="221F1F"/>
            <w:sz w:val="18"/>
            <w:szCs w:val="18"/>
            <w:lang w:eastAsia="en-ID"/>
          </w:rPr>
          <m:t>I</m:t>
        </m:r>
        <m:d>
          <m:dPr>
            <m:ctrlPr>
              <w:rPr>
                <w:rFonts w:ascii="Cambria Math" w:hAnsi="Cambria Math" w:cs="Arial"/>
                <w:bCs/>
                <w:iCs/>
                <w:color w:val="221F1F"/>
                <w:sz w:val="18"/>
                <w:szCs w:val="18"/>
                <w:lang w:eastAsia="en-ID"/>
              </w:rPr>
            </m:ctrlPr>
          </m:dPr>
          <m:e>
            <m:r>
              <m:rPr>
                <m:sty m:val="p"/>
              </m:rPr>
              <w:rPr>
                <w:rFonts w:ascii="Cambria Math" w:hAnsi="Cambria Math" w:cs="Arial"/>
                <w:color w:val="221F1F"/>
                <w:sz w:val="18"/>
                <w:szCs w:val="18"/>
                <w:lang w:eastAsia="en-ID"/>
              </w:rPr>
              <m:t>λ</m:t>
            </m:r>
          </m:e>
        </m:d>
      </m:oMath>
      <w:r w:rsidRPr="00AD5201">
        <w:rPr>
          <w:rFonts w:ascii="Bookman Old Style" w:hAnsi="Bookman Old Style" w:cs="Arial"/>
          <w:bCs/>
          <w:iCs/>
          <w:color w:val="221F1F"/>
          <w:sz w:val="18"/>
          <w:szCs w:val="18"/>
          <w:lang w:eastAsia="en-ID"/>
        </w:rPr>
        <w:t xml:space="preserve"> adalah intensitas radiasi UV yang disimulasikan pada panjang gelombang tertentu.</w:t>
      </w:r>
    </w:p>
    <w:p w14:paraId="2F618133" w14:textId="77777777" w:rsidR="00AD5201" w:rsidRPr="00AD5201" w:rsidRDefault="00AD5201" w:rsidP="00AD5201">
      <w:pPr>
        <w:pStyle w:val="BodyText"/>
        <w:numPr>
          <w:ilvl w:val="0"/>
          <w:numId w:val="4"/>
        </w:numPr>
        <w:spacing w:line="276" w:lineRule="auto"/>
        <w:rPr>
          <w:rFonts w:ascii="Bookman Old Style" w:hAnsi="Bookman Old Style" w:cs="Arial"/>
          <w:bCs/>
          <w:iCs/>
          <w:color w:val="221F1F"/>
          <w:sz w:val="18"/>
          <w:szCs w:val="18"/>
          <w:lang w:val="id-ID" w:eastAsia="en-ID"/>
        </w:rPr>
      </w:pPr>
      <m:oMath>
        <m:r>
          <m:rPr>
            <m:sty m:val="p"/>
          </m:rPr>
          <w:rPr>
            <w:rFonts w:ascii="Cambria Math" w:hAnsi="Cambria Math" w:cs="Arial"/>
            <w:color w:val="221F1F"/>
            <w:sz w:val="18"/>
            <w:szCs w:val="18"/>
            <w:lang w:eastAsia="en-ID"/>
          </w:rPr>
          <m:t>A</m:t>
        </m:r>
        <m:d>
          <m:dPr>
            <m:ctrlPr>
              <w:rPr>
                <w:rFonts w:ascii="Cambria Math" w:hAnsi="Cambria Math" w:cs="Arial"/>
                <w:bCs/>
                <w:iCs/>
                <w:color w:val="221F1F"/>
                <w:sz w:val="18"/>
                <w:szCs w:val="18"/>
                <w:lang w:eastAsia="en-ID"/>
              </w:rPr>
            </m:ctrlPr>
          </m:dPr>
          <m:e>
            <m:r>
              <m:rPr>
                <m:sty m:val="p"/>
              </m:rPr>
              <w:rPr>
                <w:rFonts w:ascii="Cambria Math" w:hAnsi="Cambria Math" w:cs="Arial"/>
                <w:color w:val="221F1F"/>
                <w:sz w:val="18"/>
                <w:szCs w:val="18"/>
                <w:lang w:eastAsia="en-ID"/>
              </w:rPr>
              <m:t>λ</m:t>
            </m:r>
          </m:e>
        </m:d>
      </m:oMath>
      <w:r w:rsidRPr="00AD5201">
        <w:rPr>
          <w:rFonts w:ascii="Bookman Old Style" w:hAnsi="Bookman Old Style" w:cs="Arial"/>
          <w:bCs/>
          <w:iCs/>
          <w:color w:val="221F1F"/>
          <w:sz w:val="18"/>
          <w:szCs w:val="18"/>
          <w:lang w:eastAsia="en-ID"/>
        </w:rPr>
        <w:t xml:space="preserve"> adalah serapan sinar UV yang diukur pada sampel tabir surya dalam panjang gelombang tertentu.</w:t>
      </w:r>
    </w:p>
    <w:p w14:paraId="79184052" w14:textId="70A4BF56" w:rsidR="00AD5201" w:rsidRDefault="00AD5201" w:rsidP="00AD5201">
      <w:pPr>
        <w:spacing w:after="120"/>
        <w:jc w:val="both"/>
        <w:rPr>
          <w:rFonts w:ascii="Bookman Old Style" w:hAnsi="Bookman Old Style" w:cs="Arial"/>
          <w:bCs/>
          <w:iCs/>
          <w:color w:val="221F1F"/>
          <w:sz w:val="18"/>
          <w:szCs w:val="18"/>
          <w:lang w:val="id-ID" w:eastAsia="en-ID"/>
        </w:rPr>
      </w:pPr>
      <w:r w:rsidRPr="00AD5201">
        <w:rPr>
          <w:rFonts w:ascii="Bookman Old Style" w:hAnsi="Bookman Old Style" w:cs="Arial"/>
          <w:bCs/>
          <w:iCs/>
          <w:color w:val="221F1F"/>
          <w:sz w:val="18"/>
          <w:szCs w:val="18"/>
          <w:lang w:val="id-ID" w:eastAsia="en-ID"/>
        </w:rPr>
        <w:t xml:space="preserve">Metode ini merujuk pada standar internasional ISO 244444:2019 untuk pengujian SPF, yang menggunakan pendekatan in vivo dengan mengukur penyerapan sinar UV oleh sampel yang telah diaplikasikan pada media uji (kulit) </w:t>
      </w:r>
      <w:r w:rsidRPr="00AD5201">
        <w:rPr>
          <w:rFonts w:ascii="Bookman Old Style" w:hAnsi="Bookman Old Style" w:cs="Arial"/>
          <w:bCs/>
          <w:iCs/>
          <w:color w:val="221F1F"/>
          <w:sz w:val="18"/>
          <w:szCs w:val="18"/>
          <w:lang w:val="id-ID" w:eastAsia="en-ID"/>
        </w:rPr>
        <w:fldChar w:fldCharType="begin" w:fldLock="1"/>
      </w:r>
      <w:r w:rsidR="00CB5D15">
        <w:rPr>
          <w:rFonts w:ascii="Bookman Old Style" w:hAnsi="Bookman Old Style" w:cs="Arial"/>
          <w:bCs/>
          <w:iCs/>
          <w:color w:val="221F1F"/>
          <w:sz w:val="18"/>
          <w:szCs w:val="18"/>
          <w:lang w:val="id-ID" w:eastAsia="en-ID"/>
        </w:rPr>
        <w:instrText>ADDIN CSL_CITATION {"citationItems":[{"id":"ITEM-1","itemData":{"author":[{"dropping-particle":"","family":"ISO 24444","given":"","non-dropping-particle":"","parse-names":false,"suffix":""}],"id":"ITEM-1","issued":{"date-parts":[["2019"]]},"publisher":"iTeh STANDARD PREVIEW","title":"INTERNATIONAL STANDARD Cosmetics — Sun protection test methods — In vivo determination of the sun protection factor (SPF)","type":"article"},"uris":["http://www.mendeley.com/documents/?uuid=fa48bd90-8416-4f6d-82a1-08961d82d7a0"]}],"mendeley":{"formattedCitation":"[19]","plainTextFormattedCitation":"[19]","previouslyFormattedCitation":"[19]"},"properties":{"noteIndex":0},"schema":"https://github.com/citation-style-language/schema/raw/master/csl-citation.json"}</w:instrText>
      </w:r>
      <w:r w:rsidRPr="00AD5201">
        <w:rPr>
          <w:rFonts w:ascii="Bookman Old Style" w:hAnsi="Bookman Old Style" w:cs="Arial"/>
          <w:bCs/>
          <w:iCs/>
          <w:color w:val="221F1F"/>
          <w:sz w:val="18"/>
          <w:szCs w:val="18"/>
          <w:lang w:val="id-ID" w:eastAsia="en-ID"/>
        </w:rPr>
        <w:fldChar w:fldCharType="separate"/>
      </w:r>
      <w:r w:rsidRPr="00AD5201">
        <w:rPr>
          <w:rFonts w:ascii="Bookman Old Style" w:hAnsi="Bookman Old Style" w:cs="Arial"/>
          <w:bCs/>
          <w:iCs/>
          <w:noProof/>
          <w:color w:val="221F1F"/>
          <w:sz w:val="18"/>
          <w:szCs w:val="18"/>
          <w:lang w:val="id-ID" w:eastAsia="en-ID"/>
        </w:rPr>
        <w:t>[19]</w:t>
      </w:r>
      <w:r w:rsidRPr="00AD5201">
        <w:rPr>
          <w:rFonts w:ascii="Bookman Old Style" w:hAnsi="Bookman Old Style" w:cs="Arial"/>
          <w:bCs/>
          <w:iCs/>
          <w:color w:val="221F1F"/>
          <w:sz w:val="18"/>
          <w:szCs w:val="18"/>
          <w:lang w:val="id-ID" w:eastAsia="en-ID"/>
        </w:rPr>
        <w:fldChar w:fldCharType="end"/>
      </w:r>
      <w:r w:rsidRPr="00AD5201">
        <w:rPr>
          <w:rFonts w:ascii="Bookman Old Style" w:hAnsi="Bookman Old Style" w:cs="Arial"/>
          <w:bCs/>
          <w:iCs/>
          <w:color w:val="221F1F"/>
          <w:sz w:val="18"/>
          <w:szCs w:val="18"/>
          <w:lang w:val="id-ID" w:eastAsia="en-ID"/>
        </w:rPr>
        <w:t>.</w:t>
      </w:r>
    </w:p>
    <w:p w14:paraId="13846C9E" w14:textId="03E6FCD1" w:rsidR="00AD5201" w:rsidRDefault="00AD5201" w:rsidP="00AD5201">
      <w:pPr>
        <w:spacing w:after="120"/>
        <w:jc w:val="both"/>
        <w:rPr>
          <w:rFonts w:ascii="Bookman Old Style" w:hAnsi="Bookman Old Style"/>
          <w:b/>
          <w:i/>
          <w:iCs/>
          <w:color w:val="221F1F"/>
          <w:sz w:val="16"/>
          <w:szCs w:val="16"/>
          <w:lang w:eastAsia="en-ID"/>
        </w:rPr>
      </w:pPr>
      <w:r w:rsidRPr="00AD5201">
        <w:rPr>
          <w:rFonts w:ascii="Bookman Old Style" w:hAnsi="Bookman Old Style"/>
          <w:b/>
          <w:color w:val="221F1F"/>
          <w:sz w:val="16"/>
          <w:szCs w:val="16"/>
          <w:lang w:eastAsia="en-ID"/>
        </w:rPr>
        <w:t xml:space="preserve">Uji </w:t>
      </w:r>
      <w:r w:rsidRPr="00AD5201">
        <w:rPr>
          <w:rFonts w:ascii="Bookman Old Style" w:hAnsi="Bookman Old Style"/>
          <w:b/>
          <w:i/>
          <w:iCs/>
          <w:color w:val="221F1F"/>
          <w:sz w:val="16"/>
          <w:szCs w:val="16"/>
          <w:lang w:eastAsia="en-ID"/>
        </w:rPr>
        <w:t>Repellet</w:t>
      </w:r>
    </w:p>
    <w:p w14:paraId="33618DF0" w14:textId="6C9303A7" w:rsidR="00AD5201" w:rsidRDefault="00AD5201" w:rsidP="00AD5201">
      <w:pPr>
        <w:spacing w:after="120"/>
        <w:jc w:val="both"/>
        <w:rPr>
          <w:rFonts w:ascii="Bookman Old Style" w:hAnsi="Bookman Old Style" w:cs="Arial"/>
          <w:color w:val="221F1F"/>
          <w:sz w:val="18"/>
          <w:szCs w:val="18"/>
          <w:lang w:val="id-ID" w:eastAsia="en-ID"/>
        </w:rPr>
      </w:pPr>
      <w:r w:rsidRPr="00AD5201">
        <w:rPr>
          <w:rFonts w:ascii="Bookman Old Style" w:hAnsi="Bookman Old Style" w:cs="Arial"/>
          <w:bCs/>
          <w:color w:val="221F1F"/>
          <w:sz w:val="18"/>
          <w:szCs w:val="18"/>
          <w:lang w:eastAsia="en-ID"/>
        </w:rPr>
        <w:t xml:space="preserve">Pengujian </w:t>
      </w:r>
      <w:r w:rsidRPr="00AD5201">
        <w:rPr>
          <w:rFonts w:ascii="Bookman Old Style" w:hAnsi="Bookman Old Style" w:cs="Arial"/>
          <w:bCs/>
          <w:i/>
          <w:iCs/>
          <w:color w:val="221F1F"/>
          <w:sz w:val="18"/>
          <w:szCs w:val="18"/>
          <w:lang w:eastAsia="en-ID"/>
        </w:rPr>
        <w:t>repellent</w:t>
      </w:r>
      <w:r w:rsidRPr="00AD5201">
        <w:rPr>
          <w:rFonts w:ascii="Bookman Old Style" w:hAnsi="Bookman Old Style" w:cs="Arial"/>
          <w:bCs/>
          <w:color w:val="221F1F"/>
          <w:sz w:val="18"/>
          <w:szCs w:val="18"/>
          <w:lang w:eastAsia="en-ID"/>
        </w:rPr>
        <w:t xml:space="preserve"> dilakukan menggunakan metode </w:t>
      </w:r>
      <w:r w:rsidRPr="00AD5201">
        <w:rPr>
          <w:rFonts w:ascii="Bookman Old Style" w:hAnsi="Bookman Old Style" w:cs="Arial"/>
          <w:bCs/>
          <w:i/>
          <w:iCs/>
          <w:color w:val="221F1F"/>
          <w:sz w:val="18"/>
          <w:szCs w:val="18"/>
          <w:lang w:eastAsia="en-ID"/>
        </w:rPr>
        <w:t>Human Landing Collection</w:t>
      </w:r>
      <w:r w:rsidRPr="00AD5201">
        <w:rPr>
          <w:rFonts w:ascii="Bookman Old Style" w:hAnsi="Bookman Old Style" w:cs="Arial"/>
          <w:bCs/>
          <w:color w:val="221F1F"/>
          <w:sz w:val="18"/>
          <w:szCs w:val="18"/>
          <w:lang w:eastAsia="en-ID"/>
        </w:rPr>
        <w:t xml:space="preserve"> (HLC) untuk melihat jumlah nyamuk yang hinggap pada area tubuh manusia. Kulit responden disemprotkan sediaan uji pada </w:t>
      </w:r>
      <w:r w:rsidRPr="00AD5201">
        <w:rPr>
          <w:rFonts w:ascii="Bookman Old Style" w:hAnsi="Bookman Old Style" w:cs="Arial"/>
          <w:color w:val="221F1F"/>
          <w:sz w:val="18"/>
          <w:szCs w:val="18"/>
          <w:lang w:eastAsia="en-ID"/>
        </w:rPr>
        <w:t xml:space="preserve">tiga area yaitu F1, F2, dan F3 serta satu area tanpa semprotan (kontrol), dimana lengan kanan peneliti menjadi area tanpa semprotan, lengan kiri peneliti menjadi area F1, kaki kanan peneliti menjadi area F2 dan kaki kiri peneliti menjadi area F3. Kemudian responden ditempatkan di lokasi dengan paparan nyamuk. </w:t>
      </w:r>
      <w:r w:rsidRPr="00AD5201">
        <w:rPr>
          <w:rFonts w:ascii="Bookman Old Style" w:hAnsi="Bookman Old Style" w:cs="Arial"/>
          <w:color w:val="221F1F"/>
          <w:sz w:val="18"/>
          <w:szCs w:val="18"/>
          <w:lang w:val="id-ID" w:eastAsia="en-ID"/>
        </w:rPr>
        <w:t>Jumlah nyamuk yang hinggap pada area uji lebih sedikit dibandingkan dengan kontrol (tanpa sediaan).</w:t>
      </w:r>
    </w:p>
    <w:p w14:paraId="7F129D4E" w14:textId="79763D2B" w:rsidR="00AD5201" w:rsidRDefault="00AD5201" w:rsidP="00AD5201">
      <w:pPr>
        <w:spacing w:after="120"/>
        <w:jc w:val="both"/>
        <w:rPr>
          <w:rFonts w:ascii="Bookman Old Style" w:eastAsia="Times New Roman" w:hAnsi="Bookman Old Style"/>
          <w:b/>
          <w:color w:val="221F1F"/>
          <w:sz w:val="18"/>
          <w:szCs w:val="18"/>
          <w:lang w:eastAsia="en-ID"/>
        </w:rPr>
      </w:pPr>
      <w:r w:rsidRPr="00AD5201">
        <w:rPr>
          <w:rFonts w:ascii="Bookman Old Style" w:eastAsia="Times New Roman" w:hAnsi="Bookman Old Style"/>
          <w:b/>
          <w:color w:val="221F1F"/>
          <w:sz w:val="18"/>
          <w:szCs w:val="18"/>
          <w:lang w:eastAsia="en-ID"/>
        </w:rPr>
        <w:t>Teknik Analisis Data</w:t>
      </w:r>
    </w:p>
    <w:p w14:paraId="0098E613" w14:textId="4028465D" w:rsidR="00AD5201" w:rsidRDefault="00AD5201" w:rsidP="00AD5201">
      <w:pPr>
        <w:spacing w:after="120"/>
        <w:jc w:val="both"/>
        <w:rPr>
          <w:rFonts w:ascii="Bookman Old Style" w:hAnsi="Bookman Old Style" w:cs="Arial"/>
          <w:bCs/>
          <w:sz w:val="18"/>
          <w:szCs w:val="18"/>
          <w:lang w:val="en-GB"/>
        </w:rPr>
      </w:pPr>
      <w:r w:rsidRPr="009C6658">
        <w:rPr>
          <w:rFonts w:ascii="Bookman Old Style" w:hAnsi="Bookman Old Style" w:cs="Arial"/>
          <w:bCs/>
          <w:sz w:val="18"/>
          <w:szCs w:val="18"/>
          <w:lang w:val="en-GB"/>
        </w:rPr>
        <w:t xml:space="preserve">Analisis data dilakukan secara deskriptif kuantitatif dengan menyajikan hasil pengujian dalam bentuk tabel dan grafik. Setiap evaluasi dilakukan dalam tiga kali replikasi (triplo) untuk menjamin konsistens hasil. Nilai SPF ditentukan dari rata-rata hasil pengukuran spektrofotometri UV-Vis, sedangkan efektivitas </w:t>
      </w:r>
      <w:r w:rsidRPr="009C6658">
        <w:rPr>
          <w:rFonts w:ascii="Bookman Old Style" w:hAnsi="Bookman Old Style" w:cs="Arial"/>
          <w:bCs/>
          <w:i/>
          <w:iCs/>
          <w:sz w:val="18"/>
          <w:szCs w:val="18"/>
          <w:lang w:val="en-GB"/>
        </w:rPr>
        <w:t>repellent</w:t>
      </w:r>
      <w:r w:rsidRPr="009C6658">
        <w:rPr>
          <w:rFonts w:ascii="Bookman Old Style" w:hAnsi="Bookman Old Style" w:cs="Arial"/>
          <w:bCs/>
          <w:sz w:val="18"/>
          <w:szCs w:val="18"/>
          <w:lang w:val="en-GB"/>
        </w:rPr>
        <w:t xml:space="preserve"> dianalisis dengan membandingkan jumlah nyamuk yang hinggap pada area kulit yang telah disemprotkan sediaan dengan area kontrol. Rencana analisis data dijabarkan dalam tabel 2 berikut ini:</w:t>
      </w:r>
    </w:p>
    <w:p w14:paraId="161063AD" w14:textId="77777777" w:rsidR="009C6658" w:rsidRPr="009C6658" w:rsidRDefault="009C6658" w:rsidP="009C6658">
      <w:pPr>
        <w:pStyle w:val="BodyText"/>
        <w:spacing w:line="240" w:lineRule="auto"/>
        <w:ind w:firstLine="0"/>
        <w:jc w:val="center"/>
        <w:rPr>
          <w:rFonts w:ascii="Bookman Old Style" w:hAnsi="Bookman Old Style" w:cs="Arial"/>
          <w:bCs/>
          <w:sz w:val="18"/>
          <w:szCs w:val="18"/>
          <w:lang w:val="en-GB"/>
        </w:rPr>
      </w:pPr>
      <w:r w:rsidRPr="009C6658">
        <w:rPr>
          <w:rFonts w:ascii="Bookman Old Style" w:hAnsi="Bookman Old Style" w:cs="Arial"/>
          <w:bCs/>
          <w:sz w:val="18"/>
          <w:szCs w:val="18"/>
          <w:lang w:val="en-GB"/>
        </w:rPr>
        <w:t>Tabel 2. Teknik Analisis Data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2"/>
        <w:gridCol w:w="2904"/>
      </w:tblGrid>
      <w:tr w:rsidR="009C6658" w:rsidRPr="009C6658" w14:paraId="69A24516" w14:textId="77777777" w:rsidTr="00867DC6">
        <w:tc>
          <w:tcPr>
            <w:tcW w:w="1701" w:type="dxa"/>
            <w:tcBorders>
              <w:top w:val="single" w:sz="4" w:space="0" w:color="auto"/>
              <w:bottom w:val="single" w:sz="4" w:space="0" w:color="auto"/>
            </w:tcBorders>
            <w:vAlign w:val="center"/>
          </w:tcPr>
          <w:p w14:paraId="5634050C" w14:textId="77777777" w:rsidR="009C6658" w:rsidRPr="009C6658" w:rsidRDefault="009C6658" w:rsidP="00867DC6">
            <w:pPr>
              <w:jc w:val="center"/>
              <w:rPr>
                <w:rFonts w:ascii="Bookman Old Style" w:eastAsia="Times New Roman" w:hAnsi="Bookman Old Style"/>
                <w:b/>
                <w:color w:val="221F1F"/>
                <w:sz w:val="18"/>
                <w:szCs w:val="18"/>
              </w:rPr>
            </w:pPr>
            <w:r w:rsidRPr="009C6658">
              <w:rPr>
                <w:rFonts w:ascii="Bookman Old Style" w:eastAsia="Times New Roman" w:hAnsi="Bookman Old Style"/>
                <w:b/>
                <w:color w:val="221F1F"/>
                <w:sz w:val="18"/>
                <w:szCs w:val="18"/>
              </w:rPr>
              <w:t>PENGUJIAN/</w:t>
            </w:r>
          </w:p>
          <w:p w14:paraId="24B279D3" w14:textId="77777777" w:rsidR="009C6658" w:rsidRPr="009C6658" w:rsidRDefault="009C6658" w:rsidP="00867DC6">
            <w:pPr>
              <w:jc w:val="center"/>
              <w:rPr>
                <w:rFonts w:ascii="Bookman Old Style" w:eastAsia="Times New Roman" w:hAnsi="Bookman Old Style"/>
                <w:b/>
                <w:color w:val="221F1F"/>
                <w:sz w:val="18"/>
                <w:szCs w:val="18"/>
              </w:rPr>
            </w:pPr>
            <w:r w:rsidRPr="009C6658">
              <w:rPr>
                <w:rFonts w:ascii="Bookman Old Style" w:eastAsia="Times New Roman" w:hAnsi="Bookman Old Style"/>
                <w:b/>
                <w:color w:val="221F1F"/>
                <w:sz w:val="18"/>
                <w:szCs w:val="18"/>
              </w:rPr>
              <w:t>PENGUKURAN</w:t>
            </w:r>
          </w:p>
        </w:tc>
        <w:tc>
          <w:tcPr>
            <w:tcW w:w="7938" w:type="dxa"/>
            <w:tcBorders>
              <w:top w:val="single" w:sz="4" w:space="0" w:color="auto"/>
              <w:bottom w:val="single" w:sz="4" w:space="0" w:color="auto"/>
            </w:tcBorders>
            <w:vAlign w:val="center"/>
          </w:tcPr>
          <w:p w14:paraId="6DF84CAC" w14:textId="77777777" w:rsidR="009C6658" w:rsidRPr="009C6658" w:rsidRDefault="009C6658" w:rsidP="00867DC6">
            <w:pPr>
              <w:jc w:val="center"/>
              <w:rPr>
                <w:rFonts w:ascii="Bookman Old Style" w:eastAsia="Times New Roman" w:hAnsi="Bookman Old Style"/>
                <w:b/>
                <w:color w:val="221F1F"/>
                <w:sz w:val="18"/>
                <w:szCs w:val="18"/>
              </w:rPr>
            </w:pPr>
            <w:r w:rsidRPr="009C6658">
              <w:rPr>
                <w:rFonts w:ascii="Bookman Old Style" w:eastAsia="Times New Roman" w:hAnsi="Bookman Old Style"/>
                <w:b/>
                <w:color w:val="221F1F"/>
                <w:sz w:val="18"/>
                <w:szCs w:val="18"/>
              </w:rPr>
              <w:t>TUJUAN</w:t>
            </w:r>
          </w:p>
        </w:tc>
      </w:tr>
      <w:tr w:rsidR="009C6658" w:rsidRPr="009C6658" w14:paraId="43C2E8F2" w14:textId="77777777" w:rsidTr="00867DC6">
        <w:tc>
          <w:tcPr>
            <w:tcW w:w="1701" w:type="dxa"/>
            <w:tcBorders>
              <w:top w:val="single" w:sz="4" w:space="0" w:color="auto"/>
              <w:bottom w:val="single" w:sz="4" w:space="0" w:color="auto"/>
            </w:tcBorders>
          </w:tcPr>
          <w:p w14:paraId="11415EB2" w14:textId="77777777" w:rsidR="009C6658" w:rsidRPr="009C6658" w:rsidRDefault="009C6658" w:rsidP="00867DC6">
            <w:pPr>
              <w:jc w:val="center"/>
              <w:rPr>
                <w:rFonts w:ascii="Bookman Old Style" w:eastAsia="Times New Roman" w:hAnsi="Bookman Old Style"/>
                <w:color w:val="221F1F"/>
                <w:sz w:val="18"/>
                <w:szCs w:val="18"/>
              </w:rPr>
            </w:pPr>
            <w:r w:rsidRPr="009C6658">
              <w:rPr>
                <w:rFonts w:ascii="Bookman Old Style" w:eastAsia="Times New Roman" w:hAnsi="Bookman Old Style"/>
                <w:color w:val="221F1F"/>
                <w:sz w:val="18"/>
                <w:szCs w:val="18"/>
              </w:rPr>
              <w:t>Organoleptik</w:t>
            </w:r>
          </w:p>
        </w:tc>
        <w:tc>
          <w:tcPr>
            <w:tcW w:w="7938" w:type="dxa"/>
            <w:tcBorders>
              <w:top w:val="single" w:sz="4" w:space="0" w:color="auto"/>
              <w:bottom w:val="single" w:sz="4" w:space="0" w:color="auto"/>
            </w:tcBorders>
          </w:tcPr>
          <w:p w14:paraId="13DA9641" w14:textId="77777777" w:rsidR="009C6658" w:rsidRPr="009C6658" w:rsidRDefault="009C6658" w:rsidP="00867DC6">
            <w:pPr>
              <w:jc w:val="both"/>
              <w:rPr>
                <w:rFonts w:ascii="Bookman Old Style" w:eastAsia="Times New Roman" w:hAnsi="Bookman Old Style"/>
                <w:color w:val="221F1F"/>
                <w:sz w:val="18"/>
                <w:szCs w:val="18"/>
              </w:rPr>
            </w:pPr>
            <w:r w:rsidRPr="009C6658">
              <w:rPr>
                <w:rFonts w:ascii="Bookman Old Style" w:eastAsia="Times New Roman" w:hAnsi="Bookman Old Style"/>
                <w:color w:val="221F1F"/>
                <w:sz w:val="18"/>
                <w:szCs w:val="18"/>
              </w:rPr>
              <w:t>Mengamati secara visual terhadap bentuk, warna dan aroma.</w:t>
            </w:r>
          </w:p>
        </w:tc>
      </w:tr>
      <w:tr w:rsidR="009C6658" w:rsidRPr="009C6658" w14:paraId="09492E6D" w14:textId="77777777" w:rsidTr="00867DC6">
        <w:tc>
          <w:tcPr>
            <w:tcW w:w="1701" w:type="dxa"/>
            <w:tcBorders>
              <w:top w:val="single" w:sz="4" w:space="0" w:color="auto"/>
              <w:bottom w:val="single" w:sz="4" w:space="0" w:color="auto"/>
            </w:tcBorders>
          </w:tcPr>
          <w:p w14:paraId="276F61A2" w14:textId="77777777" w:rsidR="009C6658" w:rsidRPr="009C6658" w:rsidRDefault="009C6658" w:rsidP="00867DC6">
            <w:pPr>
              <w:jc w:val="center"/>
              <w:rPr>
                <w:rFonts w:ascii="Bookman Old Style" w:eastAsia="Times New Roman" w:hAnsi="Bookman Old Style"/>
                <w:color w:val="221F1F"/>
                <w:sz w:val="18"/>
                <w:szCs w:val="18"/>
              </w:rPr>
            </w:pPr>
            <w:r w:rsidRPr="009C6658">
              <w:rPr>
                <w:rFonts w:ascii="Bookman Old Style" w:eastAsia="Times New Roman" w:hAnsi="Bookman Old Style"/>
                <w:color w:val="221F1F"/>
                <w:sz w:val="18"/>
                <w:szCs w:val="18"/>
              </w:rPr>
              <w:t>Homogenitas</w:t>
            </w:r>
          </w:p>
        </w:tc>
        <w:tc>
          <w:tcPr>
            <w:tcW w:w="7938" w:type="dxa"/>
            <w:tcBorders>
              <w:top w:val="single" w:sz="4" w:space="0" w:color="auto"/>
              <w:bottom w:val="single" w:sz="4" w:space="0" w:color="auto"/>
            </w:tcBorders>
          </w:tcPr>
          <w:p w14:paraId="770155E5" w14:textId="77777777" w:rsidR="009C6658" w:rsidRPr="009C6658" w:rsidRDefault="009C6658" w:rsidP="00867DC6">
            <w:pPr>
              <w:jc w:val="both"/>
              <w:rPr>
                <w:rFonts w:ascii="Bookman Old Style" w:eastAsia="Times New Roman" w:hAnsi="Bookman Old Style"/>
                <w:color w:val="221F1F"/>
                <w:sz w:val="18"/>
                <w:szCs w:val="18"/>
              </w:rPr>
            </w:pPr>
            <w:r w:rsidRPr="009C6658">
              <w:rPr>
                <w:rFonts w:ascii="Bookman Old Style" w:eastAsia="Times New Roman" w:hAnsi="Bookman Old Style"/>
                <w:color w:val="221F1F"/>
                <w:sz w:val="18"/>
                <w:szCs w:val="18"/>
              </w:rPr>
              <w:t>Mengamati ada atau tidaknya partikel atau butiran kasar yang memepengaruhi sediaan.</w:t>
            </w:r>
          </w:p>
        </w:tc>
      </w:tr>
      <w:tr w:rsidR="009C6658" w:rsidRPr="009C6658" w14:paraId="26F9589C" w14:textId="77777777" w:rsidTr="00867DC6">
        <w:tc>
          <w:tcPr>
            <w:tcW w:w="1701" w:type="dxa"/>
            <w:tcBorders>
              <w:top w:val="single" w:sz="4" w:space="0" w:color="auto"/>
              <w:bottom w:val="single" w:sz="4" w:space="0" w:color="auto"/>
            </w:tcBorders>
          </w:tcPr>
          <w:p w14:paraId="5786C55E" w14:textId="77777777" w:rsidR="009C6658" w:rsidRPr="009C6658" w:rsidRDefault="009C6658" w:rsidP="00867DC6">
            <w:pPr>
              <w:jc w:val="center"/>
              <w:rPr>
                <w:rFonts w:ascii="Bookman Old Style" w:eastAsia="Times New Roman" w:hAnsi="Bookman Old Style"/>
                <w:color w:val="221F1F"/>
                <w:sz w:val="18"/>
                <w:szCs w:val="18"/>
              </w:rPr>
            </w:pPr>
            <w:r w:rsidRPr="009C6658">
              <w:rPr>
                <w:rFonts w:ascii="Bookman Old Style" w:eastAsia="Times New Roman" w:hAnsi="Bookman Old Style"/>
                <w:color w:val="221F1F"/>
                <w:sz w:val="18"/>
                <w:szCs w:val="18"/>
              </w:rPr>
              <w:t>Viskositas</w:t>
            </w:r>
          </w:p>
        </w:tc>
        <w:tc>
          <w:tcPr>
            <w:tcW w:w="7938" w:type="dxa"/>
            <w:tcBorders>
              <w:top w:val="single" w:sz="4" w:space="0" w:color="auto"/>
              <w:bottom w:val="single" w:sz="4" w:space="0" w:color="auto"/>
            </w:tcBorders>
          </w:tcPr>
          <w:p w14:paraId="684E82B5" w14:textId="77777777" w:rsidR="009C6658" w:rsidRPr="009C6658" w:rsidRDefault="009C6658" w:rsidP="00867DC6">
            <w:pPr>
              <w:jc w:val="both"/>
              <w:rPr>
                <w:rFonts w:ascii="Bookman Old Style" w:eastAsia="Times New Roman" w:hAnsi="Bookman Old Style"/>
                <w:color w:val="221F1F"/>
                <w:sz w:val="18"/>
                <w:szCs w:val="18"/>
              </w:rPr>
            </w:pPr>
            <w:r w:rsidRPr="009C6658">
              <w:rPr>
                <w:rFonts w:ascii="Bookman Old Style" w:eastAsia="Times New Roman" w:hAnsi="Bookman Old Style"/>
                <w:color w:val="221F1F"/>
                <w:sz w:val="18"/>
                <w:szCs w:val="18"/>
              </w:rPr>
              <w:t xml:space="preserve">Mengamati tingkat kekentalan dari sediaan </w:t>
            </w:r>
            <w:r w:rsidRPr="009C6658">
              <w:rPr>
                <w:rFonts w:ascii="Bookman Old Style" w:eastAsia="Times New Roman" w:hAnsi="Bookman Old Style"/>
                <w:i/>
                <w:color w:val="221F1F"/>
                <w:sz w:val="18"/>
                <w:szCs w:val="18"/>
              </w:rPr>
              <w:t xml:space="preserve">spray </w:t>
            </w:r>
            <w:r w:rsidRPr="009C6658">
              <w:rPr>
                <w:rFonts w:ascii="Bookman Old Style" w:eastAsia="Times New Roman" w:hAnsi="Bookman Old Style"/>
                <w:color w:val="221F1F"/>
                <w:sz w:val="18"/>
                <w:szCs w:val="18"/>
              </w:rPr>
              <w:t>yang dibuat.</w:t>
            </w:r>
          </w:p>
        </w:tc>
      </w:tr>
      <w:tr w:rsidR="009C6658" w:rsidRPr="009C6658" w14:paraId="4CE4C1BC" w14:textId="77777777" w:rsidTr="00867DC6">
        <w:tc>
          <w:tcPr>
            <w:tcW w:w="1701" w:type="dxa"/>
            <w:tcBorders>
              <w:top w:val="single" w:sz="4" w:space="0" w:color="auto"/>
              <w:bottom w:val="single" w:sz="4" w:space="0" w:color="auto"/>
            </w:tcBorders>
          </w:tcPr>
          <w:p w14:paraId="46C92001" w14:textId="77777777" w:rsidR="009C6658" w:rsidRPr="009C6658" w:rsidRDefault="009C6658" w:rsidP="00867DC6">
            <w:pPr>
              <w:jc w:val="center"/>
              <w:rPr>
                <w:rFonts w:ascii="Bookman Old Style" w:eastAsia="Times New Roman" w:hAnsi="Bookman Old Style"/>
                <w:color w:val="221F1F"/>
                <w:sz w:val="18"/>
                <w:szCs w:val="18"/>
              </w:rPr>
            </w:pPr>
            <w:r w:rsidRPr="009C6658">
              <w:rPr>
                <w:rFonts w:ascii="Bookman Old Style" w:eastAsia="Times New Roman" w:hAnsi="Bookman Old Style"/>
                <w:color w:val="221F1F"/>
                <w:sz w:val="18"/>
                <w:szCs w:val="18"/>
              </w:rPr>
              <w:t>pH</w:t>
            </w:r>
          </w:p>
        </w:tc>
        <w:tc>
          <w:tcPr>
            <w:tcW w:w="7938" w:type="dxa"/>
            <w:tcBorders>
              <w:top w:val="single" w:sz="4" w:space="0" w:color="auto"/>
              <w:bottom w:val="single" w:sz="4" w:space="0" w:color="auto"/>
            </w:tcBorders>
          </w:tcPr>
          <w:p w14:paraId="2CDD9D35" w14:textId="77777777" w:rsidR="009C6658" w:rsidRPr="009C6658" w:rsidRDefault="009C6658" w:rsidP="00867DC6">
            <w:pPr>
              <w:jc w:val="both"/>
              <w:rPr>
                <w:rFonts w:ascii="Bookman Old Style" w:eastAsia="Times New Roman" w:hAnsi="Bookman Old Style"/>
                <w:color w:val="221F1F"/>
                <w:sz w:val="18"/>
                <w:szCs w:val="18"/>
              </w:rPr>
            </w:pPr>
            <w:r w:rsidRPr="009C6658">
              <w:rPr>
                <w:rFonts w:ascii="Bookman Old Style" w:eastAsia="Times New Roman" w:hAnsi="Bookman Old Style"/>
                <w:color w:val="221F1F"/>
                <w:sz w:val="18"/>
                <w:szCs w:val="18"/>
              </w:rPr>
              <w:t xml:space="preserve">Megamati rentan pH dari sediaan </w:t>
            </w:r>
            <w:r w:rsidRPr="009C6658">
              <w:rPr>
                <w:rFonts w:ascii="Bookman Old Style" w:eastAsia="Times New Roman" w:hAnsi="Bookman Old Style"/>
                <w:i/>
                <w:color w:val="221F1F"/>
                <w:sz w:val="18"/>
                <w:szCs w:val="18"/>
              </w:rPr>
              <w:t xml:space="preserve">spray </w:t>
            </w:r>
            <w:r w:rsidRPr="009C6658">
              <w:rPr>
                <w:rFonts w:ascii="Bookman Old Style" w:eastAsia="Times New Roman" w:hAnsi="Bookman Old Style"/>
                <w:color w:val="221F1F"/>
                <w:sz w:val="18"/>
                <w:szCs w:val="18"/>
              </w:rPr>
              <w:t>yang dibuat.</w:t>
            </w:r>
          </w:p>
        </w:tc>
      </w:tr>
      <w:tr w:rsidR="009C6658" w:rsidRPr="009C6658" w14:paraId="64175E64" w14:textId="77777777" w:rsidTr="00867DC6">
        <w:tc>
          <w:tcPr>
            <w:tcW w:w="1701" w:type="dxa"/>
            <w:tcBorders>
              <w:top w:val="single" w:sz="4" w:space="0" w:color="auto"/>
              <w:bottom w:val="single" w:sz="4" w:space="0" w:color="auto"/>
            </w:tcBorders>
          </w:tcPr>
          <w:p w14:paraId="7EE92E12" w14:textId="77777777" w:rsidR="009C6658" w:rsidRPr="009C6658" w:rsidRDefault="009C6658" w:rsidP="00867DC6">
            <w:pPr>
              <w:jc w:val="center"/>
              <w:rPr>
                <w:rFonts w:ascii="Bookman Old Style" w:eastAsia="Times New Roman" w:hAnsi="Bookman Old Style"/>
                <w:i/>
                <w:color w:val="221F1F"/>
                <w:sz w:val="18"/>
                <w:szCs w:val="18"/>
              </w:rPr>
            </w:pPr>
            <w:r w:rsidRPr="009C6658">
              <w:rPr>
                <w:rFonts w:ascii="Bookman Old Style" w:eastAsia="Times New Roman" w:hAnsi="Bookman Old Style"/>
                <w:iCs/>
                <w:color w:val="221F1F"/>
                <w:sz w:val="18"/>
                <w:szCs w:val="18"/>
              </w:rPr>
              <w:t xml:space="preserve">Efektivitas </w:t>
            </w:r>
            <w:r w:rsidRPr="009C6658">
              <w:rPr>
                <w:rFonts w:ascii="Bookman Old Style" w:eastAsia="Times New Roman" w:hAnsi="Bookman Old Style"/>
                <w:i/>
                <w:color w:val="221F1F"/>
                <w:sz w:val="18"/>
                <w:szCs w:val="18"/>
              </w:rPr>
              <w:t>Repellent</w:t>
            </w:r>
          </w:p>
        </w:tc>
        <w:tc>
          <w:tcPr>
            <w:tcW w:w="7938" w:type="dxa"/>
            <w:tcBorders>
              <w:top w:val="single" w:sz="4" w:space="0" w:color="auto"/>
              <w:bottom w:val="single" w:sz="4" w:space="0" w:color="auto"/>
            </w:tcBorders>
          </w:tcPr>
          <w:p w14:paraId="52997481" w14:textId="77777777" w:rsidR="009C6658" w:rsidRPr="009C6658" w:rsidRDefault="009C6658" w:rsidP="00867DC6">
            <w:pPr>
              <w:jc w:val="both"/>
              <w:rPr>
                <w:rFonts w:ascii="Bookman Old Style" w:eastAsia="Times New Roman" w:hAnsi="Bookman Old Style"/>
                <w:color w:val="221F1F"/>
                <w:sz w:val="18"/>
                <w:szCs w:val="18"/>
              </w:rPr>
            </w:pPr>
            <w:r w:rsidRPr="009C6658">
              <w:rPr>
                <w:rFonts w:ascii="Bookman Old Style" w:eastAsia="Times New Roman" w:hAnsi="Bookman Old Style"/>
                <w:color w:val="221F1F"/>
                <w:sz w:val="18"/>
                <w:szCs w:val="18"/>
              </w:rPr>
              <w:t xml:space="preserve">Mengetahui ativitas </w:t>
            </w:r>
            <w:r w:rsidRPr="009C6658">
              <w:rPr>
                <w:rFonts w:ascii="Bookman Old Style" w:eastAsia="Times New Roman" w:hAnsi="Bookman Old Style"/>
                <w:i/>
                <w:color w:val="221F1F"/>
                <w:sz w:val="18"/>
                <w:szCs w:val="18"/>
              </w:rPr>
              <w:t xml:space="preserve">repellent </w:t>
            </w:r>
            <w:r w:rsidRPr="009C6658">
              <w:rPr>
                <w:rFonts w:ascii="Bookman Old Style" w:eastAsia="Times New Roman" w:hAnsi="Bookman Old Style"/>
                <w:color w:val="221F1F"/>
                <w:sz w:val="18"/>
                <w:szCs w:val="18"/>
              </w:rPr>
              <w:t>pada produk.</w:t>
            </w:r>
          </w:p>
        </w:tc>
      </w:tr>
      <w:tr w:rsidR="009C6658" w:rsidRPr="009C6658" w14:paraId="201B58D3" w14:textId="77777777" w:rsidTr="00867DC6">
        <w:trPr>
          <w:trHeight w:val="401"/>
        </w:trPr>
        <w:tc>
          <w:tcPr>
            <w:tcW w:w="1701" w:type="dxa"/>
            <w:tcBorders>
              <w:top w:val="single" w:sz="4" w:space="0" w:color="auto"/>
              <w:bottom w:val="single" w:sz="4" w:space="0" w:color="auto"/>
            </w:tcBorders>
          </w:tcPr>
          <w:p w14:paraId="6F8D00E3" w14:textId="77777777" w:rsidR="009C6658" w:rsidRPr="009C6658" w:rsidRDefault="009C6658" w:rsidP="00867DC6">
            <w:pPr>
              <w:jc w:val="center"/>
              <w:rPr>
                <w:rFonts w:ascii="Bookman Old Style" w:eastAsia="Times New Roman" w:hAnsi="Bookman Old Style"/>
                <w:color w:val="221F1F"/>
                <w:sz w:val="18"/>
                <w:szCs w:val="18"/>
              </w:rPr>
            </w:pPr>
            <w:r w:rsidRPr="009C6658">
              <w:rPr>
                <w:rFonts w:ascii="Bookman Old Style" w:eastAsia="Times New Roman" w:hAnsi="Bookman Old Style"/>
                <w:color w:val="221F1F"/>
                <w:sz w:val="18"/>
                <w:szCs w:val="18"/>
              </w:rPr>
              <w:t>Nilai SPF</w:t>
            </w:r>
          </w:p>
        </w:tc>
        <w:tc>
          <w:tcPr>
            <w:tcW w:w="7938" w:type="dxa"/>
            <w:tcBorders>
              <w:top w:val="single" w:sz="4" w:space="0" w:color="auto"/>
              <w:bottom w:val="single" w:sz="4" w:space="0" w:color="auto"/>
            </w:tcBorders>
          </w:tcPr>
          <w:p w14:paraId="0F67E726" w14:textId="77777777" w:rsidR="009C6658" w:rsidRPr="009C6658" w:rsidRDefault="009C6658" w:rsidP="00867DC6">
            <w:pPr>
              <w:jc w:val="both"/>
              <w:rPr>
                <w:rFonts w:ascii="Bookman Old Style" w:eastAsia="Times New Roman" w:hAnsi="Bookman Old Style"/>
                <w:color w:val="221F1F"/>
                <w:sz w:val="18"/>
                <w:szCs w:val="18"/>
              </w:rPr>
            </w:pPr>
            <w:r w:rsidRPr="009C6658">
              <w:rPr>
                <w:rFonts w:ascii="Bookman Old Style" w:eastAsia="Times New Roman" w:hAnsi="Bookman Old Style"/>
                <w:color w:val="221F1F"/>
                <w:sz w:val="18"/>
                <w:szCs w:val="18"/>
              </w:rPr>
              <w:t xml:space="preserve">Menentukan nilai </w:t>
            </w:r>
            <w:r w:rsidRPr="009C6658">
              <w:rPr>
                <w:rFonts w:ascii="Bookman Old Style" w:eastAsia="Times New Roman" w:hAnsi="Bookman Old Style"/>
                <w:i/>
                <w:color w:val="221F1F"/>
                <w:sz w:val="18"/>
                <w:szCs w:val="18"/>
              </w:rPr>
              <w:t>Sun Protective Factor</w:t>
            </w:r>
            <w:r w:rsidRPr="009C6658">
              <w:rPr>
                <w:rFonts w:ascii="Bookman Old Style" w:eastAsia="Times New Roman" w:hAnsi="Bookman Old Style"/>
                <w:color w:val="221F1F"/>
                <w:sz w:val="18"/>
                <w:szCs w:val="18"/>
              </w:rPr>
              <w:t xml:space="preserve"> (SPF) produk menggunakan spektrofometri </w:t>
            </w:r>
            <w:r w:rsidRPr="009C6658">
              <w:rPr>
                <w:rFonts w:ascii="Bookman Old Style" w:eastAsia="Times New Roman" w:hAnsi="Bookman Old Style"/>
                <w:i/>
                <w:color w:val="221F1F"/>
                <w:sz w:val="18"/>
                <w:szCs w:val="18"/>
              </w:rPr>
              <w:t>UV</w:t>
            </w:r>
            <w:r w:rsidRPr="009C6658">
              <w:rPr>
                <w:rFonts w:ascii="Bookman Old Style" w:eastAsia="Times New Roman" w:hAnsi="Bookman Old Style"/>
                <w:color w:val="221F1F"/>
                <w:sz w:val="18"/>
                <w:szCs w:val="18"/>
              </w:rPr>
              <w:t>-Vis</w:t>
            </w:r>
          </w:p>
        </w:tc>
      </w:tr>
    </w:tbl>
    <w:p w14:paraId="7DCF6BC7" w14:textId="77777777" w:rsidR="009C6658" w:rsidRPr="009C6658" w:rsidRDefault="009C6658" w:rsidP="00AD5201">
      <w:pPr>
        <w:spacing w:after="120"/>
        <w:jc w:val="both"/>
        <w:rPr>
          <w:rFonts w:ascii="Bookman Old Style" w:hAnsi="Bookman Old Style" w:cs="Arial"/>
          <w:b/>
          <w:bCs/>
          <w:sz w:val="18"/>
          <w:szCs w:val="18"/>
        </w:rPr>
      </w:pPr>
    </w:p>
    <w:p w14:paraId="2BE7E88D" w14:textId="77777777" w:rsidR="00CE4E69" w:rsidRDefault="00CE4E69" w:rsidP="00CE4E69">
      <w:pPr>
        <w:pStyle w:val="subbab1"/>
        <w:numPr>
          <w:ilvl w:val="0"/>
          <w:numId w:val="0"/>
        </w:numPr>
        <w:spacing w:before="0" w:after="120"/>
        <w:rPr>
          <w:sz w:val="18"/>
          <w:szCs w:val="20"/>
        </w:rPr>
      </w:pPr>
      <w:r w:rsidRPr="00884378">
        <w:rPr>
          <w:sz w:val="18"/>
          <w:szCs w:val="20"/>
        </w:rPr>
        <w:t>Hasil dan Pembahasan</w:t>
      </w:r>
    </w:p>
    <w:p w14:paraId="2BF47473" w14:textId="5C2429CE" w:rsidR="009C6658" w:rsidRDefault="009C6658" w:rsidP="00CE4E69">
      <w:pPr>
        <w:pStyle w:val="subbab1"/>
        <w:numPr>
          <w:ilvl w:val="0"/>
          <w:numId w:val="0"/>
        </w:numPr>
        <w:spacing w:before="0" w:after="120"/>
        <w:rPr>
          <w:rFonts w:eastAsia="Times New Roman"/>
          <w:color w:val="221F1F"/>
          <w:sz w:val="18"/>
          <w:szCs w:val="20"/>
          <w:lang w:eastAsia="en-ID"/>
        </w:rPr>
      </w:pPr>
      <w:r w:rsidRPr="009C6658">
        <w:rPr>
          <w:rFonts w:eastAsia="Times New Roman"/>
          <w:color w:val="221F1F"/>
          <w:sz w:val="18"/>
          <w:szCs w:val="20"/>
          <w:lang w:eastAsia="en-ID"/>
        </w:rPr>
        <w:t>Hasil Ekstrak Serai dan Kemangi</w:t>
      </w:r>
    </w:p>
    <w:p w14:paraId="7E0282F2" w14:textId="35C07942" w:rsidR="009C6658" w:rsidRDefault="009C6658" w:rsidP="00CE4E69">
      <w:pPr>
        <w:pStyle w:val="subbab1"/>
        <w:numPr>
          <w:ilvl w:val="0"/>
          <w:numId w:val="0"/>
        </w:numPr>
        <w:spacing w:before="0" w:after="120"/>
        <w:rPr>
          <w:rFonts w:cs="Arial"/>
          <w:b w:val="0"/>
          <w:sz w:val="18"/>
          <w:szCs w:val="18"/>
          <w:lang w:val="en-GB"/>
        </w:rPr>
      </w:pPr>
      <w:r w:rsidRPr="009C6658">
        <w:rPr>
          <w:rFonts w:cs="Arial"/>
          <w:b w:val="0"/>
          <w:sz w:val="18"/>
          <w:szCs w:val="18"/>
          <w:lang w:val="en-GB"/>
        </w:rPr>
        <w:t xml:space="preserve">Hasil ekstraksi kemangi dan serai menunjukkan rendemen yang cukup baik untuk diformulasikan ke dalam sediaan </w:t>
      </w:r>
      <w:r w:rsidRPr="009C6658">
        <w:rPr>
          <w:rFonts w:cs="Arial"/>
          <w:b w:val="0"/>
          <w:i/>
          <w:sz w:val="18"/>
          <w:szCs w:val="18"/>
          <w:lang w:val="en-GB"/>
        </w:rPr>
        <w:t>spray</w:t>
      </w:r>
      <w:r w:rsidRPr="009C6658">
        <w:rPr>
          <w:rFonts w:cs="Arial"/>
          <w:b w:val="0"/>
          <w:sz w:val="18"/>
          <w:szCs w:val="18"/>
          <w:lang w:val="en-GB"/>
        </w:rPr>
        <w:t xml:space="preserve">. Terdapat perbedaan dalam proses pengeringan. Menurut Kumalasari &amp; Andiarna </w:t>
      </w:r>
      <w:r w:rsidRPr="009C6658">
        <w:rPr>
          <w:rFonts w:cs="Arial"/>
          <w:b w:val="0"/>
          <w:sz w:val="18"/>
          <w:szCs w:val="18"/>
          <w:lang w:val="en-GB"/>
        </w:rPr>
        <w:fldChar w:fldCharType="begin" w:fldLock="1"/>
      </w:r>
      <w:r w:rsidR="00CB5D15">
        <w:rPr>
          <w:rFonts w:cs="Arial"/>
          <w:b w:val="0"/>
          <w:sz w:val="18"/>
          <w:szCs w:val="18"/>
          <w:lang w:val="en-GB"/>
        </w:rPr>
        <w:instrText>ADDIN CSL_CITATION {"citationItems":[{"id":"ITEM-1","itemData":{"ISSN":"2549-2748","abstract":"Basil leaves (Ocimum basilicum L) was one of the plants that thrive in Indonesia. This plant could be used as an antipyretic, antifungal, analgesic, antiseptic, antibacterial, hepatoprotector, immunomodulator, antireppelent and anti-expectorant. The chemical content found in this plant has a role in providing pharmacological activities so that this research was conducted to develop the use of basil leaves as natural medicine. Phytochemical screening aims to provide an overview of the classes of compounds contained in basil leaves which include flavonoids, alkaloids, saponins and tannins. The samples were determined and identified in the Integrated Laboratory of Sunan Ampel UIN Surabaya. The extract was made by extracting basil leaf simplicia with ethanol solvent by maceration method and doing phytochemical tests by adding solvents by observing changes in colour and shape of the solution. Phytochemical test results show that the positive basil leaves contain flavonoid compounds (marked by the appearance of black), alkaloids (characterized by the presence of a brownish yellow colour and precipitate), saponins (marked by the stable foam), and tannins (marked by the green colour black).","author":[{"dropping-particle":"","family":"Kumalasari","given":"Mei Lina Fitri","non-dropping-particle":"","parse-names":false,"suffix":""},{"dropping-particle":"","family":"Andiarna","given":"Funsu","non-dropping-particle":"","parse-names":false,"suffix":""}],"container-title":"Indonesian Journal for Health Sciences","id":"ITEM-1","issue":"1","issued":{"date-parts":[["2020"]]},"page":"39-44","title":"Uji Fitokimia Ekstrak Etanol Daun Kemangi (Ocimum basilicum L)","type":"article-journal","volume":"4"},"uris":["http://www.mendeley.com/documents/?uuid=136ba2a0-3ef1-4fc9-805a-58625c59583a","http://www.mendeley.com/documents/?uuid=a69afcd1-ea5f-4ebd-b063-f148415aed86"]}],"mendeley":{"formattedCitation":"[20]","plainTextFormattedCitation":"[20]","previouslyFormattedCitation":"[20]"},"properties":{"noteIndex":0},"schema":"https://github.com/citation-style-language/schema/raw/master/csl-citation.json"}</w:instrText>
      </w:r>
      <w:r w:rsidRPr="009C6658">
        <w:rPr>
          <w:rFonts w:cs="Arial"/>
          <w:b w:val="0"/>
          <w:sz w:val="18"/>
          <w:szCs w:val="18"/>
          <w:lang w:val="en-GB"/>
        </w:rPr>
        <w:fldChar w:fldCharType="separate"/>
      </w:r>
      <w:r w:rsidRPr="009C6658">
        <w:rPr>
          <w:rFonts w:cs="Arial"/>
          <w:b w:val="0"/>
          <w:noProof/>
          <w:sz w:val="18"/>
          <w:szCs w:val="18"/>
          <w:lang w:val="en-GB"/>
        </w:rPr>
        <w:t>[20]</w:t>
      </w:r>
      <w:r w:rsidRPr="009C6658">
        <w:rPr>
          <w:rFonts w:cs="Arial"/>
          <w:b w:val="0"/>
          <w:sz w:val="18"/>
          <w:szCs w:val="18"/>
          <w:lang w:val="en-GB"/>
        </w:rPr>
        <w:fldChar w:fldCharType="end"/>
      </w:r>
      <w:r w:rsidRPr="009C6658">
        <w:rPr>
          <w:rFonts w:cs="Arial"/>
          <w:b w:val="0"/>
          <w:sz w:val="18"/>
          <w:szCs w:val="18"/>
          <w:lang w:val="en-GB"/>
        </w:rPr>
        <w:t xml:space="preserve"> pengeringan optimal dilakukan pada suhu 40°C selama 48 jam agar senyawa flavonoid dan tanin tidak terdegradasi. Namun, pada penelitian ini pengeringan daun kemangi dilakukan pada suhu 100°C selama 10 menit.  Perbedaan metode pengeringan ini berpotensi menurunkan kandungan antioksidan. Sehingga memengaruhi nilai </w:t>
      </w:r>
      <w:r w:rsidRPr="009C6658">
        <w:rPr>
          <w:rFonts w:cs="Arial"/>
          <w:b w:val="0"/>
          <w:i/>
          <w:sz w:val="18"/>
          <w:szCs w:val="18"/>
          <w:lang w:val="en-GB"/>
        </w:rPr>
        <w:t xml:space="preserve">Sun Protection Factor </w:t>
      </w:r>
      <w:r w:rsidRPr="009C6658">
        <w:rPr>
          <w:rFonts w:cs="Arial"/>
          <w:b w:val="0"/>
          <w:sz w:val="18"/>
          <w:szCs w:val="18"/>
          <w:lang w:val="en-GB"/>
        </w:rPr>
        <w:t>(SPF) pada sediaan yang dihasilkan.</w:t>
      </w:r>
    </w:p>
    <w:p w14:paraId="45215794" w14:textId="007684AC" w:rsidR="009C6658" w:rsidRDefault="009C6658" w:rsidP="00CE4E69">
      <w:pPr>
        <w:pStyle w:val="subbab1"/>
        <w:numPr>
          <w:ilvl w:val="0"/>
          <w:numId w:val="0"/>
        </w:numPr>
        <w:spacing w:before="0" w:after="120"/>
        <w:rPr>
          <w:rFonts w:eastAsia="Times New Roman"/>
          <w:color w:val="221F1F"/>
          <w:sz w:val="18"/>
          <w:szCs w:val="20"/>
          <w:lang w:eastAsia="en-ID"/>
        </w:rPr>
      </w:pPr>
      <w:r w:rsidRPr="009C6658">
        <w:rPr>
          <w:rFonts w:eastAsia="Times New Roman"/>
          <w:color w:val="221F1F"/>
          <w:sz w:val="18"/>
          <w:szCs w:val="20"/>
          <w:lang w:eastAsia="en-ID"/>
        </w:rPr>
        <w:t>Hasil Uji Organoleptik</w:t>
      </w:r>
    </w:p>
    <w:p w14:paraId="2B3BE53E" w14:textId="33D64CAC" w:rsidR="009C6658" w:rsidRDefault="009C6658" w:rsidP="00CE4E69">
      <w:pPr>
        <w:pStyle w:val="subbab1"/>
        <w:numPr>
          <w:ilvl w:val="0"/>
          <w:numId w:val="0"/>
        </w:numPr>
        <w:spacing w:before="0" w:after="120"/>
        <w:rPr>
          <w:rFonts w:cs="Arial"/>
          <w:b w:val="0"/>
          <w:sz w:val="18"/>
          <w:szCs w:val="18"/>
          <w:lang w:val="en-GB"/>
        </w:rPr>
      </w:pPr>
      <w:r w:rsidRPr="009C6658">
        <w:rPr>
          <w:rFonts w:cs="Arial"/>
          <w:b w:val="0"/>
          <w:sz w:val="18"/>
          <w:szCs w:val="18"/>
          <w:lang w:val="en-GB"/>
        </w:rPr>
        <w:t xml:space="preserve">Hasil uji organoleptik menunjukkan bahwa ketiga formula (F1, F2, F3) memiliki warna hijau, aroma khas ekstrak, dan bentuk cair (Tabel 3). Tidak ada perbedaan mencolok antar formula meskipun konsentrasi ekstrak berbeda. Hal ini disebabkan adanya penggunaan </w:t>
      </w:r>
      <w:r w:rsidRPr="009C6658">
        <w:rPr>
          <w:rFonts w:cs="Arial"/>
          <w:b w:val="0"/>
          <w:i/>
          <w:sz w:val="18"/>
          <w:szCs w:val="18"/>
          <w:lang w:val="en-GB"/>
        </w:rPr>
        <w:t>Aloe Vera Fragrance Oil</w:t>
      </w:r>
      <w:r w:rsidRPr="009C6658">
        <w:rPr>
          <w:rFonts w:cs="Arial"/>
          <w:b w:val="0"/>
          <w:sz w:val="18"/>
          <w:szCs w:val="18"/>
          <w:lang w:val="en-GB"/>
        </w:rPr>
        <w:t xml:space="preserve"> (q.s) yang menutupi variasi aroma bahan aktif.</w:t>
      </w:r>
    </w:p>
    <w:p w14:paraId="1177CD78" w14:textId="77777777" w:rsidR="009C6658" w:rsidRPr="009C6658" w:rsidRDefault="009C6658" w:rsidP="009C6658">
      <w:pPr>
        <w:pStyle w:val="BodyText"/>
        <w:spacing w:line="240" w:lineRule="auto"/>
        <w:ind w:firstLine="0"/>
        <w:jc w:val="center"/>
        <w:rPr>
          <w:rFonts w:ascii="Bookman Old Style" w:hAnsi="Bookman Old Style" w:cs="Arial"/>
          <w:bCs/>
          <w:sz w:val="18"/>
          <w:szCs w:val="18"/>
          <w:lang w:val="en-GB"/>
        </w:rPr>
      </w:pPr>
      <w:r w:rsidRPr="009C6658">
        <w:rPr>
          <w:rFonts w:ascii="Bookman Old Style" w:hAnsi="Bookman Old Style" w:cs="Arial"/>
          <w:bCs/>
          <w:sz w:val="18"/>
          <w:szCs w:val="18"/>
          <w:lang w:val="en-GB"/>
        </w:rPr>
        <w:t>Tabel 3. Hasil Uji Organoleptik</w:t>
      </w:r>
    </w:p>
    <w:tbl>
      <w:tblPr>
        <w:tblStyle w:val="TableGrid"/>
        <w:tblpPr w:leftFromText="180" w:rightFromText="180" w:vertAnchor="text" w:horzAnchor="margin" w:tblpXSpec="right" w:tblpY="134"/>
        <w:tblW w:w="4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915"/>
        <w:gridCol w:w="1195"/>
        <w:gridCol w:w="1053"/>
      </w:tblGrid>
      <w:tr w:rsidR="009C6658" w:rsidRPr="009C6658" w14:paraId="320EB31E" w14:textId="77777777" w:rsidTr="009C6658">
        <w:tc>
          <w:tcPr>
            <w:tcW w:w="1426" w:type="dxa"/>
            <w:vMerge w:val="restart"/>
            <w:tcBorders>
              <w:top w:val="single" w:sz="4" w:space="0" w:color="auto"/>
            </w:tcBorders>
          </w:tcPr>
          <w:p w14:paraId="00EDEF08" w14:textId="77777777" w:rsidR="009C6658" w:rsidRPr="009C6658" w:rsidRDefault="009C6658" w:rsidP="009C6658">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PARAMETER</w:t>
            </w:r>
          </w:p>
        </w:tc>
        <w:tc>
          <w:tcPr>
            <w:tcW w:w="3167" w:type="dxa"/>
            <w:gridSpan w:val="3"/>
            <w:tcBorders>
              <w:top w:val="single" w:sz="4" w:space="0" w:color="auto"/>
              <w:bottom w:val="single" w:sz="4" w:space="0" w:color="auto"/>
            </w:tcBorders>
          </w:tcPr>
          <w:p w14:paraId="42F7A8AC" w14:textId="77777777" w:rsidR="009C6658" w:rsidRPr="009C6658" w:rsidRDefault="009C6658" w:rsidP="009C6658">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HASIL PENGUJIAN</w:t>
            </w:r>
          </w:p>
        </w:tc>
      </w:tr>
      <w:tr w:rsidR="009C6658" w:rsidRPr="009C6658" w14:paraId="0027EB9D" w14:textId="77777777" w:rsidTr="009C6658">
        <w:tc>
          <w:tcPr>
            <w:tcW w:w="1426" w:type="dxa"/>
            <w:vMerge/>
            <w:tcBorders>
              <w:bottom w:val="single" w:sz="4" w:space="0" w:color="auto"/>
            </w:tcBorders>
          </w:tcPr>
          <w:p w14:paraId="78FA42AA" w14:textId="77777777" w:rsidR="009C6658" w:rsidRPr="009C6658" w:rsidRDefault="009C6658" w:rsidP="009C6658">
            <w:pPr>
              <w:jc w:val="center"/>
              <w:rPr>
                <w:rFonts w:ascii="Bookman Old Style" w:eastAsia="Times New Roman" w:hAnsi="Bookman Old Style"/>
                <w:b/>
                <w:color w:val="221F1F"/>
                <w:sz w:val="18"/>
                <w:szCs w:val="18"/>
                <w:lang w:eastAsia="en-ID"/>
              </w:rPr>
            </w:pPr>
          </w:p>
        </w:tc>
        <w:tc>
          <w:tcPr>
            <w:tcW w:w="915" w:type="dxa"/>
            <w:tcBorders>
              <w:top w:val="single" w:sz="4" w:space="0" w:color="auto"/>
              <w:bottom w:val="single" w:sz="4" w:space="0" w:color="auto"/>
            </w:tcBorders>
          </w:tcPr>
          <w:p w14:paraId="33DC5983" w14:textId="77777777" w:rsidR="009C6658" w:rsidRPr="009C6658" w:rsidRDefault="009C6658" w:rsidP="009C6658">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F1</w:t>
            </w:r>
          </w:p>
        </w:tc>
        <w:tc>
          <w:tcPr>
            <w:tcW w:w="1198" w:type="dxa"/>
            <w:tcBorders>
              <w:top w:val="single" w:sz="4" w:space="0" w:color="auto"/>
              <w:bottom w:val="single" w:sz="4" w:space="0" w:color="auto"/>
            </w:tcBorders>
          </w:tcPr>
          <w:p w14:paraId="2762C3D8" w14:textId="77777777" w:rsidR="009C6658" w:rsidRPr="009C6658" w:rsidRDefault="009C6658" w:rsidP="009C6658">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F2</w:t>
            </w:r>
          </w:p>
        </w:tc>
        <w:tc>
          <w:tcPr>
            <w:tcW w:w="1054" w:type="dxa"/>
            <w:tcBorders>
              <w:top w:val="single" w:sz="4" w:space="0" w:color="auto"/>
              <w:bottom w:val="single" w:sz="4" w:space="0" w:color="auto"/>
            </w:tcBorders>
          </w:tcPr>
          <w:p w14:paraId="12FFF35D" w14:textId="77777777" w:rsidR="009C6658" w:rsidRPr="009C6658" w:rsidRDefault="009C6658" w:rsidP="009C6658">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F3</w:t>
            </w:r>
          </w:p>
        </w:tc>
      </w:tr>
      <w:tr w:rsidR="009C6658" w:rsidRPr="009C6658" w14:paraId="3F524600" w14:textId="77777777" w:rsidTr="009C6658">
        <w:tc>
          <w:tcPr>
            <w:tcW w:w="1426" w:type="dxa"/>
            <w:tcBorders>
              <w:top w:val="single" w:sz="4" w:space="0" w:color="auto"/>
              <w:bottom w:val="single" w:sz="4" w:space="0" w:color="auto"/>
            </w:tcBorders>
          </w:tcPr>
          <w:p w14:paraId="16869BB0" w14:textId="77777777" w:rsidR="009C6658" w:rsidRPr="009C6658" w:rsidRDefault="009C6658" w:rsidP="009C6658">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Warna</w:t>
            </w:r>
          </w:p>
        </w:tc>
        <w:tc>
          <w:tcPr>
            <w:tcW w:w="915" w:type="dxa"/>
            <w:tcBorders>
              <w:top w:val="single" w:sz="4" w:space="0" w:color="auto"/>
              <w:bottom w:val="single" w:sz="4" w:space="0" w:color="auto"/>
            </w:tcBorders>
          </w:tcPr>
          <w:p w14:paraId="450F6483" w14:textId="77777777" w:rsidR="009C6658" w:rsidRPr="009C6658" w:rsidRDefault="009C6658" w:rsidP="009C6658">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Hijau</w:t>
            </w:r>
          </w:p>
        </w:tc>
        <w:tc>
          <w:tcPr>
            <w:tcW w:w="1198" w:type="dxa"/>
            <w:tcBorders>
              <w:top w:val="single" w:sz="4" w:space="0" w:color="auto"/>
              <w:bottom w:val="single" w:sz="4" w:space="0" w:color="auto"/>
            </w:tcBorders>
          </w:tcPr>
          <w:p w14:paraId="7A8FD8EC" w14:textId="77777777" w:rsidR="009C6658" w:rsidRPr="009C6658" w:rsidRDefault="009C6658" w:rsidP="009C6658">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Hijau</w:t>
            </w:r>
          </w:p>
        </w:tc>
        <w:tc>
          <w:tcPr>
            <w:tcW w:w="1054" w:type="dxa"/>
            <w:tcBorders>
              <w:top w:val="single" w:sz="4" w:space="0" w:color="auto"/>
              <w:bottom w:val="single" w:sz="4" w:space="0" w:color="auto"/>
            </w:tcBorders>
          </w:tcPr>
          <w:p w14:paraId="7B81D842" w14:textId="77777777" w:rsidR="009C6658" w:rsidRPr="009C6658" w:rsidRDefault="009C6658" w:rsidP="009C6658">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Hijau</w:t>
            </w:r>
          </w:p>
        </w:tc>
      </w:tr>
      <w:tr w:rsidR="009C6658" w:rsidRPr="009C6658" w14:paraId="1DF48EA8" w14:textId="77777777" w:rsidTr="009C6658">
        <w:tc>
          <w:tcPr>
            <w:tcW w:w="1426" w:type="dxa"/>
            <w:tcBorders>
              <w:top w:val="single" w:sz="4" w:space="0" w:color="auto"/>
              <w:bottom w:val="single" w:sz="4" w:space="0" w:color="auto"/>
            </w:tcBorders>
          </w:tcPr>
          <w:p w14:paraId="525448BD" w14:textId="77777777" w:rsidR="009C6658" w:rsidRPr="009C6658" w:rsidRDefault="009C6658" w:rsidP="009C6658">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Aroma</w:t>
            </w:r>
          </w:p>
        </w:tc>
        <w:tc>
          <w:tcPr>
            <w:tcW w:w="915" w:type="dxa"/>
            <w:tcBorders>
              <w:top w:val="single" w:sz="4" w:space="0" w:color="auto"/>
              <w:bottom w:val="single" w:sz="4" w:space="0" w:color="auto"/>
            </w:tcBorders>
          </w:tcPr>
          <w:p w14:paraId="0677533B" w14:textId="77777777" w:rsidR="009C6658" w:rsidRPr="009C6658" w:rsidRDefault="009C6658" w:rsidP="009C6658">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Khas Ekstrak</w:t>
            </w:r>
          </w:p>
        </w:tc>
        <w:tc>
          <w:tcPr>
            <w:tcW w:w="1198" w:type="dxa"/>
            <w:tcBorders>
              <w:top w:val="single" w:sz="4" w:space="0" w:color="auto"/>
              <w:bottom w:val="single" w:sz="4" w:space="0" w:color="auto"/>
            </w:tcBorders>
          </w:tcPr>
          <w:p w14:paraId="2AC0A65F" w14:textId="77777777" w:rsidR="009C6658" w:rsidRPr="009C6658" w:rsidRDefault="009C6658" w:rsidP="009C6658">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Khas Ekstrak</w:t>
            </w:r>
          </w:p>
        </w:tc>
        <w:tc>
          <w:tcPr>
            <w:tcW w:w="1054" w:type="dxa"/>
            <w:tcBorders>
              <w:top w:val="single" w:sz="4" w:space="0" w:color="auto"/>
              <w:bottom w:val="single" w:sz="4" w:space="0" w:color="auto"/>
            </w:tcBorders>
          </w:tcPr>
          <w:p w14:paraId="3BBB5D3C" w14:textId="77777777" w:rsidR="009C6658" w:rsidRPr="009C6658" w:rsidRDefault="009C6658" w:rsidP="009C6658">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Khas Ekstrak</w:t>
            </w:r>
          </w:p>
        </w:tc>
      </w:tr>
      <w:tr w:rsidR="009C6658" w:rsidRPr="009C6658" w14:paraId="70B7A66F" w14:textId="77777777" w:rsidTr="009C6658">
        <w:tc>
          <w:tcPr>
            <w:tcW w:w="1426" w:type="dxa"/>
            <w:tcBorders>
              <w:top w:val="single" w:sz="4" w:space="0" w:color="auto"/>
              <w:bottom w:val="single" w:sz="4" w:space="0" w:color="auto"/>
            </w:tcBorders>
          </w:tcPr>
          <w:p w14:paraId="4A117DED" w14:textId="77777777" w:rsidR="009C6658" w:rsidRPr="009C6658" w:rsidRDefault="009C6658" w:rsidP="009C6658">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Bentuk</w:t>
            </w:r>
          </w:p>
        </w:tc>
        <w:tc>
          <w:tcPr>
            <w:tcW w:w="915" w:type="dxa"/>
            <w:tcBorders>
              <w:top w:val="single" w:sz="4" w:space="0" w:color="auto"/>
              <w:bottom w:val="single" w:sz="4" w:space="0" w:color="auto"/>
            </w:tcBorders>
          </w:tcPr>
          <w:p w14:paraId="1C18BE19" w14:textId="77777777" w:rsidR="009C6658" w:rsidRPr="009C6658" w:rsidRDefault="009C6658" w:rsidP="009C6658">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Cair</w:t>
            </w:r>
          </w:p>
        </w:tc>
        <w:tc>
          <w:tcPr>
            <w:tcW w:w="1198" w:type="dxa"/>
            <w:tcBorders>
              <w:top w:val="single" w:sz="4" w:space="0" w:color="auto"/>
              <w:bottom w:val="single" w:sz="4" w:space="0" w:color="auto"/>
            </w:tcBorders>
          </w:tcPr>
          <w:p w14:paraId="7C41861E" w14:textId="77777777" w:rsidR="009C6658" w:rsidRPr="009C6658" w:rsidRDefault="009C6658" w:rsidP="009C6658">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Cair</w:t>
            </w:r>
          </w:p>
        </w:tc>
        <w:tc>
          <w:tcPr>
            <w:tcW w:w="1054" w:type="dxa"/>
            <w:tcBorders>
              <w:top w:val="single" w:sz="4" w:space="0" w:color="auto"/>
              <w:bottom w:val="single" w:sz="4" w:space="0" w:color="auto"/>
            </w:tcBorders>
          </w:tcPr>
          <w:p w14:paraId="78C32036" w14:textId="77777777" w:rsidR="009C6658" w:rsidRPr="009C6658" w:rsidRDefault="009C6658" w:rsidP="009C6658">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Cair</w:t>
            </w:r>
          </w:p>
        </w:tc>
      </w:tr>
    </w:tbl>
    <w:p w14:paraId="1010D5AC" w14:textId="77777777" w:rsidR="009C6658" w:rsidRDefault="009C6658" w:rsidP="009C6658">
      <w:pPr>
        <w:jc w:val="both"/>
        <w:rPr>
          <w:rFonts w:ascii="Bookman Old Style" w:hAnsi="Bookman Old Style" w:cs="Arial"/>
          <w:sz w:val="18"/>
          <w:szCs w:val="18"/>
        </w:rPr>
      </w:pPr>
    </w:p>
    <w:p w14:paraId="5AD09E1C" w14:textId="104E8AD1" w:rsidR="009C6658" w:rsidRDefault="009C6658" w:rsidP="009C6658">
      <w:pPr>
        <w:jc w:val="both"/>
        <w:rPr>
          <w:rFonts w:asciiTheme="majorBidi" w:eastAsia="Times New Roman" w:hAnsiTheme="majorBidi" w:cstheme="majorBidi"/>
          <w:b/>
          <w:color w:val="221F1F"/>
          <w:sz w:val="18"/>
          <w:szCs w:val="18"/>
          <w:lang w:eastAsia="en-ID"/>
        </w:rPr>
      </w:pPr>
      <w:r w:rsidRPr="009C6658">
        <w:rPr>
          <w:rFonts w:asciiTheme="majorBidi" w:eastAsia="Times New Roman" w:hAnsiTheme="majorBidi" w:cstheme="majorBidi"/>
          <w:b/>
          <w:color w:val="221F1F"/>
          <w:sz w:val="18"/>
          <w:szCs w:val="18"/>
          <w:lang w:eastAsia="en-ID"/>
        </w:rPr>
        <w:t>Hasil Uji Homogenitas</w:t>
      </w:r>
    </w:p>
    <w:p w14:paraId="45506A4D" w14:textId="5D928C04" w:rsidR="009C6658" w:rsidRDefault="009C6658" w:rsidP="009C6658">
      <w:pPr>
        <w:jc w:val="both"/>
        <w:rPr>
          <w:rFonts w:ascii="Bookman Old Style" w:hAnsi="Bookman Old Style" w:cs="Arial"/>
          <w:bCs/>
          <w:sz w:val="18"/>
          <w:szCs w:val="18"/>
          <w:lang w:val="en-GB"/>
        </w:rPr>
      </w:pPr>
      <w:r w:rsidRPr="009C6658">
        <w:rPr>
          <w:rFonts w:ascii="Bookman Old Style" w:hAnsi="Bookman Old Style" w:cs="Arial"/>
          <w:bCs/>
          <w:sz w:val="18"/>
          <w:szCs w:val="18"/>
          <w:lang w:val="id-ID"/>
        </w:rPr>
        <w:t xml:space="preserve">Uji homogenitas bertujuan untuk melihat apakah sediaan telah homogen dengan mengoleskan krim pada kaca bening, kemudian mengamati apakah krim tersebut homogen. Tidak adanya granula kasar menunjukkan homogenitas, sehingga krim terasa lembut saat dioleskan ke kulit </w:t>
      </w:r>
      <w:r w:rsidRPr="009C6658">
        <w:rPr>
          <w:rFonts w:ascii="Bookman Old Style" w:hAnsi="Bookman Old Style" w:cs="Arial"/>
          <w:bCs/>
          <w:sz w:val="18"/>
          <w:szCs w:val="18"/>
          <w:lang w:val="id-ID"/>
        </w:rPr>
        <w:fldChar w:fldCharType="begin" w:fldLock="1"/>
      </w:r>
      <w:r w:rsidR="00CB5D15">
        <w:rPr>
          <w:rFonts w:ascii="Bookman Old Style" w:hAnsi="Bookman Old Style" w:cs="Arial"/>
          <w:bCs/>
          <w:sz w:val="18"/>
          <w:szCs w:val="18"/>
          <w:lang w:val="id-ID"/>
        </w:rPr>
        <w:instrText>ADDIN CSL_CITATION {"citationItems":[{"id":"ITEM-1","itemData":{"ISSN":"2598-2095","author":[{"dropping-particle":"","family":"Azkiya","given":"Zulfa","non-dropping-particle":"","parse-names":false,"suffix":""},{"dropping-particle":"","family":"Ariyani","given":"Herda","non-dropping-particle":"","parse-names":false,"suffix":""},{"dropping-particle":"","family":"Nugraha","given":"Tyas Setia","non-dropping-particle":"","parse-names":false,"suffix":""}],"container-title":"JCPS (Journal of Current Pharmaceutical Sciences)","id":"ITEM-1","issue":"1","issued":{"date-parts":[["2017"]]},"page":"12-18","title":"Evaluasi sifat fisik krim ekstrak jahe merah (Zingiber officinale Rosc. var. rubrum) sebagai anti nyeri","type":"article-journal","volume":"1"},"uris":["http://www.mendeley.com/documents/?uuid=cbde44fb-be0b-4c6f-acd6-991b223ed129","http://www.mendeley.com/documents/?uuid=ded57500-73cc-4542-9518-d6d8ec454e70"]}],"mendeley":{"formattedCitation":"[21]","plainTextFormattedCitation":"[21]","previouslyFormattedCitation":"[21]"},"properties":{"noteIndex":0},"schema":"https://github.com/citation-style-language/schema/raw/master/csl-citation.json"}</w:instrText>
      </w:r>
      <w:r w:rsidRPr="009C6658">
        <w:rPr>
          <w:rFonts w:ascii="Bookman Old Style" w:hAnsi="Bookman Old Style" w:cs="Arial"/>
          <w:bCs/>
          <w:sz w:val="18"/>
          <w:szCs w:val="18"/>
          <w:lang w:val="id-ID"/>
        </w:rPr>
        <w:fldChar w:fldCharType="separate"/>
      </w:r>
      <w:r w:rsidRPr="009C6658">
        <w:rPr>
          <w:rFonts w:ascii="Bookman Old Style" w:hAnsi="Bookman Old Style" w:cs="Arial"/>
          <w:bCs/>
          <w:noProof/>
          <w:sz w:val="18"/>
          <w:szCs w:val="18"/>
          <w:lang w:val="id-ID"/>
        </w:rPr>
        <w:t>[21]</w:t>
      </w:r>
      <w:r w:rsidRPr="009C6658">
        <w:rPr>
          <w:rFonts w:ascii="Bookman Old Style" w:hAnsi="Bookman Old Style" w:cs="Arial"/>
          <w:bCs/>
          <w:sz w:val="18"/>
          <w:szCs w:val="18"/>
          <w:lang w:val="id-ID"/>
        </w:rPr>
        <w:fldChar w:fldCharType="end"/>
      </w:r>
      <w:r w:rsidRPr="009C6658">
        <w:rPr>
          <w:rFonts w:ascii="Bookman Old Style" w:hAnsi="Bookman Old Style" w:cs="Arial"/>
          <w:bCs/>
          <w:sz w:val="18"/>
          <w:szCs w:val="18"/>
          <w:lang w:val="id-ID"/>
        </w:rPr>
        <w:t xml:space="preserve">. Uji homogenitas menunjukkan semua formula homogen, tanpa adanya partikel kasar (Tabel 4). </w:t>
      </w:r>
      <w:r w:rsidRPr="009C6658">
        <w:rPr>
          <w:rFonts w:ascii="Bookman Old Style" w:hAnsi="Bookman Old Style" w:cs="Arial"/>
          <w:bCs/>
          <w:sz w:val="18"/>
          <w:szCs w:val="18"/>
          <w:lang w:val="en-GB"/>
        </w:rPr>
        <w:t>Namun, pada penyimpanan lanjutan yang berjarak dua hari, F1 mengalami pemisahan fase sehingga harus dikocok sebelum digunakan. Hal ini dikarenakan ketiga formula tersebut disimpan dalam lemari es.</w:t>
      </w:r>
    </w:p>
    <w:p w14:paraId="1375A517" w14:textId="77777777" w:rsidR="009C6658" w:rsidRPr="009C6658" w:rsidRDefault="009C6658" w:rsidP="009C6658">
      <w:pPr>
        <w:pStyle w:val="BodyText"/>
        <w:spacing w:line="240" w:lineRule="auto"/>
        <w:ind w:firstLine="0"/>
        <w:jc w:val="center"/>
        <w:rPr>
          <w:rFonts w:ascii="Bookman Old Style" w:hAnsi="Bookman Old Style" w:cs="Arial"/>
          <w:bCs/>
          <w:sz w:val="18"/>
          <w:szCs w:val="18"/>
          <w:lang w:val="en-GB"/>
        </w:rPr>
      </w:pPr>
      <w:r w:rsidRPr="009C6658">
        <w:rPr>
          <w:rFonts w:ascii="Bookman Old Style" w:hAnsi="Bookman Old Style" w:cs="Arial"/>
          <w:bCs/>
          <w:sz w:val="18"/>
          <w:szCs w:val="18"/>
          <w:lang w:val="en-GB"/>
        </w:rPr>
        <w:t>Tabel 4. Hasil Uji Homogenitas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3"/>
        <w:gridCol w:w="2351"/>
      </w:tblGrid>
      <w:tr w:rsidR="009C6658" w:rsidRPr="009C6658" w14:paraId="4D3F50BC" w14:textId="77777777" w:rsidTr="00867DC6">
        <w:tc>
          <w:tcPr>
            <w:tcW w:w="4927" w:type="dxa"/>
            <w:tcBorders>
              <w:top w:val="single" w:sz="4" w:space="0" w:color="auto"/>
              <w:bottom w:val="single" w:sz="4" w:space="0" w:color="auto"/>
            </w:tcBorders>
          </w:tcPr>
          <w:p w14:paraId="7316C1EB" w14:textId="77777777" w:rsidR="009C6658" w:rsidRPr="009C6658" w:rsidRDefault="009C6658" w:rsidP="00867DC6">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FORMULA</w:t>
            </w:r>
          </w:p>
        </w:tc>
        <w:tc>
          <w:tcPr>
            <w:tcW w:w="4927" w:type="dxa"/>
            <w:tcBorders>
              <w:top w:val="single" w:sz="4" w:space="0" w:color="auto"/>
              <w:bottom w:val="single" w:sz="4" w:space="0" w:color="auto"/>
            </w:tcBorders>
          </w:tcPr>
          <w:p w14:paraId="4B1A5BC4" w14:textId="77777777" w:rsidR="009C6658" w:rsidRPr="009C6658" w:rsidRDefault="009C6658" w:rsidP="00867DC6">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HASIL PENGUJIAN</w:t>
            </w:r>
          </w:p>
        </w:tc>
      </w:tr>
      <w:tr w:rsidR="009C6658" w:rsidRPr="009C6658" w14:paraId="2C579356" w14:textId="77777777" w:rsidTr="00867DC6">
        <w:tc>
          <w:tcPr>
            <w:tcW w:w="4927" w:type="dxa"/>
            <w:tcBorders>
              <w:top w:val="single" w:sz="4" w:space="0" w:color="auto"/>
              <w:bottom w:val="single" w:sz="4" w:space="0" w:color="auto"/>
            </w:tcBorders>
          </w:tcPr>
          <w:p w14:paraId="110910AB" w14:textId="77777777" w:rsidR="009C6658" w:rsidRPr="009C6658" w:rsidRDefault="009C6658" w:rsidP="00867DC6">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F1</w:t>
            </w:r>
          </w:p>
        </w:tc>
        <w:tc>
          <w:tcPr>
            <w:tcW w:w="4927" w:type="dxa"/>
            <w:tcBorders>
              <w:top w:val="single" w:sz="4" w:space="0" w:color="auto"/>
              <w:bottom w:val="single" w:sz="4" w:space="0" w:color="auto"/>
            </w:tcBorders>
          </w:tcPr>
          <w:p w14:paraId="23D137D4" w14:textId="77777777" w:rsidR="009C6658" w:rsidRPr="009C6658" w:rsidRDefault="009C6658" w:rsidP="00867DC6">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Homogen</w:t>
            </w:r>
          </w:p>
        </w:tc>
      </w:tr>
      <w:tr w:rsidR="009C6658" w:rsidRPr="009C6658" w14:paraId="18A8133D" w14:textId="77777777" w:rsidTr="00867DC6">
        <w:tc>
          <w:tcPr>
            <w:tcW w:w="4927" w:type="dxa"/>
            <w:tcBorders>
              <w:top w:val="single" w:sz="4" w:space="0" w:color="auto"/>
              <w:bottom w:val="single" w:sz="4" w:space="0" w:color="auto"/>
            </w:tcBorders>
          </w:tcPr>
          <w:p w14:paraId="36BC237C" w14:textId="77777777" w:rsidR="009C6658" w:rsidRPr="009C6658" w:rsidRDefault="009C6658" w:rsidP="00867DC6">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F2</w:t>
            </w:r>
          </w:p>
        </w:tc>
        <w:tc>
          <w:tcPr>
            <w:tcW w:w="4927" w:type="dxa"/>
            <w:tcBorders>
              <w:top w:val="single" w:sz="4" w:space="0" w:color="auto"/>
              <w:bottom w:val="single" w:sz="4" w:space="0" w:color="auto"/>
            </w:tcBorders>
          </w:tcPr>
          <w:p w14:paraId="6AAA0C55" w14:textId="77777777" w:rsidR="009C6658" w:rsidRPr="009C6658" w:rsidRDefault="009C6658" w:rsidP="00867DC6">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Homogen</w:t>
            </w:r>
          </w:p>
        </w:tc>
      </w:tr>
      <w:tr w:rsidR="009C6658" w:rsidRPr="009C6658" w14:paraId="4C1CB132" w14:textId="77777777" w:rsidTr="00867DC6">
        <w:tc>
          <w:tcPr>
            <w:tcW w:w="4927" w:type="dxa"/>
            <w:tcBorders>
              <w:top w:val="single" w:sz="4" w:space="0" w:color="auto"/>
              <w:bottom w:val="single" w:sz="4" w:space="0" w:color="auto"/>
            </w:tcBorders>
          </w:tcPr>
          <w:p w14:paraId="02F6D664" w14:textId="77777777" w:rsidR="009C6658" w:rsidRPr="009C6658" w:rsidRDefault="009C6658" w:rsidP="00867DC6">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F3</w:t>
            </w:r>
          </w:p>
        </w:tc>
        <w:tc>
          <w:tcPr>
            <w:tcW w:w="4927" w:type="dxa"/>
            <w:tcBorders>
              <w:top w:val="single" w:sz="4" w:space="0" w:color="auto"/>
              <w:bottom w:val="single" w:sz="4" w:space="0" w:color="auto"/>
            </w:tcBorders>
          </w:tcPr>
          <w:p w14:paraId="528B7BE4" w14:textId="77777777" w:rsidR="009C6658" w:rsidRPr="009C6658" w:rsidRDefault="009C6658" w:rsidP="00867DC6">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Homogen</w:t>
            </w:r>
          </w:p>
        </w:tc>
      </w:tr>
    </w:tbl>
    <w:p w14:paraId="343FC6C3" w14:textId="77777777" w:rsidR="009C6658" w:rsidRDefault="009C6658" w:rsidP="009C6658">
      <w:pPr>
        <w:jc w:val="both"/>
        <w:rPr>
          <w:rFonts w:ascii="Bookman Old Style" w:hAnsi="Bookman Old Style" w:cstheme="majorBidi"/>
          <w:sz w:val="18"/>
          <w:szCs w:val="18"/>
        </w:rPr>
      </w:pPr>
    </w:p>
    <w:p w14:paraId="680AEA70" w14:textId="327DC71C" w:rsidR="009C6658" w:rsidRDefault="009C6658" w:rsidP="009C6658">
      <w:pPr>
        <w:jc w:val="both"/>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Hasil Uji pH</w:t>
      </w:r>
    </w:p>
    <w:p w14:paraId="0946894D" w14:textId="74DEEB64" w:rsidR="009C6658" w:rsidRPr="009C6658" w:rsidRDefault="009C6658" w:rsidP="009C6658">
      <w:pPr>
        <w:jc w:val="both"/>
        <w:rPr>
          <w:rFonts w:ascii="Bookman Old Style" w:hAnsi="Bookman Old Style" w:cstheme="majorBidi"/>
          <w:sz w:val="18"/>
          <w:szCs w:val="18"/>
        </w:rPr>
      </w:pPr>
      <w:r w:rsidRPr="009C6658">
        <w:rPr>
          <w:rFonts w:ascii="Bookman Old Style" w:hAnsi="Bookman Old Style" w:cs="Arial"/>
          <w:bCs/>
          <w:sz w:val="18"/>
          <w:szCs w:val="18"/>
          <w:lang w:val="id-ID"/>
        </w:rPr>
        <w:t xml:space="preserve">Krim yang terlalu asam akan mengiritasi kulit, sementara krim yang terlalu basa akan menyebabkan kulit bersisik </w:t>
      </w:r>
      <w:r w:rsidRPr="009C6658">
        <w:rPr>
          <w:rFonts w:ascii="Bookman Old Style" w:hAnsi="Bookman Old Style" w:cs="Arial"/>
          <w:bCs/>
          <w:sz w:val="18"/>
          <w:szCs w:val="18"/>
          <w:lang w:val="id-ID"/>
        </w:rPr>
        <w:fldChar w:fldCharType="begin" w:fldLock="1"/>
      </w:r>
      <w:r w:rsidR="00CB5D15">
        <w:rPr>
          <w:rFonts w:ascii="Bookman Old Style" w:hAnsi="Bookman Old Style" w:cs="Arial"/>
          <w:bCs/>
          <w:sz w:val="18"/>
          <w:szCs w:val="18"/>
          <w:lang w:val="id-ID"/>
        </w:rPr>
        <w:instrText>ADDIN CSL_CITATION {"citationItems":[{"id":"ITEM-1","itemData":{"ISSN":"2655-8289","author":[{"dropping-particle":"","family":"Saryanti","given":"Dwi","non-dropping-particle":"","parse-names":false,"suffix":""},{"dropping-particle":"","family":"Setiawan","given":"Iwan","non-dropping-particle":"","parse-names":false,"suffix":""},{"dropping-particle":"","family":"Safitri","given":"Romadona Ayu","non-dropping-particle":"","parse-names":false,"suffix":""}],"container-title":"Jurnal Riset Kefarmasian Indonesia","id":"ITEM-1","issue":"3","issued":{"date-parts":[["2019"]]},"page":"225-237","title":"Optimasi asam stearat dan TEA pada formula sediaan krim ekstrak kulit pisang kepok (Musa paradisiaca L.)","type":"article-journal","volume":"1"},"uris":["http://www.mendeley.com/documents/?uuid=81351aac-f841-48a4-b8db-792f0c580977","http://www.mendeley.com/documents/?uuid=3a416e16-2f35-498f-9b5e-c91f4e78441a"]}],"mendeley":{"formattedCitation":"[22]","plainTextFormattedCitation":"[22]","previouslyFormattedCitation":"[22]"},"properties":{"noteIndex":0},"schema":"https://github.com/citation-style-language/schema/raw/master/csl-citation.json"}</w:instrText>
      </w:r>
      <w:r w:rsidRPr="009C6658">
        <w:rPr>
          <w:rFonts w:ascii="Bookman Old Style" w:hAnsi="Bookman Old Style" w:cs="Arial"/>
          <w:bCs/>
          <w:sz w:val="18"/>
          <w:szCs w:val="18"/>
          <w:lang w:val="id-ID"/>
        </w:rPr>
        <w:fldChar w:fldCharType="separate"/>
      </w:r>
      <w:r w:rsidRPr="009C6658">
        <w:rPr>
          <w:rFonts w:ascii="Bookman Old Style" w:hAnsi="Bookman Old Style" w:cs="Arial"/>
          <w:bCs/>
          <w:noProof/>
          <w:sz w:val="18"/>
          <w:szCs w:val="18"/>
          <w:lang w:val="id-ID"/>
        </w:rPr>
        <w:t>[22]</w:t>
      </w:r>
      <w:r w:rsidRPr="009C6658">
        <w:rPr>
          <w:rFonts w:ascii="Bookman Old Style" w:hAnsi="Bookman Old Style" w:cs="Arial"/>
          <w:bCs/>
          <w:sz w:val="18"/>
          <w:szCs w:val="18"/>
          <w:lang w:val="id-ID"/>
        </w:rPr>
        <w:fldChar w:fldCharType="end"/>
      </w:r>
      <w:r w:rsidRPr="009C6658">
        <w:rPr>
          <w:rFonts w:ascii="Bookman Old Style" w:hAnsi="Bookman Old Style" w:cs="Arial"/>
          <w:bCs/>
          <w:sz w:val="18"/>
          <w:szCs w:val="18"/>
          <w:lang w:val="id-ID"/>
        </w:rPr>
        <w:t xml:space="preserve">. </w:t>
      </w:r>
      <w:r w:rsidRPr="009C6658">
        <w:rPr>
          <w:rFonts w:ascii="Bookman Old Style" w:hAnsi="Bookman Old Style" w:cs="Arial"/>
          <w:bCs/>
          <w:sz w:val="18"/>
          <w:szCs w:val="18"/>
          <w:lang w:val="en-GB"/>
        </w:rPr>
        <w:t xml:space="preserve">Nilai pH ketiga </w:t>
      </w:r>
      <w:r w:rsidRPr="009C6658">
        <w:rPr>
          <w:rFonts w:ascii="Bookman Old Style" w:hAnsi="Bookman Old Style" w:cs="Arial"/>
          <w:bCs/>
          <w:sz w:val="18"/>
          <w:szCs w:val="18"/>
          <w:lang w:val="en-GB"/>
        </w:rPr>
        <w:lastRenderedPageBreak/>
        <w:t>formula berada dalam rentang 5–6 (Tabel 5), sesuai dengan standar SNI 16-4399-1996 (pH 4,5–8,0). Kondisi ini menunjukkan bahwa sediaan aman digunakan pada kulit, tidak bersifat terlalu asam maupun basa, serta mendukung kestabilan formulasi</w:t>
      </w:r>
      <w:r>
        <w:rPr>
          <w:rFonts w:ascii="Arial" w:hAnsi="Arial" w:cs="Arial"/>
          <w:bCs/>
          <w:sz w:val="22"/>
          <w:szCs w:val="22"/>
          <w:lang w:val="en-GB"/>
        </w:rPr>
        <w:t>.</w:t>
      </w:r>
    </w:p>
    <w:p w14:paraId="63017BE7" w14:textId="0275F2D8" w:rsidR="009C6658" w:rsidRDefault="009C6658" w:rsidP="009C6658">
      <w:pPr>
        <w:ind w:firstLine="720"/>
        <w:jc w:val="center"/>
        <w:rPr>
          <w:rFonts w:ascii="Bookman Old Style" w:hAnsi="Bookman Old Style" w:cs="Arial"/>
          <w:bCs/>
          <w:sz w:val="18"/>
          <w:szCs w:val="18"/>
          <w:lang w:val="en-GB"/>
        </w:rPr>
      </w:pPr>
      <w:r w:rsidRPr="009C6658">
        <w:rPr>
          <w:rFonts w:ascii="Bookman Old Style" w:hAnsi="Bookman Old Style" w:cs="Arial"/>
          <w:bCs/>
          <w:sz w:val="18"/>
          <w:szCs w:val="18"/>
          <w:lang w:val="en-GB"/>
        </w:rPr>
        <w:t>Tabel 5. Hasil Uji pH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8"/>
        <w:gridCol w:w="1659"/>
        <w:gridCol w:w="1417"/>
      </w:tblGrid>
      <w:tr w:rsidR="009C6658" w:rsidRPr="009C6658" w14:paraId="1A2CC6CE" w14:textId="77777777" w:rsidTr="00867DC6">
        <w:tc>
          <w:tcPr>
            <w:tcW w:w="3412" w:type="dxa"/>
            <w:tcBorders>
              <w:top w:val="single" w:sz="4" w:space="0" w:color="auto"/>
              <w:bottom w:val="single" w:sz="4" w:space="0" w:color="auto"/>
            </w:tcBorders>
          </w:tcPr>
          <w:p w14:paraId="28863DE2" w14:textId="77777777" w:rsidR="009C6658" w:rsidRPr="009C6658" w:rsidRDefault="009C6658" w:rsidP="00867DC6">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FORMULA</w:t>
            </w:r>
          </w:p>
        </w:tc>
        <w:tc>
          <w:tcPr>
            <w:tcW w:w="3489" w:type="dxa"/>
            <w:tcBorders>
              <w:top w:val="single" w:sz="4" w:space="0" w:color="auto"/>
              <w:bottom w:val="single" w:sz="4" w:space="0" w:color="auto"/>
            </w:tcBorders>
          </w:tcPr>
          <w:p w14:paraId="4100E284" w14:textId="77777777" w:rsidR="009C6658" w:rsidRPr="009C6658" w:rsidRDefault="009C6658" w:rsidP="00867DC6">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HASIL PENGUJIAN</w:t>
            </w:r>
          </w:p>
        </w:tc>
        <w:tc>
          <w:tcPr>
            <w:tcW w:w="2953" w:type="dxa"/>
            <w:tcBorders>
              <w:top w:val="single" w:sz="4" w:space="0" w:color="auto"/>
              <w:bottom w:val="single" w:sz="4" w:space="0" w:color="auto"/>
            </w:tcBorders>
          </w:tcPr>
          <w:p w14:paraId="59FEAC81" w14:textId="77777777" w:rsidR="009C6658" w:rsidRPr="009C6658" w:rsidRDefault="009C6658" w:rsidP="00867DC6">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STANDAR</w:t>
            </w:r>
          </w:p>
        </w:tc>
      </w:tr>
      <w:tr w:rsidR="009C6658" w:rsidRPr="009C6658" w14:paraId="3D959306" w14:textId="77777777" w:rsidTr="00867DC6">
        <w:tc>
          <w:tcPr>
            <w:tcW w:w="3412" w:type="dxa"/>
            <w:tcBorders>
              <w:top w:val="single" w:sz="4" w:space="0" w:color="auto"/>
              <w:bottom w:val="single" w:sz="4" w:space="0" w:color="auto"/>
            </w:tcBorders>
          </w:tcPr>
          <w:p w14:paraId="42D37C91" w14:textId="77777777" w:rsidR="009C6658" w:rsidRPr="009C6658" w:rsidRDefault="009C6658" w:rsidP="00867DC6">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F1</w:t>
            </w:r>
          </w:p>
        </w:tc>
        <w:tc>
          <w:tcPr>
            <w:tcW w:w="3489" w:type="dxa"/>
            <w:tcBorders>
              <w:top w:val="single" w:sz="4" w:space="0" w:color="auto"/>
              <w:bottom w:val="single" w:sz="4" w:space="0" w:color="auto"/>
            </w:tcBorders>
          </w:tcPr>
          <w:p w14:paraId="465E9533" w14:textId="77777777" w:rsidR="009C6658" w:rsidRPr="009C6658" w:rsidRDefault="009C6658" w:rsidP="00867DC6">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5</w:t>
            </w:r>
          </w:p>
        </w:tc>
        <w:tc>
          <w:tcPr>
            <w:tcW w:w="2953" w:type="dxa"/>
            <w:tcBorders>
              <w:top w:val="single" w:sz="4" w:space="0" w:color="auto"/>
              <w:bottom w:val="single" w:sz="4" w:space="0" w:color="auto"/>
            </w:tcBorders>
          </w:tcPr>
          <w:p w14:paraId="358EAD27" w14:textId="77777777" w:rsidR="009C6658" w:rsidRPr="009C6658" w:rsidRDefault="009C6658" w:rsidP="00867DC6">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4,5 - 8</w:t>
            </w:r>
          </w:p>
        </w:tc>
      </w:tr>
      <w:tr w:rsidR="009C6658" w:rsidRPr="009C6658" w14:paraId="68D29DE3" w14:textId="77777777" w:rsidTr="00867DC6">
        <w:tc>
          <w:tcPr>
            <w:tcW w:w="3412" w:type="dxa"/>
            <w:tcBorders>
              <w:top w:val="single" w:sz="4" w:space="0" w:color="auto"/>
              <w:bottom w:val="single" w:sz="4" w:space="0" w:color="auto"/>
            </w:tcBorders>
          </w:tcPr>
          <w:p w14:paraId="2E362F90" w14:textId="77777777" w:rsidR="009C6658" w:rsidRPr="009C6658" w:rsidRDefault="009C6658" w:rsidP="00867DC6">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F2</w:t>
            </w:r>
          </w:p>
        </w:tc>
        <w:tc>
          <w:tcPr>
            <w:tcW w:w="3489" w:type="dxa"/>
            <w:tcBorders>
              <w:top w:val="single" w:sz="4" w:space="0" w:color="auto"/>
              <w:bottom w:val="single" w:sz="4" w:space="0" w:color="auto"/>
            </w:tcBorders>
          </w:tcPr>
          <w:p w14:paraId="6FCB6DBE" w14:textId="77777777" w:rsidR="009C6658" w:rsidRPr="009C6658" w:rsidRDefault="009C6658" w:rsidP="00867DC6">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6</w:t>
            </w:r>
          </w:p>
        </w:tc>
        <w:tc>
          <w:tcPr>
            <w:tcW w:w="2953" w:type="dxa"/>
            <w:tcBorders>
              <w:top w:val="single" w:sz="4" w:space="0" w:color="auto"/>
              <w:bottom w:val="single" w:sz="4" w:space="0" w:color="auto"/>
            </w:tcBorders>
          </w:tcPr>
          <w:p w14:paraId="6A3E0855" w14:textId="77777777" w:rsidR="009C6658" w:rsidRPr="009C6658" w:rsidRDefault="009C6658" w:rsidP="00867DC6">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4,5 - 8</w:t>
            </w:r>
          </w:p>
        </w:tc>
      </w:tr>
      <w:tr w:rsidR="009C6658" w:rsidRPr="009C6658" w14:paraId="1D8AA44B" w14:textId="77777777" w:rsidTr="00867DC6">
        <w:tc>
          <w:tcPr>
            <w:tcW w:w="3412" w:type="dxa"/>
            <w:tcBorders>
              <w:top w:val="single" w:sz="4" w:space="0" w:color="auto"/>
              <w:bottom w:val="single" w:sz="4" w:space="0" w:color="auto"/>
            </w:tcBorders>
          </w:tcPr>
          <w:p w14:paraId="72FFF4B7" w14:textId="77777777" w:rsidR="009C6658" w:rsidRPr="009C6658" w:rsidRDefault="009C6658" w:rsidP="00867DC6">
            <w:pPr>
              <w:jc w:val="cente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F3</w:t>
            </w:r>
          </w:p>
        </w:tc>
        <w:tc>
          <w:tcPr>
            <w:tcW w:w="3489" w:type="dxa"/>
            <w:tcBorders>
              <w:top w:val="single" w:sz="4" w:space="0" w:color="auto"/>
              <w:bottom w:val="single" w:sz="4" w:space="0" w:color="auto"/>
            </w:tcBorders>
          </w:tcPr>
          <w:p w14:paraId="605BF5DB" w14:textId="77777777" w:rsidR="009C6658" w:rsidRPr="009C6658" w:rsidRDefault="009C6658" w:rsidP="00867DC6">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6</w:t>
            </w:r>
          </w:p>
        </w:tc>
        <w:tc>
          <w:tcPr>
            <w:tcW w:w="2953" w:type="dxa"/>
            <w:tcBorders>
              <w:top w:val="single" w:sz="4" w:space="0" w:color="auto"/>
              <w:bottom w:val="single" w:sz="4" w:space="0" w:color="auto"/>
            </w:tcBorders>
          </w:tcPr>
          <w:p w14:paraId="42F3C99F" w14:textId="77777777" w:rsidR="009C6658" w:rsidRPr="009C6658" w:rsidRDefault="009C6658" w:rsidP="00867DC6">
            <w:pPr>
              <w:jc w:val="center"/>
              <w:rPr>
                <w:rFonts w:ascii="Bookman Old Style" w:eastAsia="Times New Roman" w:hAnsi="Bookman Old Style"/>
                <w:color w:val="221F1F"/>
                <w:sz w:val="18"/>
                <w:szCs w:val="18"/>
                <w:lang w:eastAsia="en-ID"/>
              </w:rPr>
            </w:pPr>
            <w:r w:rsidRPr="009C6658">
              <w:rPr>
                <w:rFonts w:ascii="Bookman Old Style" w:eastAsia="Times New Roman" w:hAnsi="Bookman Old Style"/>
                <w:color w:val="221F1F"/>
                <w:sz w:val="18"/>
                <w:szCs w:val="18"/>
                <w:lang w:eastAsia="en-ID"/>
              </w:rPr>
              <w:t>4,5 - 8</w:t>
            </w:r>
          </w:p>
        </w:tc>
      </w:tr>
    </w:tbl>
    <w:p w14:paraId="0A8196E3" w14:textId="77777777" w:rsidR="009C6658" w:rsidRDefault="009C6658" w:rsidP="009C6658">
      <w:pPr>
        <w:rPr>
          <w:rFonts w:ascii="Bookman Old Style" w:hAnsi="Bookman Old Style" w:cs="Arial"/>
          <w:sz w:val="18"/>
          <w:szCs w:val="18"/>
        </w:rPr>
      </w:pPr>
    </w:p>
    <w:p w14:paraId="3DC5F2FB" w14:textId="6E075E06" w:rsidR="009C6658" w:rsidRDefault="009C6658" w:rsidP="009C6658">
      <w:pPr>
        <w:rPr>
          <w:rFonts w:ascii="Bookman Old Style" w:eastAsia="Times New Roman" w:hAnsi="Bookman Old Style"/>
          <w:b/>
          <w:color w:val="221F1F"/>
          <w:sz w:val="18"/>
          <w:szCs w:val="18"/>
          <w:lang w:eastAsia="en-ID"/>
        </w:rPr>
      </w:pPr>
      <w:r w:rsidRPr="009C6658">
        <w:rPr>
          <w:rFonts w:ascii="Bookman Old Style" w:eastAsia="Times New Roman" w:hAnsi="Bookman Old Style"/>
          <w:b/>
          <w:color w:val="221F1F"/>
          <w:sz w:val="18"/>
          <w:szCs w:val="18"/>
          <w:lang w:eastAsia="en-ID"/>
        </w:rPr>
        <w:t>Hasil Uji Viskositas</w:t>
      </w:r>
    </w:p>
    <w:p w14:paraId="0132AE5B" w14:textId="10579501" w:rsidR="009C6658" w:rsidRDefault="009C6658" w:rsidP="009C6658">
      <w:pPr>
        <w:jc w:val="both"/>
        <w:rPr>
          <w:rFonts w:ascii="Bookman Old Style" w:hAnsi="Bookman Old Style" w:cs="Arial"/>
          <w:bCs/>
          <w:sz w:val="18"/>
          <w:szCs w:val="18"/>
          <w:lang w:val="en-GB"/>
        </w:rPr>
      </w:pPr>
      <w:r w:rsidRPr="009C6658">
        <w:rPr>
          <w:rFonts w:ascii="Bookman Old Style" w:hAnsi="Bookman Old Style" w:cs="Arial"/>
          <w:bCs/>
          <w:sz w:val="18"/>
          <w:szCs w:val="18"/>
          <w:lang w:val="en-GB"/>
        </w:rPr>
        <w:t>Hasil pengujian viskositas menunjukkan adanya peningkatan nilai viskositas seiring dengan meningkatnya konsentrasi ekstrak serai dan kemangi, yaitu 103 cps (F1), 110 cps (F2), dan 117 cps (F3) (Tabel 9). Peningkatan viskositas ini berkaitan dengan penambahan senyawa polifenol dan flavonoid yang bersifat polar dan meningkatkan interaksi antar molekul dalam sediaan. Viskositas yang lebih tinggi juga berkontribusi pada kemampuan sediaan melekat di kulit sehingga memperpanjang waktu perlindungan.</w:t>
      </w:r>
    </w:p>
    <w:p w14:paraId="5F336780" w14:textId="3B24BA1A" w:rsidR="009C6658" w:rsidRPr="00DD381C" w:rsidRDefault="009C6658" w:rsidP="009C6658">
      <w:pPr>
        <w:jc w:val="center"/>
        <w:rPr>
          <w:rFonts w:ascii="Bookman Old Style" w:hAnsi="Bookman Old Style" w:cs="Arial"/>
          <w:sz w:val="16"/>
          <w:szCs w:val="16"/>
        </w:rPr>
      </w:pPr>
      <w:r w:rsidRPr="00DD381C">
        <w:rPr>
          <w:rFonts w:ascii="Bookman Old Style" w:eastAsia="Times New Roman" w:hAnsi="Bookman Old Style"/>
          <w:color w:val="221F1F"/>
          <w:sz w:val="18"/>
          <w:szCs w:val="18"/>
          <w:lang w:eastAsia="en-ID"/>
        </w:rPr>
        <w:t>Tabel 9. Hasil Uji Viskositas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3"/>
        <w:gridCol w:w="2351"/>
      </w:tblGrid>
      <w:tr w:rsidR="00DD381C" w:rsidRPr="00DD381C" w14:paraId="1F204452" w14:textId="77777777" w:rsidTr="00867DC6">
        <w:tc>
          <w:tcPr>
            <w:tcW w:w="4927" w:type="dxa"/>
            <w:tcBorders>
              <w:top w:val="single" w:sz="4" w:space="0" w:color="auto"/>
              <w:bottom w:val="single" w:sz="4" w:space="0" w:color="auto"/>
            </w:tcBorders>
          </w:tcPr>
          <w:p w14:paraId="04981391" w14:textId="77777777" w:rsidR="00DD381C" w:rsidRPr="00DD381C" w:rsidRDefault="00DD381C" w:rsidP="00867DC6">
            <w:pPr>
              <w:jc w:val="center"/>
              <w:rPr>
                <w:rFonts w:ascii="Bookman Old Style" w:eastAsia="Times New Roman" w:hAnsi="Bookman Old Style"/>
                <w:b/>
                <w:color w:val="221F1F"/>
                <w:sz w:val="18"/>
                <w:szCs w:val="18"/>
                <w:lang w:eastAsia="en-ID"/>
              </w:rPr>
            </w:pPr>
            <w:r w:rsidRPr="00DD381C">
              <w:rPr>
                <w:rFonts w:ascii="Bookman Old Style" w:eastAsia="Times New Roman" w:hAnsi="Bookman Old Style"/>
                <w:b/>
                <w:color w:val="221F1F"/>
                <w:sz w:val="18"/>
                <w:szCs w:val="18"/>
                <w:lang w:eastAsia="en-ID"/>
              </w:rPr>
              <w:t>FORMULA</w:t>
            </w:r>
          </w:p>
        </w:tc>
        <w:tc>
          <w:tcPr>
            <w:tcW w:w="4927" w:type="dxa"/>
            <w:tcBorders>
              <w:top w:val="single" w:sz="4" w:space="0" w:color="auto"/>
              <w:bottom w:val="single" w:sz="4" w:space="0" w:color="auto"/>
            </w:tcBorders>
          </w:tcPr>
          <w:p w14:paraId="59334664" w14:textId="77777777" w:rsidR="00DD381C" w:rsidRPr="00DD381C" w:rsidRDefault="00DD381C" w:rsidP="00867DC6">
            <w:pPr>
              <w:jc w:val="center"/>
              <w:rPr>
                <w:rFonts w:ascii="Bookman Old Style" w:eastAsia="Times New Roman" w:hAnsi="Bookman Old Style"/>
                <w:b/>
                <w:color w:val="221F1F"/>
                <w:sz w:val="18"/>
                <w:szCs w:val="18"/>
                <w:lang w:eastAsia="en-ID"/>
              </w:rPr>
            </w:pPr>
            <w:r w:rsidRPr="00DD381C">
              <w:rPr>
                <w:rFonts w:ascii="Bookman Old Style" w:eastAsia="Times New Roman" w:hAnsi="Bookman Old Style"/>
                <w:b/>
                <w:color w:val="221F1F"/>
                <w:sz w:val="18"/>
                <w:szCs w:val="18"/>
                <w:lang w:eastAsia="en-ID"/>
              </w:rPr>
              <w:t>HASIL PENGUJIAN</w:t>
            </w:r>
          </w:p>
        </w:tc>
      </w:tr>
      <w:tr w:rsidR="00DD381C" w:rsidRPr="00DD381C" w14:paraId="6119C8D8" w14:textId="77777777" w:rsidTr="00867DC6">
        <w:tc>
          <w:tcPr>
            <w:tcW w:w="4927" w:type="dxa"/>
            <w:tcBorders>
              <w:top w:val="single" w:sz="4" w:space="0" w:color="auto"/>
              <w:bottom w:val="single" w:sz="4" w:space="0" w:color="auto"/>
            </w:tcBorders>
          </w:tcPr>
          <w:p w14:paraId="33E9B709" w14:textId="77777777" w:rsidR="00DD381C" w:rsidRPr="00DD381C" w:rsidRDefault="00DD381C" w:rsidP="00867DC6">
            <w:pPr>
              <w:jc w:val="center"/>
              <w:rPr>
                <w:rFonts w:ascii="Bookman Old Style" w:eastAsia="Times New Roman" w:hAnsi="Bookman Old Style"/>
                <w:b/>
                <w:color w:val="221F1F"/>
                <w:sz w:val="18"/>
                <w:szCs w:val="18"/>
                <w:lang w:eastAsia="en-ID"/>
              </w:rPr>
            </w:pPr>
            <w:r w:rsidRPr="00DD381C">
              <w:rPr>
                <w:rFonts w:ascii="Bookman Old Style" w:eastAsia="Times New Roman" w:hAnsi="Bookman Old Style"/>
                <w:b/>
                <w:color w:val="221F1F"/>
                <w:sz w:val="18"/>
                <w:szCs w:val="18"/>
                <w:lang w:eastAsia="en-ID"/>
              </w:rPr>
              <w:t>F1</w:t>
            </w:r>
          </w:p>
        </w:tc>
        <w:tc>
          <w:tcPr>
            <w:tcW w:w="4927" w:type="dxa"/>
            <w:tcBorders>
              <w:top w:val="single" w:sz="4" w:space="0" w:color="auto"/>
              <w:bottom w:val="single" w:sz="4" w:space="0" w:color="auto"/>
            </w:tcBorders>
          </w:tcPr>
          <w:p w14:paraId="281FA56B"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103 cps</w:t>
            </w:r>
          </w:p>
        </w:tc>
      </w:tr>
      <w:tr w:rsidR="00DD381C" w:rsidRPr="00DD381C" w14:paraId="11DD20C2" w14:textId="77777777" w:rsidTr="00867DC6">
        <w:tc>
          <w:tcPr>
            <w:tcW w:w="4927" w:type="dxa"/>
            <w:tcBorders>
              <w:top w:val="single" w:sz="4" w:space="0" w:color="auto"/>
              <w:bottom w:val="single" w:sz="4" w:space="0" w:color="auto"/>
            </w:tcBorders>
          </w:tcPr>
          <w:p w14:paraId="353AF18B" w14:textId="77777777" w:rsidR="00DD381C" w:rsidRPr="00DD381C" w:rsidRDefault="00DD381C" w:rsidP="00867DC6">
            <w:pPr>
              <w:jc w:val="center"/>
              <w:rPr>
                <w:rFonts w:ascii="Bookman Old Style" w:eastAsia="Times New Roman" w:hAnsi="Bookman Old Style"/>
                <w:b/>
                <w:color w:val="221F1F"/>
                <w:sz w:val="18"/>
                <w:szCs w:val="18"/>
                <w:lang w:eastAsia="en-ID"/>
              </w:rPr>
            </w:pPr>
            <w:r w:rsidRPr="00DD381C">
              <w:rPr>
                <w:rFonts w:ascii="Bookman Old Style" w:eastAsia="Times New Roman" w:hAnsi="Bookman Old Style"/>
                <w:b/>
                <w:color w:val="221F1F"/>
                <w:sz w:val="18"/>
                <w:szCs w:val="18"/>
                <w:lang w:eastAsia="en-ID"/>
              </w:rPr>
              <w:t>F2</w:t>
            </w:r>
          </w:p>
        </w:tc>
        <w:tc>
          <w:tcPr>
            <w:tcW w:w="4927" w:type="dxa"/>
            <w:tcBorders>
              <w:top w:val="single" w:sz="4" w:space="0" w:color="auto"/>
              <w:bottom w:val="single" w:sz="4" w:space="0" w:color="auto"/>
            </w:tcBorders>
          </w:tcPr>
          <w:p w14:paraId="31512AA1"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110 cps</w:t>
            </w:r>
          </w:p>
        </w:tc>
      </w:tr>
      <w:tr w:rsidR="00DD381C" w:rsidRPr="00DD381C" w14:paraId="7229BEB2" w14:textId="77777777" w:rsidTr="00867DC6">
        <w:tc>
          <w:tcPr>
            <w:tcW w:w="4927" w:type="dxa"/>
            <w:tcBorders>
              <w:top w:val="single" w:sz="4" w:space="0" w:color="auto"/>
              <w:bottom w:val="single" w:sz="4" w:space="0" w:color="auto"/>
            </w:tcBorders>
          </w:tcPr>
          <w:p w14:paraId="6B3E63C7" w14:textId="77777777" w:rsidR="00DD381C" w:rsidRPr="00DD381C" w:rsidRDefault="00DD381C" w:rsidP="00867DC6">
            <w:pPr>
              <w:jc w:val="center"/>
              <w:rPr>
                <w:rFonts w:ascii="Bookman Old Style" w:eastAsia="Times New Roman" w:hAnsi="Bookman Old Style"/>
                <w:b/>
                <w:color w:val="221F1F"/>
                <w:sz w:val="18"/>
                <w:szCs w:val="18"/>
                <w:lang w:eastAsia="en-ID"/>
              </w:rPr>
            </w:pPr>
            <w:r w:rsidRPr="00DD381C">
              <w:rPr>
                <w:rFonts w:ascii="Bookman Old Style" w:eastAsia="Times New Roman" w:hAnsi="Bookman Old Style"/>
                <w:b/>
                <w:color w:val="221F1F"/>
                <w:sz w:val="18"/>
                <w:szCs w:val="18"/>
                <w:lang w:eastAsia="en-ID"/>
              </w:rPr>
              <w:t>F3</w:t>
            </w:r>
          </w:p>
        </w:tc>
        <w:tc>
          <w:tcPr>
            <w:tcW w:w="4927" w:type="dxa"/>
            <w:tcBorders>
              <w:top w:val="single" w:sz="4" w:space="0" w:color="auto"/>
              <w:bottom w:val="single" w:sz="4" w:space="0" w:color="auto"/>
            </w:tcBorders>
          </w:tcPr>
          <w:p w14:paraId="5386B710"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117 cps</w:t>
            </w:r>
          </w:p>
        </w:tc>
      </w:tr>
    </w:tbl>
    <w:p w14:paraId="20B6B07E" w14:textId="77777777" w:rsidR="009C6658" w:rsidRPr="00DD381C" w:rsidRDefault="009C6658" w:rsidP="00DD381C">
      <w:pPr>
        <w:rPr>
          <w:rFonts w:ascii="Bookman Old Style" w:hAnsi="Bookman Old Style" w:cs="Arial"/>
          <w:sz w:val="16"/>
          <w:szCs w:val="16"/>
        </w:rPr>
      </w:pPr>
    </w:p>
    <w:p w14:paraId="36BF9C97" w14:textId="105CFC81" w:rsidR="00DD381C" w:rsidRDefault="00DD381C" w:rsidP="009C6658">
      <w:pPr>
        <w:jc w:val="both"/>
        <w:rPr>
          <w:rFonts w:ascii="Bookman Old Style" w:eastAsia="Times New Roman" w:hAnsi="Bookman Old Style"/>
          <w:b/>
          <w:color w:val="221F1F"/>
          <w:sz w:val="18"/>
          <w:szCs w:val="18"/>
          <w:lang w:eastAsia="en-ID"/>
        </w:rPr>
      </w:pPr>
      <w:r w:rsidRPr="00DD381C">
        <w:rPr>
          <w:rFonts w:ascii="Bookman Old Style" w:eastAsia="Times New Roman" w:hAnsi="Bookman Old Style"/>
          <w:b/>
          <w:color w:val="221F1F"/>
          <w:sz w:val="18"/>
          <w:szCs w:val="18"/>
          <w:lang w:eastAsia="en-ID"/>
        </w:rPr>
        <w:t>Pengujian Nilai SPF</w:t>
      </w:r>
    </w:p>
    <w:p w14:paraId="568EC55E" w14:textId="342529C3" w:rsidR="00DD381C" w:rsidRDefault="00DD381C" w:rsidP="00596EC1">
      <w:pPr>
        <w:pStyle w:val="BodyText"/>
        <w:spacing w:line="276" w:lineRule="auto"/>
        <w:rPr>
          <w:rFonts w:ascii="Bookman Old Style" w:hAnsi="Bookman Old Style" w:cs="Arial"/>
          <w:bCs/>
          <w:sz w:val="18"/>
          <w:szCs w:val="18"/>
          <w:lang w:val="en-GB"/>
        </w:rPr>
      </w:pPr>
      <w:r w:rsidRPr="00DD381C">
        <w:rPr>
          <w:rFonts w:ascii="Bookman Old Style" w:hAnsi="Bookman Old Style" w:cs="Arial"/>
          <w:bCs/>
          <w:sz w:val="18"/>
          <w:szCs w:val="18"/>
          <w:lang w:val="en-GB"/>
        </w:rPr>
        <w:t xml:space="preserve">Nilai SPF yang diperoleh masing-masing formula adalah 4,57 (F1), 7,50 (F2), dan 10,41 (F3) (Tabel 10). Semua formula masuk kategori proteksi maksimal, dengan formula F3 memberikan nilai SPF tertinggi. Menurut Rosida dkk </w:t>
      </w:r>
      <w:r w:rsidRPr="00DD381C">
        <w:rPr>
          <w:rFonts w:ascii="Bookman Old Style" w:hAnsi="Bookman Old Style" w:cs="Arial"/>
          <w:bCs/>
          <w:sz w:val="18"/>
          <w:szCs w:val="18"/>
          <w:lang w:val="en-GB"/>
        </w:rPr>
        <w:fldChar w:fldCharType="begin" w:fldLock="1"/>
      </w:r>
      <w:r w:rsidR="00CB5D15">
        <w:rPr>
          <w:rFonts w:ascii="Bookman Old Style" w:hAnsi="Bookman Old Style" w:cs="Arial"/>
          <w:bCs/>
          <w:sz w:val="18"/>
          <w:szCs w:val="18"/>
          <w:lang w:val="en-GB"/>
        </w:rPr>
        <w:instrText>ADDIN CSL_CITATION {"citationItems":[{"id":"ITEM-1","itemData":{"DOI":"10.29303/jbt.v24i2b.7422","ISSN":"1411-9587","abstract":"Excessive sun exposure can reveal harmful effects on the skin. One way to prevent these effects is by using Kepundung (Baccaurea racemosa) a plant known for its antioxidant properties. Several studies have shown that the antioxidant activity of kepundung leaf extract has a very strong IC50 value, making it potentially a sunscreen. However, research on the Sun Protector Factor (SPF) value of kepundung leaf extract has not been reported. Therefore, this study will conduct to determine the SPF value of the extract. Compound extraction will carry out using the sonication method with methanol solvent. The extract obtained was analyzed for SPF value using UV-Vis spectrophotometry and the SPF value will calculated using the Mansur formula. The various concentration of kepundung leaves extract revealed various SPF from minimal and ultra protection. Kepundung leaves extract with concentation 500 ppm have ultra protection with SPF value 15.19. The Kepundung leaves can to be developed as natural SPF.","author":[{"dropping-particle":"","family":"Rosida","given":"Naela","non-dropping-particle":"","parse-names":false,"suffix":""},{"dropping-particle":"","family":"Permatasari","given":"Lina","non-dropping-particle":"","parse-names":false,"suffix":""},{"dropping-particle":"","family":"Hajrin","given":"Wahida","non-dropping-particle":"","parse-names":false,"suffix":""}],"container-title":"Jurnal Biologi Tropis","id":"ITEM-1","issue":"2b","issued":{"date-parts":[["2025"]]},"page":"406-410","title":"The Sun Protection Factor (SPF) of Kepundung Leaf Methanol 96% Extract (Baccaurea racemosa) Using The In-Vitro Test","type":"article-journal","volume":"24"},"uris":["http://www.mendeley.com/documents/?uuid=2057af73-0be8-4271-a904-cd1fd8f2f847","http://www.mendeley.com/documents/?uuid=711a11c6-f0ff-4a89-8585-763e2b838c7d"]}],"mendeley":{"formattedCitation":"[12]","plainTextFormattedCitation":"[12]","previouslyFormattedCitation":"[12]"},"properties":{"noteIndex":0},"schema":"https://github.com/citation-style-language/schema/raw/master/csl-citation.json"}</w:instrText>
      </w:r>
      <w:r w:rsidRPr="00DD381C">
        <w:rPr>
          <w:rFonts w:ascii="Bookman Old Style" w:hAnsi="Bookman Old Style" w:cs="Arial"/>
          <w:bCs/>
          <w:sz w:val="18"/>
          <w:szCs w:val="18"/>
          <w:lang w:val="en-GB"/>
        </w:rPr>
        <w:fldChar w:fldCharType="separate"/>
      </w:r>
      <w:r w:rsidRPr="00DD381C">
        <w:rPr>
          <w:rFonts w:ascii="Bookman Old Style" w:hAnsi="Bookman Old Style" w:cs="Arial"/>
          <w:bCs/>
          <w:noProof/>
          <w:sz w:val="18"/>
          <w:szCs w:val="18"/>
          <w:lang w:val="en-GB"/>
        </w:rPr>
        <w:t>[12]</w:t>
      </w:r>
      <w:r w:rsidRPr="00DD381C">
        <w:rPr>
          <w:rFonts w:ascii="Bookman Old Style" w:hAnsi="Bookman Old Style" w:cs="Arial"/>
          <w:bCs/>
          <w:sz w:val="18"/>
          <w:szCs w:val="18"/>
          <w:lang w:val="en-GB"/>
        </w:rPr>
        <w:fldChar w:fldCharType="end"/>
      </w:r>
      <w:r w:rsidRPr="00DD381C">
        <w:rPr>
          <w:rFonts w:ascii="Bookman Old Style" w:hAnsi="Bookman Old Style" w:cs="Arial"/>
          <w:bCs/>
          <w:sz w:val="18"/>
          <w:szCs w:val="18"/>
          <w:lang w:val="en-GB"/>
        </w:rPr>
        <w:t xml:space="preserve">, tingginya nilai SPF berkorelasi langsung dengan kandungan antioksidan. Serai dan kemangi memiliki kapasitas antioksidan yang lebih tinggi dibandingkan tumbuhan lain </w:t>
      </w:r>
      <w:r w:rsidRPr="00DD381C">
        <w:rPr>
          <w:rFonts w:ascii="Bookman Old Style" w:hAnsi="Bookman Old Style" w:cs="Arial"/>
          <w:bCs/>
          <w:sz w:val="18"/>
          <w:szCs w:val="18"/>
          <w:lang w:val="en-GB"/>
        </w:rPr>
        <w:fldChar w:fldCharType="begin" w:fldLock="1"/>
      </w:r>
      <w:r w:rsidR="00CB5D15">
        <w:rPr>
          <w:rFonts w:ascii="Bookman Old Style" w:hAnsi="Bookman Old Style" w:cs="Arial"/>
          <w:bCs/>
          <w:sz w:val="18"/>
          <w:szCs w:val="18"/>
          <w:lang w:val="en-GB"/>
        </w:rPr>
        <w:instrText>ADDIN CSL_CITATION {"citationItems":[{"id":"ITEM-1","itemData":{"DOI":"10.31596/cjp.v6i2.177","ISSN":"2599-2163","abstract":"Nyamuk merupakan vektor yang menyebabkan berbagai penyakit antara lain DBD, penyakit kaki gajah, dan malaria. Hal ini menjadi masalah kesehatan yang penting dan berbahaya sehingga perlu upaya untuk mencegahnya. Salah satunya dengan perlindungan yang berasal dari diri sendiri misalnya dengan menggunakan lotion antinyamuk. Minyak atsiri (linalool, estragol, geraniol, eugenol dan sineol) yang terkandung dalam kemangi dan citronellal yang terkandung dalam sereh merupakan senyawa yang berkhasiat sebagai penolak nyamuk. Tujuan penelitian ini untuk mengetahui karakteristik fisik dan efektivitas repellent sediaan lotion kombinasi ekstrak daun kemangi (Ocimum sanctum L.) dan ekstrak sereh (Cymbopogon nardus L Rendle.). Repellent sediaan lotion diformulasikan dengan perbandingan konsentrasi ekstrak F1 10% dan F2 15%. Ekstraksi kemangi dan sereh menggunakan metode maserasi dengan pelarut N-heksan dan didapat rendemen sebesar 6,258% untuk ekstrak kemangi dan 8,842% untuk ekstrak sereh. Repellent sediaan lotion dilakukan uji stabilitas dengan metode freeze and thaw pada parameter uji organoleptis, homogenitas, pH, tipe emulsi, daya lekat, daya sebar, dan efektivitas. Hasil setelah uji stabilitas menunjukkan perubahan organoleptis dari betuknya karena pengaruh suhu, perubahan nilai pH, perubahan daya lekat dan daya sebar, serta menurunnya efektivitas repellent. Kesimpulan penelitian ini adalah repellent sediaan lotion yang dibuat memenuhi persyaratan uji karakteristik yang ditetapkan dan efektif dalam menolak nyamuk","author":[{"dropping-particle":"","family":"Kristianingsih","given":"Ida","non-dropping-particle":"","parse-names":false,"suffix":""},{"dropping-particle":"","family":"Febriana","given":"Ika Nur","non-dropping-particle":"","parse-names":false,"suffix":""}],"container-title":"Cendekia Journal of Pharmacy","id":"ITEM-1","issue":"2","issued":{"date-parts":[["2022"]]},"page":"212-226","title":"Formulasi Sediaan Repellent Sediaan Lotion Kombinasi Ekstrak Daun Kemangi (Ocimum sanctum L.) dan Ekstrak Sereh (Cymbopogon nardus L Rendle.)","type":"article-journal","volume":"6"},"uris":["http://www.mendeley.com/documents/?uuid=9601c2d4-a560-40a7-89c7-007b82bb95d2"]}],"mendeley":{"formattedCitation":"[14]","manualFormatting":"[13,","plainTextFormattedCitation":"[14]","previouslyFormattedCitation":"[14]"},"properties":{"noteIndex":0},"schema":"https://github.com/citation-style-language/schema/raw/master/csl-citation.json"}</w:instrText>
      </w:r>
      <w:r w:rsidRPr="00DD381C">
        <w:rPr>
          <w:rFonts w:ascii="Bookman Old Style" w:hAnsi="Bookman Old Style" w:cs="Arial"/>
          <w:bCs/>
          <w:sz w:val="18"/>
          <w:szCs w:val="18"/>
          <w:lang w:val="en-GB"/>
        </w:rPr>
        <w:fldChar w:fldCharType="separate"/>
      </w:r>
      <w:r w:rsidRPr="00DD381C">
        <w:rPr>
          <w:rFonts w:ascii="Bookman Old Style" w:hAnsi="Bookman Old Style" w:cs="Arial"/>
          <w:bCs/>
          <w:noProof/>
          <w:sz w:val="18"/>
          <w:szCs w:val="18"/>
          <w:lang w:val="en-GB"/>
        </w:rPr>
        <w:t>[13,</w:t>
      </w:r>
      <w:r w:rsidRPr="00DD381C">
        <w:rPr>
          <w:rFonts w:ascii="Bookman Old Style" w:hAnsi="Bookman Old Style" w:cs="Arial"/>
          <w:bCs/>
          <w:sz w:val="18"/>
          <w:szCs w:val="18"/>
          <w:lang w:val="en-GB"/>
        </w:rPr>
        <w:fldChar w:fldCharType="end"/>
      </w:r>
      <w:r w:rsidRPr="00DD381C">
        <w:rPr>
          <w:rFonts w:ascii="Bookman Old Style" w:hAnsi="Bookman Old Style" w:cs="Arial"/>
          <w:bCs/>
          <w:sz w:val="18"/>
          <w:szCs w:val="18"/>
          <w:lang w:val="en-GB"/>
        </w:rPr>
        <w:fldChar w:fldCharType="begin" w:fldLock="1"/>
      </w:r>
      <w:r w:rsidR="00CB5D15">
        <w:rPr>
          <w:rFonts w:ascii="Bookman Old Style" w:hAnsi="Bookman Old Style" w:cs="Arial"/>
          <w:bCs/>
          <w:sz w:val="18"/>
          <w:szCs w:val="18"/>
          <w:lang w:val="en-GB"/>
        </w:rPr>
        <w:instrText>ADDIN CSL_CITATION {"citationItems":[{"id":"ITEM-1","itemData":{"author":[{"dropping-particle":"","family":"Yaseen","given":"Mariam","non-dropping-particle":"","parse-names":false,"suffix":""},{"dropping-particle":"","family":"Mahmood","given":"Tariq","non-dropping-particle":"","parse-names":false,"suffix":""},{"dropping-particle":"","family":"Yousa","given":"Abid M.","non-dropping-particle":"","parse-names":false,"suffix":""},{"dropping-particle":"","family":"Shahzad","given":"Yasser","non-dropping-particle":"","parse-names":false,"suffix":""},{"dropping-particle":"","family":"Bjørklund","given":"Geir","non-dropping-particle":"","parse-names":false,"suffix":""},{"dropping-particle":"","family":"Lysiuk","given":"Roman","non-dropping-particle":"","parse-names":false,"suffix":""}],"container-title":"Pakistan Academy of Sciences","id":"ITEM-1","issue":"2","issued":{"date-parts":[["2018"]]},"page":"11-20","title":"Formulation, Characterization and In-vitro Sun Protection Factor of a Lemongrass Sunscreen Lotion","type":"article-journal","volume":"55"},"uris":["http://www.mendeley.com/documents/?uuid=111dc0ea-b1e5-4945-816f-edc772e01b84"]}],"mendeley":{"formattedCitation":"[23]","manualFormatting":"22]","plainTextFormattedCitation":"[23]","previouslyFormattedCitation":"[23]"},"properties":{"noteIndex":0},"schema":"https://github.com/citation-style-language/schema/raw/master/csl-citation.json"}</w:instrText>
      </w:r>
      <w:r w:rsidRPr="00DD381C">
        <w:rPr>
          <w:rFonts w:ascii="Bookman Old Style" w:hAnsi="Bookman Old Style" w:cs="Arial"/>
          <w:bCs/>
          <w:sz w:val="18"/>
          <w:szCs w:val="18"/>
          <w:lang w:val="en-GB"/>
        </w:rPr>
        <w:fldChar w:fldCharType="separate"/>
      </w:r>
      <w:r w:rsidRPr="00DD381C">
        <w:rPr>
          <w:rFonts w:ascii="Bookman Old Style" w:hAnsi="Bookman Old Style" w:cs="Arial"/>
          <w:bCs/>
          <w:noProof/>
          <w:sz w:val="18"/>
          <w:szCs w:val="18"/>
          <w:lang w:val="en-GB"/>
        </w:rPr>
        <w:t>22]</w:t>
      </w:r>
      <w:r w:rsidRPr="00DD381C">
        <w:rPr>
          <w:rFonts w:ascii="Bookman Old Style" w:hAnsi="Bookman Old Style" w:cs="Arial"/>
          <w:bCs/>
          <w:sz w:val="18"/>
          <w:szCs w:val="18"/>
          <w:lang w:val="en-GB"/>
        </w:rPr>
        <w:fldChar w:fldCharType="end"/>
      </w:r>
      <w:r w:rsidRPr="00DD381C">
        <w:rPr>
          <w:rFonts w:ascii="Bookman Old Style" w:hAnsi="Bookman Old Style" w:cs="Arial"/>
          <w:bCs/>
          <w:sz w:val="18"/>
          <w:szCs w:val="18"/>
          <w:lang w:val="en-GB"/>
        </w:rPr>
        <w:t xml:space="preserve">. Hal ini menunjukkan bahwa peningkatan konsentrasi ekstrak serai dan kemangi berbanding lurus dengan kemampuan tabir surya yang dihasilkan. Namun, apabila dibandingkan dengan rekomendasi </w:t>
      </w:r>
      <w:r w:rsidRPr="00DD381C">
        <w:rPr>
          <w:rFonts w:ascii="Bookman Old Style" w:hAnsi="Bookman Old Style" w:cs="Arial"/>
          <w:bCs/>
          <w:i/>
          <w:iCs/>
          <w:sz w:val="18"/>
          <w:szCs w:val="18"/>
          <w:lang w:val="en-GB"/>
        </w:rPr>
        <w:t>American Academy of Dermatology</w:t>
      </w:r>
      <w:r w:rsidRPr="00DD381C">
        <w:rPr>
          <w:rFonts w:ascii="Bookman Old Style" w:hAnsi="Bookman Old Style" w:cs="Arial"/>
          <w:bCs/>
          <w:sz w:val="18"/>
          <w:szCs w:val="18"/>
          <w:lang w:val="en-GB"/>
        </w:rPr>
        <w:t xml:space="preserve"> (SPF ≥ 30), nilai SPF formulasi pada penelitian ini masih tergolong rendah. Sehingga perlu optimasi lebih lanjut, misalnya dengan meningkatkan konsentrasi ekstrak serai dan kemangi atau mengombinasikannya dengan bahan aktif lain. </w:t>
      </w:r>
    </w:p>
    <w:p w14:paraId="308F6A65" w14:textId="1D9D5481" w:rsidR="00DD381C" w:rsidRDefault="00DD381C" w:rsidP="00596EC1">
      <w:pPr>
        <w:pStyle w:val="BodyText"/>
        <w:spacing w:line="276" w:lineRule="auto"/>
        <w:rPr>
          <w:rFonts w:ascii="Bookman Old Style" w:hAnsi="Bookman Old Style" w:cs="Arial"/>
          <w:bCs/>
          <w:sz w:val="18"/>
          <w:szCs w:val="18"/>
          <w:lang w:val="en-GB"/>
        </w:rPr>
      </w:pPr>
      <w:r w:rsidRPr="00DD381C">
        <w:rPr>
          <w:rFonts w:ascii="Bookman Old Style" w:hAnsi="Bookman Old Style" w:cs="Arial"/>
          <w:bCs/>
          <w:sz w:val="18"/>
          <w:szCs w:val="18"/>
          <w:lang w:val="en-GB"/>
        </w:rPr>
        <w:t xml:space="preserve">Endahsari dkk </w:t>
      </w:r>
      <w:r w:rsidRPr="00DD381C">
        <w:rPr>
          <w:rFonts w:ascii="Bookman Old Style" w:hAnsi="Bookman Old Style" w:cs="Arial"/>
          <w:bCs/>
          <w:sz w:val="18"/>
          <w:szCs w:val="18"/>
          <w:lang w:val="en-GB"/>
        </w:rPr>
        <w:fldChar w:fldCharType="begin" w:fldLock="1"/>
      </w:r>
      <w:r w:rsidR="00CB5D15">
        <w:rPr>
          <w:rFonts w:ascii="Bookman Old Style" w:hAnsi="Bookman Old Style" w:cs="Arial"/>
          <w:bCs/>
          <w:sz w:val="18"/>
          <w:szCs w:val="18"/>
          <w:lang w:val="en-GB"/>
        </w:rPr>
        <w:instrText>ADDIN CSL_CITATION {"citationItems":[{"id":"ITEM-1","itemData":{"DOI":"10.55181/ijms.v9i2.371","ISSN":"2355-1313","abstract":"Daun kemangi (Ocimum santum L.) merupakan tanaman yang umum bagi masyarakat. Biasanya daun kemangi digunakan sebagai lalapan. Daun kemangi mengandung senyawa flavonoid dan tanin yang mempunyai potensi sebagai tabir surya. Penelitian ini bertujuan untuk mengetahui nilai SPF dan formulasi krim ekstrak etanol daun (kemangi sebagai tabir surya. Penelitian ini merupakan penelitian eksperimental dengan melakukan uji nilai SPF ekstrak etanol daun kemangi sebagai tabir surya dengan cara mengesktraksi daun kemangi dengan metode remaserasi dengan menggunakan etanol 96% dan diuji menggunakan  metode spektrofotometri UV-Vis. Uji sediaan meliputi : uji organoleptis, pengukuran pH, uji homogenitas krim, uji daya sebar, uji daya lekat, uji daya proteksi. Hasil uji evaluasi sediaan dihitung rata-rata dan dianalisis dengan uji ANOVA. Hasil penetapan nilai SPF ekstrak Etanol Daun Kemangi pada konsentrasi 800 ppm, 1000 ppm, 1200 ppm, 1400 ppm,  dan 1600 diperoleh nilai SPF  berturut-turut :  17,73 ± 0,90; 21,17 ± 0,06; 25,59 ± 0,35; 30,54 ± 0,22; 62,56 ± 0,15. ekstrak etanol daun kemangi dengan konsentrasi ekstrak 1600 ppm adalah 62,56 ± 0,15. Berdasarkan Food and Drug Administrastion  (FDA) nilai SPF tersebut termasuk kategori perlindungan tinggi karena memiliki nilai SPF diatas 30. Ekstrak etanol daun kemangi berpotensi sebagai tabir surya.","author":[{"dropping-particle":"","family":"Endahsari","given":"Fahmi Nur","non-dropping-particle":"","parse-names":false,"suffix":""},{"dropping-particle":"","family":"Endrawati","given":"Susi","non-dropping-particle":"","parse-names":false,"suffix":""},{"dropping-particle":"","family":"Wahyuningsih","given":"Sri Saptuti","non-dropping-particle":"","parse-names":false,"suffix":""}],"container-title":"Indonesian Journal on Medical Science","id":"ITEM-1","issue":"2","issued":{"date-parts":[["2022"]]},"page":"133-139","title":"Formulasi dan penentuan Nilai SPF Ekstrak Etanol Daun Kemangi (Ocimum sanctum L.) Sediaan Krim Tabir Surya","type":"article-journal","volume":"9"},"uris":["http://www.mendeley.com/documents/?uuid=2e19eb85-4085-4a56-b29e-c82ec64a87b8"]}],"mendeley":{"formattedCitation":"[11]","plainTextFormattedCitation":"[11]","previouslyFormattedCitation":"[11]"},"properties":{"noteIndex":0},"schema":"https://github.com/citation-style-language/schema/raw/master/csl-citation.json"}</w:instrText>
      </w:r>
      <w:r w:rsidRPr="00DD381C">
        <w:rPr>
          <w:rFonts w:ascii="Bookman Old Style" w:hAnsi="Bookman Old Style" w:cs="Arial"/>
          <w:bCs/>
          <w:sz w:val="18"/>
          <w:szCs w:val="18"/>
          <w:lang w:val="en-GB"/>
        </w:rPr>
        <w:fldChar w:fldCharType="separate"/>
      </w:r>
      <w:r w:rsidRPr="00DD381C">
        <w:rPr>
          <w:rFonts w:ascii="Bookman Old Style" w:hAnsi="Bookman Old Style" w:cs="Arial"/>
          <w:bCs/>
          <w:noProof/>
          <w:sz w:val="18"/>
          <w:szCs w:val="18"/>
          <w:lang w:val="en-GB"/>
        </w:rPr>
        <w:t>[11]</w:t>
      </w:r>
      <w:r w:rsidRPr="00DD381C">
        <w:rPr>
          <w:rFonts w:ascii="Bookman Old Style" w:hAnsi="Bookman Old Style" w:cs="Arial"/>
          <w:bCs/>
          <w:sz w:val="18"/>
          <w:szCs w:val="18"/>
          <w:lang w:val="en-GB"/>
        </w:rPr>
        <w:fldChar w:fldCharType="end"/>
      </w:r>
      <w:r w:rsidRPr="00DD381C">
        <w:rPr>
          <w:rFonts w:ascii="Bookman Old Style" w:hAnsi="Bookman Old Style" w:cs="Arial"/>
          <w:bCs/>
          <w:sz w:val="18"/>
          <w:szCs w:val="18"/>
          <w:lang w:val="en-GB"/>
        </w:rPr>
        <w:t xml:space="preserve"> melakukan uji SPF pada daun kemangi pada beberapa konsentrasi berbeda. Konsentrasi tertinggi (1600 ppm) menghasilkan nilai SPF tinggi, sedangkan konsentrasi rendah (800 ppm) menghasilkan nilai SPF sebesar 17. Hal ini menujukkan bahwa untuk memperoleh nilai SPF yang tinggi dapat dilakukan dengan menaikkan konsentrasi ekstrak. Taebenu dkk </w:t>
      </w:r>
      <w:r w:rsidRPr="00DD381C">
        <w:rPr>
          <w:rFonts w:ascii="Bookman Old Style" w:hAnsi="Bookman Old Style" w:cs="Arial"/>
          <w:bCs/>
          <w:sz w:val="18"/>
          <w:szCs w:val="18"/>
          <w:lang w:val="en-GB"/>
        </w:rPr>
        <w:fldChar w:fldCharType="begin" w:fldLock="1"/>
      </w:r>
      <w:r w:rsidR="00CB5D15">
        <w:rPr>
          <w:rFonts w:ascii="Bookman Old Style" w:hAnsi="Bookman Old Style" w:cs="Arial"/>
          <w:bCs/>
          <w:sz w:val="18"/>
          <w:szCs w:val="18"/>
          <w:lang w:val="en-GB"/>
        </w:rPr>
        <w:instrText>ADDIN CSL_CITATION {"citationItems":[{"id":"ITEM-1","itemData":{"DOI":"10.20473/jbp.v25i2.2023.137-145","author":[{"dropping-particle":"","family":"Taebenu","given":"Desi Adriyanti Nina","non-dropping-particle":"","parse-names":false,"suffix":""},{"dropping-particle":"","family":"Arpiwi","given":"Ni Luh","non-dropping-particle":"","parse-names":false,"suffix":""},{"dropping-particle":"","family":"Sudatri","given":"Ni Wayan","non-dropping-particle":"","parse-names":false,"suffix":""}],"container-title":"Jurnal Biosains Pascasarjana","id":"ITEM-1","issue":"2","issued":{"date-parts":[["2023"]]},"page":"137-145","title":"FORMULATION OF SUNSCREEN BODY LOTION FROM MORINGA (Moringa oleifera L.) LEAF EXTRACT","type":"article-journal","volume":"25"},"uris":["http://www.mendeley.com/documents/?uuid=5ffdd970-3127-4ef7-89fd-462fb58ae6c6"]}],"mendeley":{"formattedCitation":"[24]","plainTextFormattedCitation":"[24]","previouslyFormattedCitation":"[24]"},"properties":{"noteIndex":0},"schema":"https://github.com/citation-style-language/schema/raw/master/csl-citation.json"}</w:instrText>
      </w:r>
      <w:r w:rsidRPr="00DD381C">
        <w:rPr>
          <w:rFonts w:ascii="Bookman Old Style" w:hAnsi="Bookman Old Style" w:cs="Arial"/>
          <w:bCs/>
          <w:sz w:val="18"/>
          <w:szCs w:val="18"/>
          <w:lang w:val="en-GB"/>
        </w:rPr>
        <w:fldChar w:fldCharType="separate"/>
      </w:r>
      <w:r w:rsidRPr="00DD381C">
        <w:rPr>
          <w:rFonts w:ascii="Bookman Old Style" w:hAnsi="Bookman Old Style" w:cs="Arial"/>
          <w:bCs/>
          <w:noProof/>
          <w:sz w:val="18"/>
          <w:szCs w:val="18"/>
          <w:lang w:val="en-GB"/>
        </w:rPr>
        <w:t>[24]</w:t>
      </w:r>
      <w:r w:rsidRPr="00DD381C">
        <w:rPr>
          <w:rFonts w:ascii="Bookman Old Style" w:hAnsi="Bookman Old Style" w:cs="Arial"/>
          <w:bCs/>
          <w:sz w:val="18"/>
          <w:szCs w:val="18"/>
          <w:lang w:val="en-GB"/>
        </w:rPr>
        <w:fldChar w:fldCharType="end"/>
      </w:r>
      <w:r w:rsidRPr="00DD381C">
        <w:rPr>
          <w:rFonts w:ascii="Bookman Old Style" w:hAnsi="Bookman Old Style" w:cs="Arial"/>
          <w:bCs/>
          <w:sz w:val="18"/>
          <w:szCs w:val="18"/>
          <w:lang w:val="en-GB"/>
        </w:rPr>
        <w:t xml:space="preserve"> melaporkan hasil pengujian SPF pada </w:t>
      </w:r>
      <w:r w:rsidRPr="00DD381C">
        <w:rPr>
          <w:rFonts w:ascii="Bookman Old Style" w:hAnsi="Bookman Old Style" w:cs="Arial"/>
          <w:bCs/>
          <w:i/>
          <w:iCs/>
          <w:sz w:val="18"/>
          <w:szCs w:val="18"/>
          <w:lang w:val="en-GB"/>
        </w:rPr>
        <w:t>body lotion</w:t>
      </w:r>
      <w:r w:rsidRPr="00DD381C">
        <w:rPr>
          <w:rFonts w:ascii="Bookman Old Style" w:hAnsi="Bookman Old Style" w:cs="Arial"/>
          <w:bCs/>
          <w:sz w:val="18"/>
          <w:szCs w:val="18"/>
          <w:lang w:val="en-GB"/>
        </w:rPr>
        <w:t xml:space="preserve"> dengan penambahan ekstrak daun kelor 0,5 % memiliki </w:t>
      </w:r>
      <w:r w:rsidRPr="00DD381C">
        <w:rPr>
          <w:rFonts w:ascii="Bookman Old Style" w:hAnsi="Bookman Old Style" w:cs="Arial"/>
          <w:bCs/>
          <w:sz w:val="18"/>
          <w:szCs w:val="18"/>
          <w:lang w:val="en-GB"/>
        </w:rPr>
        <w:t xml:space="preserve">nilai SPF 9,7605 (tergolong perlindungan maksimal) dan dapat memberikan ketahanan selama 97 menit. Kemudian dengan penambahan ekstrak daun kelor 1% memiliki nilai SPF 19,0299 dan dapat memberikan ketahanan selama 10 menit. Hal ini membuktikan bahwa dengan menambahkan konsetrasi ekstrak dapat meningkatkan nilai SPF. Peninjauan sistematis juga menyebutkan bahwa senyawa alami memiliki potensi untuk meningkatkan nilai SPF formulasi, meskipun umumnya belum mencapai nilai SPF komersial </w:t>
      </w:r>
      <w:r w:rsidRPr="00DD381C">
        <w:rPr>
          <w:rFonts w:ascii="Bookman Old Style" w:hAnsi="Bookman Old Style" w:cs="Arial"/>
          <w:bCs/>
          <w:sz w:val="18"/>
          <w:szCs w:val="18"/>
          <w:lang w:val="en-GB"/>
        </w:rPr>
        <w:fldChar w:fldCharType="begin" w:fldLock="1"/>
      </w:r>
      <w:r w:rsidR="00CB5D15">
        <w:rPr>
          <w:rFonts w:ascii="Bookman Old Style" w:hAnsi="Bookman Old Style" w:cs="Arial"/>
          <w:bCs/>
          <w:sz w:val="18"/>
          <w:szCs w:val="18"/>
          <w:lang w:val="en-GB"/>
        </w:rPr>
        <w:instrText>ADDIN CSL_CITATION {"citationItems":[{"id":"ITEM-1","itemData":{"author":[{"dropping-particle":"","family":"Shabrina","given":"Ayunda Myela","non-dropping-particle":"","parse-names":false,"suffix":""},{"dropping-particle":"","family":"Siti","given":"Raden","non-dropping-particle":"","parse-names":false,"suffix":""},{"dropping-particle":"","family":"Azzahra","given":"Salma","non-dropping-particle":"","parse-names":false,"suffix":""},{"dropping-particle":"","family":"Permata","given":"Ivana Nathania","non-dropping-particle":"","parse-names":false,"suffix":""},{"dropping-particle":"","family":"Dewi","given":"Humaira Praswatika","non-dropping-particle":"","parse-names":false,"suffix":""},{"dropping-particle":"","family":"Safitri","given":"Ratnadani Amalia","non-dropping-particle":"","parse-names":false,"suffix":""},{"dropping-particle":"","family":"Maya","given":"Ira","non-dropping-particle":"","parse-names":false,"suffix":""},{"dropping-particle":"","family":"Aulia","given":"Rizqa Nurul","non-dropping-particle":"","parse-names":false,"suffix":""},{"dropping-particle":"","family":"Sriwidodo","given":"Sriwidodo","non-dropping-particle":"","parse-names":false,"suffix":""},{"dropping-particle":"","family":"Mita","given":"Soraya Ratnawulan","non-dropping-particle":"","parse-names":false,"suffix":""},{"dropping-particle":"","family":"Amalia","given":"Eri","non-dropping-particle":"","parse-names":false,"suffix":""},{"dropping-particle":"","family":"Putriana","given":"Norisca Aliza","non-dropping-particle":"","parse-names":false,"suffix":""}],"container-title":"Cosmetics","id":"ITEM-1","issue":"10","issued":{"date-parts":[["2025"]]},"page":"9","title":"Potential of Natural-Based Sun Protection Factor (SPF): A Systematic Review of Curcumin as Sunscreen","type":"article-journal","volume":"12"},"uris":["http://www.mendeley.com/documents/?uuid=64aea9c7-bb3c-4090-af88-ad4d09463db2"]}],"mendeley":{"formattedCitation":"[25]","plainTextFormattedCitation":"[25]","previouslyFormattedCitation":"[25]"},"properties":{"noteIndex":0},"schema":"https://github.com/citation-style-language/schema/raw/master/csl-citation.json"}</w:instrText>
      </w:r>
      <w:r w:rsidRPr="00DD381C">
        <w:rPr>
          <w:rFonts w:ascii="Bookman Old Style" w:hAnsi="Bookman Old Style" w:cs="Arial"/>
          <w:bCs/>
          <w:sz w:val="18"/>
          <w:szCs w:val="18"/>
          <w:lang w:val="en-GB"/>
        </w:rPr>
        <w:fldChar w:fldCharType="separate"/>
      </w:r>
      <w:r w:rsidRPr="00DD381C">
        <w:rPr>
          <w:rFonts w:ascii="Bookman Old Style" w:hAnsi="Bookman Old Style" w:cs="Arial"/>
          <w:bCs/>
          <w:noProof/>
          <w:sz w:val="18"/>
          <w:szCs w:val="18"/>
          <w:lang w:val="en-GB"/>
        </w:rPr>
        <w:t>[25]</w:t>
      </w:r>
      <w:r w:rsidRPr="00DD381C">
        <w:rPr>
          <w:rFonts w:ascii="Bookman Old Style" w:hAnsi="Bookman Old Style" w:cs="Arial"/>
          <w:bCs/>
          <w:sz w:val="18"/>
          <w:szCs w:val="18"/>
          <w:lang w:val="en-GB"/>
        </w:rPr>
        <w:fldChar w:fldCharType="end"/>
      </w:r>
      <w:r w:rsidRPr="00DD381C">
        <w:rPr>
          <w:rFonts w:ascii="Bookman Old Style" w:hAnsi="Bookman Old Style" w:cs="Arial"/>
          <w:bCs/>
          <w:sz w:val="18"/>
          <w:szCs w:val="18"/>
          <w:lang w:val="en-GB"/>
        </w:rPr>
        <w:t>. Oleh karena itu, meskipun SPF yang diperoleh dari ekstrak kemangi dan serai pada penelitian ini (10,41) relatif rendah dibandingkan dengan standar produk komersial, hasil ini tetap menunjukkan bahwa formulasi tersebut memiliki potensi sebagai produk tabir surya, serta menunjukkan bahwa formulasi ini berada dalam peta penelitian bahan alami dan inovasi produk. Senyawa antioksidan dan antiinflamasi yang terkandung dalam ekstrak kemangi dan serai memainkan peran penting dalam melindungi kulit dari kerusakan akibat paparan sinar UV</w:t>
      </w:r>
      <w:r>
        <w:rPr>
          <w:rFonts w:ascii="Bookman Old Style" w:hAnsi="Bookman Old Style" w:cs="Arial"/>
          <w:bCs/>
          <w:sz w:val="18"/>
          <w:szCs w:val="18"/>
          <w:lang w:val="en-GB"/>
        </w:rPr>
        <w:t>.</w:t>
      </w:r>
    </w:p>
    <w:p w14:paraId="259FC3E3" w14:textId="48DB7E8A" w:rsidR="00DD381C" w:rsidRDefault="00DD381C" w:rsidP="00596EC1">
      <w:pPr>
        <w:pStyle w:val="BodyText"/>
        <w:spacing w:line="276" w:lineRule="auto"/>
        <w:rPr>
          <w:rFonts w:ascii="Bookman Old Style" w:hAnsi="Bookman Old Style" w:cs="Arial"/>
          <w:bCs/>
          <w:sz w:val="18"/>
          <w:szCs w:val="18"/>
          <w:lang w:val="en-GB"/>
        </w:rPr>
      </w:pPr>
      <w:r w:rsidRPr="00DD381C">
        <w:rPr>
          <w:rFonts w:ascii="Bookman Old Style" w:hAnsi="Bookman Old Style" w:cs="Arial"/>
          <w:bCs/>
          <w:sz w:val="18"/>
          <w:szCs w:val="18"/>
          <w:lang w:val="en-GB"/>
        </w:rPr>
        <w:t xml:space="preserve">Perbedaan utama antara studi ini dengan penelitian sebelumnya adalah bahwa pada penelitian ini menggunakan pendekatan formulasi spray yang dianggap lebih efisien dalam distribusi bahan aktif di permukaan kulit. Menurut Meilina dkk </w:t>
      </w:r>
      <w:r w:rsidRPr="00DD381C">
        <w:rPr>
          <w:rFonts w:ascii="Bookman Old Style" w:hAnsi="Bookman Old Style" w:cs="Arial"/>
          <w:bCs/>
          <w:sz w:val="18"/>
          <w:szCs w:val="18"/>
          <w:lang w:val="en-GB"/>
        </w:rPr>
        <w:fldChar w:fldCharType="begin" w:fldLock="1"/>
      </w:r>
      <w:r w:rsidR="00CB5D15">
        <w:rPr>
          <w:rFonts w:ascii="Bookman Old Style" w:hAnsi="Bookman Old Style" w:cs="Arial"/>
          <w:bCs/>
          <w:sz w:val="18"/>
          <w:szCs w:val="18"/>
          <w:lang w:val="en-GB"/>
        </w:rPr>
        <w:instrText>ADDIN CSL_CITATION {"citationItems":[{"id":"ITEM-1","itemData":{"abstract":"Abstrak Dampak dari gigitan nyamuk sangat merugikan bagi manusia, yang paling ringan diantaranya dapat menyebabkan gatal-gatal dan segala dampak yang ditimbulkannya juga sangat mengganggu aktifitas. Tujuan penelitian Mengetahui efektivitas sediaan spray ekstrak etanol daun mint (Mentha piperita L.) sebagai anti nyamuk alami serta mengetahui evaluasi sediaan spray ekstrak etanol daun mint (Mentha piperita L.). Metode penelitian yang digunakan adalah eksperimental laboraturium. Spray diformulasikan dengan F0 tidak ada penambahan ekstrak, sedangkan pada F1 (5%), F2 (10%), F3 (15%) ada penambahan ekstrak etanol daun mint, kemudian tahap evaluasi formulasi spray dan data uji efektivitas formulasi spray anti nyamuk dianalisis menggunakan metode statistik berupa uji One Way Anova. Hasil penelitian dari uji pH (5,5-4,5), daya sebar baik, tidak menimbulkan iritasi kulit, nilai uji hedonic (uji kesukaan) keterangan rata-rata suka dan efektifitas formulasi spray anti nyamuk untuk F0 terdapat 11 nyamuk yang hinggap dikarenakan tanpa kandungan ekstrak sedangkan F1, F2, F3 tidak terdapat nyamuk yang hinggap dikarenakan penambahan ekstrak etanol daun mint pada masing-masing formula. Kesimpulan penelitian adalah spray ekstrak etanol daun mint (Mentha piperita L.) sangat efektif untuk digunakan sebagai anti nyamuk alami dan hasil evaluasi formulasi spray meliputi uji pH, uji daya sebar, uji iritasi dan uji hedonic (uji kesukaan) dari Ekstrak daun mint (Mentha piperita L.) dapat digunakan sebagai anti nyamuk alami. Kata Kunci: Daun mint, spray, ekstrak, anti nyamuk Abstract The impact of mosquito bites is very detrimental to humans, the mildest of which can cause itching and all the effects it causes are also very disturbing to activities. To determine the effectiveness of ethanol extract of mint leaves (Mentha piperita L.) spray preparation as a natural mosquito repellent and to determine the evaluation of ethanol extract of mint leaves (Mentha piperita L.) spray preparation. The research method used is laboratory experimental. The spray is formulated with F0 without the addition of extract, while in F1 (5%), F2 (10%), F3 (15%) there is the addition of ethanol extract of mint leaves, then the stage of evaluating the spray formulation and mosquito repellent spray formulation test data are analyzed using statistical methods in the form of One Way Anova test. The results of the pH test (5.5-4.5), good spreadability, no skin irritation, hedonic test value (preference test) …","author":[{"dropping-particle":"","family":"Meilina","given":"Rulia","non-dropping-particle":"","parse-names":false,"suffix":""},{"dropping-particle":"","family":"Dewi","given":"Revina","non-dropping-particle":"","parse-names":false,"suffix":""},{"dropping-particle":"","family":"Husna","given":"Asmaul","non-dropping-particle":"","parse-names":false,"suffix":""},{"dropping-particle":"","family":"Willis","given":"Ratna","non-dropping-particle":"","parse-names":false,"suffix":""}],"container-title":"Journal of Healtcare Technology and Medicine","id":"ITEM-1","issue":"1","issued":{"date-parts":[["2024"]]},"page":"2615-109","title":"Formulasi dan Efektivitas Sediaan Spray Ekstrak Etanol Daun Mint (Mentha Piperita L.) Sebagai Anti Nyamuk Formulation and Effectiveness of Mint Leaves (Mentha Piperita L.) Ethanol Extract Spray as an Anti-Mosquito","type":"article-journal","volume":"10"},"uris":["http://www.mendeley.com/documents/?uuid=f6dd3294-af62-444e-a55c-6a755a9b3791"]}],"mendeley":{"formattedCitation":"[18]","plainTextFormattedCitation":"[18]","previouslyFormattedCitation":"[18]"},"properties":{"noteIndex":0},"schema":"https://github.com/citation-style-language/schema/raw/master/csl-citation.json"}</w:instrText>
      </w:r>
      <w:r w:rsidRPr="00DD381C">
        <w:rPr>
          <w:rFonts w:ascii="Bookman Old Style" w:hAnsi="Bookman Old Style" w:cs="Arial"/>
          <w:bCs/>
          <w:sz w:val="18"/>
          <w:szCs w:val="18"/>
          <w:lang w:val="en-GB"/>
        </w:rPr>
        <w:fldChar w:fldCharType="separate"/>
      </w:r>
      <w:r w:rsidRPr="00DD381C">
        <w:rPr>
          <w:rFonts w:ascii="Bookman Old Style" w:hAnsi="Bookman Old Style" w:cs="Arial"/>
          <w:bCs/>
          <w:noProof/>
          <w:sz w:val="18"/>
          <w:szCs w:val="18"/>
          <w:lang w:val="en-GB"/>
        </w:rPr>
        <w:t>[18]</w:t>
      </w:r>
      <w:r w:rsidRPr="00DD381C">
        <w:rPr>
          <w:rFonts w:ascii="Bookman Old Style" w:hAnsi="Bookman Old Style" w:cs="Arial"/>
          <w:bCs/>
          <w:sz w:val="18"/>
          <w:szCs w:val="18"/>
          <w:lang w:val="en-GB"/>
        </w:rPr>
        <w:fldChar w:fldCharType="end"/>
      </w:r>
      <w:r w:rsidRPr="00DD381C">
        <w:rPr>
          <w:rFonts w:ascii="Bookman Old Style" w:hAnsi="Bookman Old Style" w:cs="Arial"/>
          <w:bCs/>
          <w:sz w:val="18"/>
          <w:szCs w:val="18"/>
          <w:lang w:val="en-GB"/>
        </w:rPr>
        <w:t xml:space="preserve"> sediaan spray memiliki distribusi yang lebih merata dibandingkan dengan sediaan lotion atau krim. Sehingga memungkinkan efek repellent dan perlindungan sinar UV bekerja lebih optimal. Oleh karena itu, meskipun SPF yang dihasilkan lebih rendah dibandingkan produk komersial, kepraktidan dan kemudahan aplikasi spray menjadikan produk ini lebih unggul dalam konteks penggunaan di lapangan, terutama untuk aktivitas luar ruangan yang memerlukan perlindungan cepat dan merata.</w:t>
      </w:r>
    </w:p>
    <w:p w14:paraId="2F6E28AC" w14:textId="6CEF0CAD" w:rsidR="00DD381C" w:rsidRDefault="00DD381C" w:rsidP="00DD381C">
      <w:pPr>
        <w:pStyle w:val="BodyText"/>
        <w:rPr>
          <w:rFonts w:ascii="Bookman Old Style" w:hAnsi="Bookman Old Style"/>
          <w:color w:val="221F1F"/>
          <w:sz w:val="18"/>
          <w:szCs w:val="18"/>
          <w:lang w:eastAsia="en-ID"/>
        </w:rPr>
      </w:pPr>
      <w:r w:rsidRPr="00DD381C">
        <w:rPr>
          <w:rFonts w:ascii="Bookman Old Style" w:hAnsi="Bookman Old Style"/>
          <w:color w:val="221F1F"/>
          <w:sz w:val="18"/>
          <w:szCs w:val="18"/>
          <w:lang w:eastAsia="en-ID"/>
        </w:rPr>
        <w:t>Tabel 12. Hasil Uji Nilai SPF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
        <w:gridCol w:w="1699"/>
        <w:gridCol w:w="1435"/>
      </w:tblGrid>
      <w:tr w:rsidR="00DD381C" w:rsidRPr="00DD381C" w14:paraId="6BB57613" w14:textId="77777777" w:rsidTr="00867DC6">
        <w:tc>
          <w:tcPr>
            <w:tcW w:w="3412" w:type="dxa"/>
            <w:tcBorders>
              <w:top w:val="single" w:sz="4" w:space="0" w:color="auto"/>
              <w:bottom w:val="single" w:sz="4" w:space="0" w:color="auto"/>
            </w:tcBorders>
          </w:tcPr>
          <w:p w14:paraId="00AF17AB" w14:textId="77777777" w:rsidR="00DD381C" w:rsidRPr="00DD381C" w:rsidRDefault="00DD381C" w:rsidP="00867DC6">
            <w:pPr>
              <w:jc w:val="center"/>
              <w:rPr>
                <w:rFonts w:ascii="Bookman Old Style" w:eastAsia="Times New Roman" w:hAnsi="Bookman Old Style"/>
                <w:b/>
                <w:color w:val="221F1F"/>
                <w:sz w:val="18"/>
                <w:szCs w:val="18"/>
                <w:lang w:eastAsia="en-ID"/>
              </w:rPr>
            </w:pPr>
            <w:r w:rsidRPr="00DD381C">
              <w:rPr>
                <w:rFonts w:ascii="Bookman Old Style" w:eastAsia="Times New Roman" w:hAnsi="Bookman Old Style"/>
                <w:b/>
                <w:color w:val="221F1F"/>
                <w:sz w:val="18"/>
                <w:szCs w:val="18"/>
                <w:lang w:eastAsia="en-ID"/>
              </w:rPr>
              <w:t>FORMULA</w:t>
            </w:r>
          </w:p>
        </w:tc>
        <w:tc>
          <w:tcPr>
            <w:tcW w:w="3489" w:type="dxa"/>
            <w:tcBorders>
              <w:top w:val="single" w:sz="4" w:space="0" w:color="auto"/>
              <w:bottom w:val="single" w:sz="4" w:space="0" w:color="auto"/>
            </w:tcBorders>
          </w:tcPr>
          <w:p w14:paraId="582BB0EB" w14:textId="77777777" w:rsidR="00DD381C" w:rsidRPr="00DD381C" w:rsidRDefault="00DD381C" w:rsidP="00867DC6">
            <w:pPr>
              <w:jc w:val="center"/>
              <w:rPr>
                <w:rFonts w:ascii="Bookman Old Style" w:eastAsia="Times New Roman" w:hAnsi="Bookman Old Style"/>
                <w:b/>
                <w:color w:val="221F1F"/>
                <w:sz w:val="18"/>
                <w:szCs w:val="18"/>
                <w:lang w:eastAsia="en-ID"/>
              </w:rPr>
            </w:pPr>
            <w:r w:rsidRPr="00DD381C">
              <w:rPr>
                <w:rFonts w:ascii="Bookman Old Style" w:eastAsia="Times New Roman" w:hAnsi="Bookman Old Style"/>
                <w:b/>
                <w:color w:val="221F1F"/>
                <w:sz w:val="18"/>
                <w:szCs w:val="18"/>
                <w:lang w:eastAsia="en-ID"/>
              </w:rPr>
              <w:t>KANDUNGAN SPF</w:t>
            </w:r>
          </w:p>
        </w:tc>
        <w:tc>
          <w:tcPr>
            <w:tcW w:w="2953" w:type="dxa"/>
            <w:tcBorders>
              <w:top w:val="single" w:sz="4" w:space="0" w:color="auto"/>
              <w:bottom w:val="single" w:sz="4" w:space="0" w:color="auto"/>
            </w:tcBorders>
          </w:tcPr>
          <w:p w14:paraId="1F2F1140" w14:textId="77777777" w:rsidR="00DD381C" w:rsidRPr="00DD381C" w:rsidRDefault="00DD381C" w:rsidP="00867DC6">
            <w:pPr>
              <w:jc w:val="center"/>
              <w:rPr>
                <w:rFonts w:ascii="Bookman Old Style" w:eastAsia="Times New Roman" w:hAnsi="Bookman Old Style"/>
                <w:b/>
                <w:color w:val="221F1F"/>
                <w:sz w:val="18"/>
                <w:szCs w:val="18"/>
                <w:lang w:eastAsia="en-ID"/>
              </w:rPr>
            </w:pPr>
            <w:r w:rsidRPr="00DD381C">
              <w:rPr>
                <w:rFonts w:ascii="Bookman Old Style" w:eastAsia="Times New Roman" w:hAnsi="Bookman Old Style"/>
                <w:b/>
                <w:color w:val="221F1F"/>
                <w:sz w:val="18"/>
                <w:szCs w:val="18"/>
                <w:lang w:eastAsia="en-ID"/>
              </w:rPr>
              <w:t>PROTEKSI</w:t>
            </w:r>
          </w:p>
        </w:tc>
      </w:tr>
      <w:tr w:rsidR="00DD381C" w:rsidRPr="00DD381C" w14:paraId="4514616E" w14:textId="77777777" w:rsidTr="00867DC6">
        <w:tc>
          <w:tcPr>
            <w:tcW w:w="3412" w:type="dxa"/>
            <w:tcBorders>
              <w:top w:val="single" w:sz="4" w:space="0" w:color="auto"/>
              <w:bottom w:val="single" w:sz="4" w:space="0" w:color="auto"/>
            </w:tcBorders>
          </w:tcPr>
          <w:p w14:paraId="2B7FAF17" w14:textId="77777777" w:rsidR="00DD381C" w:rsidRPr="00DD381C" w:rsidRDefault="00DD381C" w:rsidP="00867DC6">
            <w:pPr>
              <w:jc w:val="center"/>
              <w:rPr>
                <w:rFonts w:ascii="Bookman Old Style" w:eastAsia="Times New Roman" w:hAnsi="Bookman Old Style"/>
                <w:b/>
                <w:color w:val="221F1F"/>
                <w:sz w:val="18"/>
                <w:szCs w:val="18"/>
                <w:lang w:eastAsia="en-ID"/>
              </w:rPr>
            </w:pPr>
            <w:r w:rsidRPr="00DD381C">
              <w:rPr>
                <w:rFonts w:ascii="Bookman Old Style" w:eastAsia="Times New Roman" w:hAnsi="Bookman Old Style"/>
                <w:b/>
                <w:color w:val="221F1F"/>
                <w:sz w:val="18"/>
                <w:szCs w:val="18"/>
                <w:lang w:eastAsia="en-ID"/>
              </w:rPr>
              <w:t>F1</w:t>
            </w:r>
          </w:p>
        </w:tc>
        <w:tc>
          <w:tcPr>
            <w:tcW w:w="3489" w:type="dxa"/>
            <w:tcBorders>
              <w:top w:val="single" w:sz="4" w:space="0" w:color="auto"/>
              <w:bottom w:val="single" w:sz="4" w:space="0" w:color="auto"/>
            </w:tcBorders>
          </w:tcPr>
          <w:p w14:paraId="5C6CC651"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4,57</w:t>
            </w:r>
          </w:p>
        </w:tc>
        <w:tc>
          <w:tcPr>
            <w:tcW w:w="2953" w:type="dxa"/>
            <w:tcBorders>
              <w:top w:val="single" w:sz="4" w:space="0" w:color="auto"/>
              <w:bottom w:val="single" w:sz="4" w:space="0" w:color="auto"/>
            </w:tcBorders>
          </w:tcPr>
          <w:p w14:paraId="5400FDC5"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Maksimal</w:t>
            </w:r>
          </w:p>
        </w:tc>
      </w:tr>
      <w:tr w:rsidR="00DD381C" w:rsidRPr="00DD381C" w14:paraId="55DE40FF" w14:textId="77777777" w:rsidTr="00867DC6">
        <w:tc>
          <w:tcPr>
            <w:tcW w:w="3412" w:type="dxa"/>
            <w:tcBorders>
              <w:top w:val="single" w:sz="4" w:space="0" w:color="auto"/>
              <w:bottom w:val="single" w:sz="4" w:space="0" w:color="auto"/>
            </w:tcBorders>
          </w:tcPr>
          <w:p w14:paraId="39EAA442" w14:textId="77777777" w:rsidR="00DD381C" w:rsidRPr="00DD381C" w:rsidRDefault="00DD381C" w:rsidP="00867DC6">
            <w:pPr>
              <w:jc w:val="center"/>
              <w:rPr>
                <w:rFonts w:ascii="Bookman Old Style" w:eastAsia="Times New Roman" w:hAnsi="Bookman Old Style"/>
                <w:b/>
                <w:color w:val="221F1F"/>
                <w:sz w:val="18"/>
                <w:szCs w:val="18"/>
                <w:lang w:eastAsia="en-ID"/>
              </w:rPr>
            </w:pPr>
            <w:r w:rsidRPr="00DD381C">
              <w:rPr>
                <w:rFonts w:ascii="Bookman Old Style" w:eastAsia="Times New Roman" w:hAnsi="Bookman Old Style"/>
                <w:b/>
                <w:color w:val="221F1F"/>
                <w:sz w:val="18"/>
                <w:szCs w:val="18"/>
                <w:lang w:eastAsia="en-ID"/>
              </w:rPr>
              <w:t>F2</w:t>
            </w:r>
          </w:p>
        </w:tc>
        <w:tc>
          <w:tcPr>
            <w:tcW w:w="3489" w:type="dxa"/>
            <w:tcBorders>
              <w:top w:val="single" w:sz="4" w:space="0" w:color="auto"/>
              <w:bottom w:val="single" w:sz="4" w:space="0" w:color="auto"/>
            </w:tcBorders>
          </w:tcPr>
          <w:p w14:paraId="79AC5602"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7,50</w:t>
            </w:r>
          </w:p>
        </w:tc>
        <w:tc>
          <w:tcPr>
            <w:tcW w:w="2953" w:type="dxa"/>
            <w:tcBorders>
              <w:top w:val="single" w:sz="4" w:space="0" w:color="auto"/>
              <w:bottom w:val="single" w:sz="4" w:space="0" w:color="auto"/>
            </w:tcBorders>
          </w:tcPr>
          <w:p w14:paraId="636C895B"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Maksimal</w:t>
            </w:r>
          </w:p>
        </w:tc>
      </w:tr>
      <w:tr w:rsidR="00DD381C" w:rsidRPr="00DD381C" w14:paraId="17818D0C" w14:textId="77777777" w:rsidTr="00867DC6">
        <w:tc>
          <w:tcPr>
            <w:tcW w:w="3412" w:type="dxa"/>
            <w:tcBorders>
              <w:top w:val="single" w:sz="4" w:space="0" w:color="auto"/>
              <w:bottom w:val="single" w:sz="4" w:space="0" w:color="auto"/>
            </w:tcBorders>
          </w:tcPr>
          <w:p w14:paraId="4A7067C7" w14:textId="77777777" w:rsidR="00DD381C" w:rsidRPr="00DD381C" w:rsidRDefault="00DD381C" w:rsidP="00867DC6">
            <w:pPr>
              <w:jc w:val="center"/>
              <w:rPr>
                <w:rFonts w:ascii="Bookman Old Style" w:eastAsia="Times New Roman" w:hAnsi="Bookman Old Style"/>
                <w:b/>
                <w:color w:val="221F1F"/>
                <w:sz w:val="18"/>
                <w:szCs w:val="18"/>
                <w:lang w:eastAsia="en-ID"/>
              </w:rPr>
            </w:pPr>
            <w:r w:rsidRPr="00DD381C">
              <w:rPr>
                <w:rFonts w:ascii="Bookman Old Style" w:eastAsia="Times New Roman" w:hAnsi="Bookman Old Style"/>
                <w:b/>
                <w:color w:val="221F1F"/>
                <w:sz w:val="18"/>
                <w:szCs w:val="18"/>
                <w:lang w:eastAsia="en-ID"/>
              </w:rPr>
              <w:t>F3</w:t>
            </w:r>
          </w:p>
        </w:tc>
        <w:tc>
          <w:tcPr>
            <w:tcW w:w="3489" w:type="dxa"/>
            <w:tcBorders>
              <w:top w:val="single" w:sz="4" w:space="0" w:color="auto"/>
              <w:bottom w:val="single" w:sz="4" w:space="0" w:color="auto"/>
            </w:tcBorders>
          </w:tcPr>
          <w:p w14:paraId="554A21C5"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10,41</w:t>
            </w:r>
          </w:p>
        </w:tc>
        <w:tc>
          <w:tcPr>
            <w:tcW w:w="2953" w:type="dxa"/>
            <w:tcBorders>
              <w:top w:val="single" w:sz="4" w:space="0" w:color="auto"/>
              <w:bottom w:val="single" w:sz="4" w:space="0" w:color="auto"/>
            </w:tcBorders>
          </w:tcPr>
          <w:p w14:paraId="17FE72A9"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Maksimal</w:t>
            </w:r>
          </w:p>
        </w:tc>
      </w:tr>
    </w:tbl>
    <w:p w14:paraId="7C280CC4" w14:textId="77777777" w:rsidR="00DD381C" w:rsidRDefault="00DD381C" w:rsidP="00DD381C">
      <w:pPr>
        <w:pStyle w:val="BodyText"/>
        <w:ind w:firstLine="0"/>
        <w:rPr>
          <w:rFonts w:ascii="Bookman Old Style" w:hAnsi="Bookman Old Style" w:cs="Arial"/>
          <w:bCs/>
          <w:sz w:val="18"/>
          <w:szCs w:val="18"/>
          <w:lang w:val="en-GB"/>
        </w:rPr>
      </w:pPr>
    </w:p>
    <w:p w14:paraId="76380A5D" w14:textId="5EF28C97" w:rsidR="00DD381C" w:rsidRDefault="00DD381C" w:rsidP="00DD381C">
      <w:pPr>
        <w:pStyle w:val="BodyText"/>
        <w:ind w:firstLine="0"/>
        <w:rPr>
          <w:rFonts w:ascii="Bookman Old Style" w:hAnsi="Bookman Old Style"/>
          <w:b/>
          <w:i/>
          <w:iCs/>
          <w:color w:val="221F1F"/>
          <w:sz w:val="18"/>
          <w:szCs w:val="18"/>
          <w:lang w:eastAsia="en-ID"/>
        </w:rPr>
      </w:pPr>
      <w:r w:rsidRPr="00DD381C">
        <w:rPr>
          <w:rFonts w:ascii="Bookman Old Style" w:hAnsi="Bookman Old Style"/>
          <w:b/>
          <w:color w:val="221F1F"/>
          <w:sz w:val="18"/>
          <w:szCs w:val="18"/>
          <w:lang w:eastAsia="en-ID"/>
        </w:rPr>
        <w:t xml:space="preserve">Aktivitas </w:t>
      </w:r>
      <w:r w:rsidRPr="00DD381C">
        <w:rPr>
          <w:rFonts w:ascii="Bookman Old Style" w:hAnsi="Bookman Old Style"/>
          <w:b/>
          <w:i/>
          <w:iCs/>
          <w:color w:val="221F1F"/>
          <w:sz w:val="18"/>
          <w:szCs w:val="18"/>
          <w:lang w:eastAsia="en-ID"/>
        </w:rPr>
        <w:t>Repellent</w:t>
      </w:r>
    </w:p>
    <w:p w14:paraId="3E95C60F" w14:textId="5E7B6A4A" w:rsidR="00DD381C" w:rsidRDefault="00DD381C" w:rsidP="001829B4">
      <w:pPr>
        <w:pStyle w:val="BodyText"/>
        <w:spacing w:line="276" w:lineRule="auto"/>
        <w:ind w:firstLine="0"/>
        <w:rPr>
          <w:rFonts w:ascii="Bookman Old Style" w:hAnsi="Bookman Old Style" w:cs="Arial"/>
          <w:bCs/>
          <w:sz w:val="18"/>
          <w:szCs w:val="18"/>
          <w:lang w:val="en-GB"/>
        </w:rPr>
      </w:pPr>
      <w:r w:rsidRPr="00DD381C">
        <w:rPr>
          <w:rFonts w:ascii="Bookman Old Style" w:hAnsi="Bookman Old Style" w:cs="Arial"/>
          <w:bCs/>
          <w:sz w:val="18"/>
          <w:szCs w:val="18"/>
          <w:lang w:val="en-GB"/>
        </w:rPr>
        <w:t xml:space="preserve">Uji aktivitas </w:t>
      </w:r>
      <w:r w:rsidRPr="00DD381C">
        <w:rPr>
          <w:rFonts w:ascii="Bookman Old Style" w:hAnsi="Bookman Old Style" w:cs="Arial"/>
          <w:bCs/>
          <w:i/>
          <w:iCs/>
          <w:sz w:val="18"/>
          <w:szCs w:val="18"/>
          <w:lang w:val="en-GB"/>
        </w:rPr>
        <w:t>repellent</w:t>
      </w:r>
      <w:r w:rsidRPr="00DD381C">
        <w:rPr>
          <w:rFonts w:ascii="Bookman Old Style" w:hAnsi="Bookman Old Style" w:cs="Arial"/>
          <w:bCs/>
          <w:sz w:val="18"/>
          <w:szCs w:val="18"/>
          <w:lang w:val="en-GB"/>
        </w:rPr>
        <w:t xml:space="preserve"> dilakukan menggunakan metode </w:t>
      </w:r>
      <w:r w:rsidRPr="00DD381C">
        <w:rPr>
          <w:rFonts w:ascii="Bookman Old Style" w:hAnsi="Bookman Old Style" w:cs="Arial"/>
          <w:bCs/>
          <w:i/>
          <w:iCs/>
          <w:sz w:val="18"/>
          <w:szCs w:val="18"/>
          <w:lang w:val="en-GB"/>
        </w:rPr>
        <w:t>Human Landing Collection</w:t>
      </w:r>
      <w:r w:rsidRPr="00DD381C">
        <w:rPr>
          <w:rFonts w:ascii="Bookman Old Style" w:hAnsi="Bookman Old Style" w:cs="Arial"/>
          <w:bCs/>
          <w:sz w:val="18"/>
          <w:szCs w:val="18"/>
          <w:lang w:val="en-GB"/>
        </w:rPr>
        <w:t xml:space="preserve"> (HLC), dan hasilnya ditunjukkan pada tabel [13] dan gambar [4]. Tabel ini menunjukkan jumlah rata-rata nyamuk yang hinggap pada area tubuh yang disemprotkan dengan masing-masing formulasi (F1, F2, dan F3) di lima lokasi yang diuji, serta standar deviasi untuk menunjukkan variasi data.</w:t>
      </w:r>
    </w:p>
    <w:p w14:paraId="54ADBFCB" w14:textId="77777777" w:rsidR="001829B4" w:rsidRDefault="001829B4" w:rsidP="001829B4">
      <w:pPr>
        <w:pStyle w:val="BodyText"/>
        <w:spacing w:line="276" w:lineRule="auto"/>
        <w:ind w:firstLine="0"/>
        <w:rPr>
          <w:rFonts w:ascii="Bookman Old Style" w:hAnsi="Bookman Old Style" w:cs="Arial"/>
          <w:bCs/>
          <w:sz w:val="18"/>
          <w:szCs w:val="18"/>
          <w:lang w:val="en-GB"/>
        </w:rPr>
      </w:pPr>
    </w:p>
    <w:p w14:paraId="2856A1E0" w14:textId="77777777" w:rsidR="001829B4" w:rsidRDefault="001829B4" w:rsidP="001829B4">
      <w:pPr>
        <w:pStyle w:val="BodyText"/>
        <w:spacing w:line="276" w:lineRule="auto"/>
        <w:ind w:firstLine="0"/>
        <w:rPr>
          <w:rFonts w:ascii="Bookman Old Style" w:hAnsi="Bookman Old Style" w:cs="Arial"/>
          <w:bCs/>
          <w:sz w:val="18"/>
          <w:szCs w:val="18"/>
          <w:lang w:val="en-GB"/>
        </w:rPr>
      </w:pPr>
    </w:p>
    <w:p w14:paraId="31E3FD37" w14:textId="749980EA" w:rsidR="00DD381C" w:rsidRDefault="00DD381C" w:rsidP="001829B4">
      <w:pPr>
        <w:pStyle w:val="BodyText"/>
        <w:tabs>
          <w:tab w:val="left" w:pos="900"/>
        </w:tabs>
        <w:spacing w:line="276" w:lineRule="auto"/>
        <w:ind w:firstLine="0"/>
        <w:jc w:val="center"/>
        <w:rPr>
          <w:rFonts w:ascii="Bookman Old Style" w:hAnsi="Bookman Old Style"/>
          <w:color w:val="221F1F"/>
          <w:sz w:val="18"/>
          <w:szCs w:val="18"/>
          <w:lang w:eastAsia="en-ID"/>
        </w:rPr>
      </w:pPr>
      <w:r w:rsidRPr="00DD381C">
        <w:rPr>
          <w:rFonts w:ascii="Bookman Old Style" w:hAnsi="Bookman Old Style"/>
          <w:color w:val="221F1F"/>
          <w:sz w:val="18"/>
          <w:szCs w:val="18"/>
          <w:lang w:eastAsia="en-ID"/>
        </w:rPr>
        <w:lastRenderedPageBreak/>
        <w:t>Tabel 13 Jumlah Rata-rata Nyamuk yang Hinggap pada Setiap Lokasi</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940"/>
        <w:gridCol w:w="947"/>
        <w:gridCol w:w="1011"/>
        <w:gridCol w:w="1011"/>
      </w:tblGrid>
      <w:tr w:rsidR="00DD381C" w:rsidRPr="00DD381C" w14:paraId="72A4DC57" w14:textId="77777777" w:rsidTr="00DD381C">
        <w:tc>
          <w:tcPr>
            <w:tcW w:w="675" w:type="dxa"/>
            <w:tcBorders>
              <w:bottom w:val="single" w:sz="4" w:space="0" w:color="auto"/>
            </w:tcBorders>
          </w:tcPr>
          <w:p w14:paraId="09765D94"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Lokasi</w:t>
            </w:r>
          </w:p>
        </w:tc>
        <w:tc>
          <w:tcPr>
            <w:tcW w:w="940" w:type="dxa"/>
            <w:tcBorders>
              <w:bottom w:val="single" w:sz="4" w:space="0" w:color="auto"/>
            </w:tcBorders>
          </w:tcPr>
          <w:p w14:paraId="1CF0B4CF"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Kontrol (tanpa seprotan)</w:t>
            </w:r>
          </w:p>
        </w:tc>
        <w:tc>
          <w:tcPr>
            <w:tcW w:w="947" w:type="dxa"/>
            <w:tcBorders>
              <w:bottom w:val="single" w:sz="4" w:space="0" w:color="auto"/>
            </w:tcBorders>
          </w:tcPr>
          <w:p w14:paraId="59552BF6"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F1 (semprotan formulasi 1)</w:t>
            </w:r>
          </w:p>
        </w:tc>
        <w:tc>
          <w:tcPr>
            <w:tcW w:w="1011" w:type="dxa"/>
            <w:tcBorders>
              <w:bottom w:val="single" w:sz="4" w:space="0" w:color="auto"/>
            </w:tcBorders>
          </w:tcPr>
          <w:p w14:paraId="33845023"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F2 (semprotan formulasi 2)</w:t>
            </w:r>
          </w:p>
        </w:tc>
        <w:tc>
          <w:tcPr>
            <w:tcW w:w="1011" w:type="dxa"/>
            <w:tcBorders>
              <w:bottom w:val="single" w:sz="4" w:space="0" w:color="auto"/>
            </w:tcBorders>
          </w:tcPr>
          <w:p w14:paraId="76032B66"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F3 (semprotan formulasi 3)</w:t>
            </w:r>
          </w:p>
        </w:tc>
      </w:tr>
      <w:tr w:rsidR="00DD381C" w:rsidRPr="00DD381C" w14:paraId="31AAD581" w14:textId="77777777" w:rsidTr="00DD381C">
        <w:tc>
          <w:tcPr>
            <w:tcW w:w="675" w:type="dxa"/>
            <w:tcBorders>
              <w:top w:val="single" w:sz="4" w:space="0" w:color="auto"/>
              <w:bottom w:val="single" w:sz="4" w:space="0" w:color="auto"/>
            </w:tcBorders>
          </w:tcPr>
          <w:p w14:paraId="39A5F236"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Lokasi 1</w:t>
            </w:r>
          </w:p>
        </w:tc>
        <w:tc>
          <w:tcPr>
            <w:tcW w:w="940" w:type="dxa"/>
            <w:tcBorders>
              <w:top w:val="single" w:sz="4" w:space="0" w:color="auto"/>
              <w:bottom w:val="single" w:sz="4" w:space="0" w:color="auto"/>
            </w:tcBorders>
          </w:tcPr>
          <w:p w14:paraId="2E49DE28"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57 ± 6,5</w:t>
            </w:r>
          </w:p>
        </w:tc>
        <w:tc>
          <w:tcPr>
            <w:tcW w:w="947" w:type="dxa"/>
            <w:tcBorders>
              <w:top w:val="single" w:sz="4" w:space="0" w:color="auto"/>
              <w:bottom w:val="single" w:sz="4" w:space="0" w:color="auto"/>
            </w:tcBorders>
          </w:tcPr>
          <w:p w14:paraId="62DC6485"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41 ± 4,2</w:t>
            </w:r>
          </w:p>
        </w:tc>
        <w:tc>
          <w:tcPr>
            <w:tcW w:w="1011" w:type="dxa"/>
            <w:tcBorders>
              <w:top w:val="single" w:sz="4" w:space="0" w:color="auto"/>
              <w:bottom w:val="single" w:sz="4" w:space="0" w:color="auto"/>
            </w:tcBorders>
          </w:tcPr>
          <w:p w14:paraId="3C0920CD"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33 ± 5,1</w:t>
            </w:r>
          </w:p>
        </w:tc>
        <w:tc>
          <w:tcPr>
            <w:tcW w:w="1011" w:type="dxa"/>
            <w:tcBorders>
              <w:top w:val="single" w:sz="4" w:space="0" w:color="auto"/>
              <w:bottom w:val="single" w:sz="4" w:space="0" w:color="auto"/>
            </w:tcBorders>
          </w:tcPr>
          <w:p w14:paraId="453C342F"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13 ± 3,4</w:t>
            </w:r>
          </w:p>
        </w:tc>
      </w:tr>
      <w:tr w:rsidR="00DD381C" w:rsidRPr="00DD381C" w14:paraId="26659D39" w14:textId="77777777" w:rsidTr="00DD381C">
        <w:tc>
          <w:tcPr>
            <w:tcW w:w="675" w:type="dxa"/>
            <w:tcBorders>
              <w:top w:val="single" w:sz="4" w:space="0" w:color="auto"/>
              <w:bottom w:val="single" w:sz="4" w:space="0" w:color="auto"/>
            </w:tcBorders>
          </w:tcPr>
          <w:p w14:paraId="01CD74F5"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Lokasi 2</w:t>
            </w:r>
          </w:p>
        </w:tc>
        <w:tc>
          <w:tcPr>
            <w:tcW w:w="940" w:type="dxa"/>
            <w:tcBorders>
              <w:top w:val="single" w:sz="4" w:space="0" w:color="auto"/>
              <w:bottom w:val="single" w:sz="4" w:space="0" w:color="auto"/>
            </w:tcBorders>
          </w:tcPr>
          <w:p w14:paraId="420C8C3B"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 xml:space="preserve">67 ± 8,3 </w:t>
            </w:r>
          </w:p>
        </w:tc>
        <w:tc>
          <w:tcPr>
            <w:tcW w:w="947" w:type="dxa"/>
            <w:tcBorders>
              <w:top w:val="single" w:sz="4" w:space="0" w:color="auto"/>
              <w:bottom w:val="single" w:sz="4" w:space="0" w:color="auto"/>
            </w:tcBorders>
          </w:tcPr>
          <w:p w14:paraId="766C9A3C"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53 ± 6,7</w:t>
            </w:r>
          </w:p>
        </w:tc>
        <w:tc>
          <w:tcPr>
            <w:tcW w:w="1011" w:type="dxa"/>
            <w:tcBorders>
              <w:top w:val="single" w:sz="4" w:space="0" w:color="auto"/>
              <w:bottom w:val="single" w:sz="4" w:space="0" w:color="auto"/>
            </w:tcBorders>
          </w:tcPr>
          <w:p w14:paraId="3F65E8BB"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39 ± 4,8</w:t>
            </w:r>
          </w:p>
        </w:tc>
        <w:tc>
          <w:tcPr>
            <w:tcW w:w="1011" w:type="dxa"/>
            <w:tcBorders>
              <w:top w:val="single" w:sz="4" w:space="0" w:color="auto"/>
              <w:bottom w:val="single" w:sz="4" w:space="0" w:color="auto"/>
            </w:tcBorders>
          </w:tcPr>
          <w:p w14:paraId="439E2E5E"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18 ± 4,0</w:t>
            </w:r>
          </w:p>
        </w:tc>
      </w:tr>
      <w:tr w:rsidR="00DD381C" w:rsidRPr="00DD381C" w14:paraId="1A92FBE2" w14:textId="77777777" w:rsidTr="00DD381C">
        <w:tc>
          <w:tcPr>
            <w:tcW w:w="675" w:type="dxa"/>
            <w:tcBorders>
              <w:top w:val="single" w:sz="4" w:space="0" w:color="auto"/>
              <w:bottom w:val="single" w:sz="4" w:space="0" w:color="auto"/>
            </w:tcBorders>
          </w:tcPr>
          <w:p w14:paraId="234D5BB7"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Lokasi 3</w:t>
            </w:r>
          </w:p>
        </w:tc>
        <w:tc>
          <w:tcPr>
            <w:tcW w:w="940" w:type="dxa"/>
            <w:tcBorders>
              <w:top w:val="single" w:sz="4" w:space="0" w:color="auto"/>
              <w:bottom w:val="single" w:sz="4" w:space="0" w:color="auto"/>
            </w:tcBorders>
          </w:tcPr>
          <w:p w14:paraId="69C4444F"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73 ± 7,2</w:t>
            </w:r>
          </w:p>
        </w:tc>
        <w:tc>
          <w:tcPr>
            <w:tcW w:w="947" w:type="dxa"/>
            <w:tcBorders>
              <w:top w:val="single" w:sz="4" w:space="0" w:color="auto"/>
              <w:bottom w:val="single" w:sz="4" w:space="0" w:color="auto"/>
            </w:tcBorders>
          </w:tcPr>
          <w:p w14:paraId="297D79D2"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55 ± 6,1</w:t>
            </w:r>
          </w:p>
        </w:tc>
        <w:tc>
          <w:tcPr>
            <w:tcW w:w="1011" w:type="dxa"/>
            <w:tcBorders>
              <w:top w:val="single" w:sz="4" w:space="0" w:color="auto"/>
              <w:bottom w:val="single" w:sz="4" w:space="0" w:color="auto"/>
            </w:tcBorders>
          </w:tcPr>
          <w:p w14:paraId="4DB72F13"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40 ± 5,3</w:t>
            </w:r>
          </w:p>
        </w:tc>
        <w:tc>
          <w:tcPr>
            <w:tcW w:w="1011" w:type="dxa"/>
            <w:tcBorders>
              <w:top w:val="single" w:sz="4" w:space="0" w:color="auto"/>
              <w:bottom w:val="single" w:sz="4" w:space="0" w:color="auto"/>
            </w:tcBorders>
          </w:tcPr>
          <w:p w14:paraId="0795D82D"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31 ± 5,5</w:t>
            </w:r>
          </w:p>
        </w:tc>
      </w:tr>
      <w:tr w:rsidR="00DD381C" w:rsidRPr="00DD381C" w14:paraId="1F4F3314" w14:textId="77777777" w:rsidTr="00DD381C">
        <w:tc>
          <w:tcPr>
            <w:tcW w:w="675" w:type="dxa"/>
            <w:tcBorders>
              <w:top w:val="single" w:sz="4" w:space="0" w:color="auto"/>
              <w:bottom w:val="single" w:sz="4" w:space="0" w:color="auto"/>
            </w:tcBorders>
          </w:tcPr>
          <w:p w14:paraId="13D5D629"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Lokasi 4</w:t>
            </w:r>
          </w:p>
        </w:tc>
        <w:tc>
          <w:tcPr>
            <w:tcW w:w="940" w:type="dxa"/>
            <w:tcBorders>
              <w:top w:val="single" w:sz="4" w:space="0" w:color="auto"/>
              <w:bottom w:val="single" w:sz="4" w:space="0" w:color="auto"/>
            </w:tcBorders>
          </w:tcPr>
          <w:p w14:paraId="0D859A32"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51 ± 5,4</w:t>
            </w:r>
          </w:p>
        </w:tc>
        <w:tc>
          <w:tcPr>
            <w:tcW w:w="947" w:type="dxa"/>
            <w:tcBorders>
              <w:top w:val="single" w:sz="4" w:space="0" w:color="auto"/>
              <w:bottom w:val="single" w:sz="4" w:space="0" w:color="auto"/>
            </w:tcBorders>
          </w:tcPr>
          <w:p w14:paraId="59792596"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42 ± 3,6</w:t>
            </w:r>
          </w:p>
        </w:tc>
        <w:tc>
          <w:tcPr>
            <w:tcW w:w="1011" w:type="dxa"/>
            <w:tcBorders>
              <w:top w:val="single" w:sz="4" w:space="0" w:color="auto"/>
              <w:bottom w:val="single" w:sz="4" w:space="0" w:color="auto"/>
            </w:tcBorders>
          </w:tcPr>
          <w:p w14:paraId="17A3D8E4"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32 ± 4,0</w:t>
            </w:r>
          </w:p>
        </w:tc>
        <w:tc>
          <w:tcPr>
            <w:tcW w:w="1011" w:type="dxa"/>
            <w:tcBorders>
              <w:top w:val="single" w:sz="4" w:space="0" w:color="auto"/>
              <w:bottom w:val="single" w:sz="4" w:space="0" w:color="auto"/>
            </w:tcBorders>
          </w:tcPr>
          <w:p w14:paraId="03C45DCD"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27 ± 4,2</w:t>
            </w:r>
          </w:p>
        </w:tc>
      </w:tr>
      <w:tr w:rsidR="00DD381C" w:rsidRPr="00DD381C" w14:paraId="36CCE01E" w14:textId="77777777" w:rsidTr="00DD381C">
        <w:tc>
          <w:tcPr>
            <w:tcW w:w="675" w:type="dxa"/>
            <w:tcBorders>
              <w:top w:val="single" w:sz="4" w:space="0" w:color="auto"/>
            </w:tcBorders>
          </w:tcPr>
          <w:p w14:paraId="3C67432F"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Lokasi 5</w:t>
            </w:r>
          </w:p>
        </w:tc>
        <w:tc>
          <w:tcPr>
            <w:tcW w:w="940" w:type="dxa"/>
            <w:tcBorders>
              <w:top w:val="single" w:sz="4" w:space="0" w:color="auto"/>
            </w:tcBorders>
          </w:tcPr>
          <w:p w14:paraId="60892F66"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82 ± 9,0</w:t>
            </w:r>
          </w:p>
        </w:tc>
        <w:tc>
          <w:tcPr>
            <w:tcW w:w="947" w:type="dxa"/>
            <w:tcBorders>
              <w:top w:val="single" w:sz="4" w:space="0" w:color="auto"/>
            </w:tcBorders>
          </w:tcPr>
          <w:p w14:paraId="09EC4748"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66 ± 7,1</w:t>
            </w:r>
          </w:p>
        </w:tc>
        <w:tc>
          <w:tcPr>
            <w:tcW w:w="1011" w:type="dxa"/>
            <w:tcBorders>
              <w:top w:val="single" w:sz="4" w:space="0" w:color="auto"/>
            </w:tcBorders>
          </w:tcPr>
          <w:p w14:paraId="487745DC"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 xml:space="preserve">59 ± 6,5 </w:t>
            </w:r>
          </w:p>
        </w:tc>
        <w:tc>
          <w:tcPr>
            <w:tcW w:w="1011" w:type="dxa"/>
            <w:tcBorders>
              <w:top w:val="single" w:sz="4" w:space="0" w:color="auto"/>
            </w:tcBorders>
          </w:tcPr>
          <w:p w14:paraId="22BFE550" w14:textId="77777777" w:rsidR="00DD381C" w:rsidRPr="00DD381C" w:rsidRDefault="00DD381C" w:rsidP="00867DC6">
            <w:pPr>
              <w:jc w:val="center"/>
              <w:rPr>
                <w:rFonts w:ascii="Bookman Old Style" w:eastAsia="Times New Roman" w:hAnsi="Bookman Old Style"/>
                <w:color w:val="221F1F"/>
                <w:sz w:val="18"/>
                <w:szCs w:val="18"/>
                <w:lang w:eastAsia="en-ID"/>
              </w:rPr>
            </w:pPr>
            <w:r w:rsidRPr="00DD381C">
              <w:rPr>
                <w:rFonts w:ascii="Bookman Old Style" w:eastAsia="Times New Roman" w:hAnsi="Bookman Old Style"/>
                <w:color w:val="221F1F"/>
                <w:sz w:val="18"/>
                <w:szCs w:val="18"/>
                <w:lang w:eastAsia="en-ID"/>
              </w:rPr>
              <w:t>36 ± 5,0</w:t>
            </w:r>
          </w:p>
        </w:tc>
      </w:tr>
    </w:tbl>
    <w:p w14:paraId="14ED61B7" w14:textId="77777777" w:rsidR="00596EC1" w:rsidRPr="00596EC1" w:rsidRDefault="00596EC1" w:rsidP="00596EC1">
      <w:pPr>
        <w:pStyle w:val="BodyText"/>
        <w:spacing w:line="276" w:lineRule="auto"/>
        <w:rPr>
          <w:rFonts w:ascii="Bookman Old Style" w:hAnsi="Bookman Old Style" w:cs="Arial"/>
          <w:bCs/>
          <w:sz w:val="18"/>
          <w:szCs w:val="18"/>
          <w:lang w:val="en-GB"/>
        </w:rPr>
      </w:pPr>
      <w:r w:rsidRPr="00596EC1">
        <w:rPr>
          <w:rFonts w:ascii="Bookman Old Style" w:hAnsi="Bookman Old Style" w:cs="Arial"/>
          <w:bCs/>
          <w:sz w:val="18"/>
          <w:szCs w:val="18"/>
          <w:lang w:val="en-GB"/>
        </w:rPr>
        <w:t xml:space="preserve">Berdasarkan hasil yang diperoleh, formulasi F3 menunjukkan aktivitas </w:t>
      </w:r>
      <w:r w:rsidRPr="00596EC1">
        <w:rPr>
          <w:rFonts w:ascii="Bookman Old Style" w:hAnsi="Bookman Old Style" w:cs="Arial"/>
          <w:bCs/>
          <w:i/>
          <w:iCs/>
          <w:sz w:val="18"/>
          <w:szCs w:val="18"/>
          <w:lang w:val="en-GB"/>
        </w:rPr>
        <w:t>reppelent</w:t>
      </w:r>
      <w:r w:rsidRPr="00596EC1">
        <w:rPr>
          <w:rFonts w:ascii="Bookman Old Style" w:hAnsi="Bookman Old Style" w:cs="Arial"/>
          <w:bCs/>
          <w:sz w:val="18"/>
          <w:szCs w:val="18"/>
          <w:lang w:val="en-GB"/>
        </w:rPr>
        <w:t xml:space="preserve"> tertinggi, dengan jumlah nyamuk yang hinggap jauh lebih sedikit dibandingkan dengan area kontrol maupun dengan formulasi F1 dan F2  di semua lokasi yang diuji. Rata-rata jumlah nyamuk yang hinggap di area dengan F3 tercatat secara signifikan lebih rendah dibandingkan formulasi F1 dan F2, menunjukkan konsistensi hasil yang baik. </w:t>
      </w:r>
    </w:p>
    <w:p w14:paraId="71CA5F80" w14:textId="0ECE8A0E" w:rsidR="00596EC1" w:rsidRPr="00596EC1" w:rsidRDefault="00596EC1" w:rsidP="00596EC1">
      <w:pPr>
        <w:pStyle w:val="BodyText"/>
        <w:spacing w:line="276" w:lineRule="auto"/>
        <w:rPr>
          <w:rFonts w:ascii="Bookman Old Style" w:hAnsi="Bookman Old Style" w:cs="Arial"/>
          <w:bCs/>
          <w:sz w:val="18"/>
          <w:szCs w:val="18"/>
          <w:lang w:val="id-ID"/>
        </w:rPr>
      </w:pPr>
      <w:r w:rsidRPr="00596EC1">
        <w:rPr>
          <w:rFonts w:ascii="Bookman Old Style" w:hAnsi="Bookman Old Style" w:cs="Arial"/>
          <w:bCs/>
          <w:sz w:val="18"/>
          <w:szCs w:val="18"/>
          <w:lang w:val="en-GB"/>
        </w:rPr>
        <w:t>Hasil tersebut membuktikan bahwa formulasi F3 berpotensi sebagai produk yang efektif untuk mencegah gigitan nyamuk saat masyarakat beraktivitas di luar ruangan. Produk ini juga menawarkan nilai tambah karena tidak hanya berfungsi sebagai penolak nyamuk (</w:t>
      </w:r>
      <w:r w:rsidRPr="00596EC1">
        <w:rPr>
          <w:rFonts w:ascii="Bookman Old Style" w:hAnsi="Bookman Old Style" w:cs="Arial"/>
          <w:bCs/>
          <w:i/>
          <w:iCs/>
          <w:sz w:val="18"/>
          <w:szCs w:val="18"/>
          <w:lang w:val="en-GB"/>
        </w:rPr>
        <w:t>repellent</w:t>
      </w:r>
      <w:r w:rsidRPr="00596EC1">
        <w:rPr>
          <w:rFonts w:ascii="Bookman Old Style" w:hAnsi="Bookman Old Style" w:cs="Arial"/>
          <w:bCs/>
          <w:sz w:val="18"/>
          <w:szCs w:val="18"/>
          <w:lang w:val="en-GB"/>
        </w:rPr>
        <w:t xml:space="preserve">), tetapi juga memberikan perlindungan terhadap sinar UV serta memanfaatkan bahan alami dari tanaman yang melimpah di daerah Gorontalo. </w:t>
      </w:r>
      <w:r w:rsidRPr="00596EC1">
        <w:rPr>
          <w:rFonts w:ascii="Bookman Old Style" w:hAnsi="Bookman Old Style" w:cs="Arial"/>
          <w:bCs/>
          <w:sz w:val="18"/>
          <w:szCs w:val="18"/>
          <w:lang w:val="id-ID"/>
        </w:rPr>
        <w:t xml:space="preserve">Hal ini sesuai dengan pendapat Kristianingsih dan Febriana </w:t>
      </w:r>
      <w:r w:rsidRPr="00596EC1">
        <w:rPr>
          <w:rFonts w:ascii="Bookman Old Style" w:hAnsi="Bookman Old Style" w:cs="Arial"/>
          <w:bCs/>
          <w:sz w:val="18"/>
          <w:szCs w:val="18"/>
          <w:lang w:val="id-ID"/>
        </w:rPr>
        <w:fldChar w:fldCharType="begin" w:fldLock="1"/>
      </w:r>
      <w:r w:rsidR="00CB5D15">
        <w:rPr>
          <w:rFonts w:ascii="Bookman Old Style" w:hAnsi="Bookman Old Style" w:cs="Arial"/>
          <w:bCs/>
          <w:sz w:val="18"/>
          <w:szCs w:val="18"/>
          <w:lang w:val="id-ID"/>
        </w:rPr>
        <w:instrText>ADDIN CSL_CITATION {"citationItems":[{"id":"ITEM-1","itemData":{"DOI":"10.31596/cjp.v6i2.177","ISSN":"2599-2163","abstract":"Nyamuk merupakan vektor yang menyebabkan berbagai penyakit antara lain DBD, penyakit kaki gajah, dan malaria. Hal ini menjadi masalah kesehatan yang penting dan berbahaya sehingga perlu upaya untuk mencegahnya. Salah satunya dengan perlindungan yang berasal dari diri sendiri misalnya dengan menggunakan lotion antinyamuk. Minyak atsiri (linalool, estragol, geraniol, eugenol dan sineol) yang terkandung dalam kemangi dan citronellal yang terkandung dalam sereh merupakan senyawa yang berkhasiat sebagai penolak nyamuk. Tujuan penelitian ini untuk mengetahui karakteristik fisik dan efektivitas repellent sediaan lotion kombinasi ekstrak daun kemangi (Ocimum sanctum L.) dan ekstrak sereh (Cymbopogon nardus L Rendle.). Repellent sediaan lotion diformulasikan dengan perbandingan konsentrasi ekstrak F1 10% dan F2 15%. Ekstraksi kemangi dan sereh menggunakan metode maserasi dengan pelarut N-heksan dan didapat rendemen sebesar 6,258% untuk ekstrak kemangi dan 8,842% untuk ekstrak sereh. Repellent sediaan lotion dilakukan uji stabilitas dengan metode freeze and thaw pada parameter uji organoleptis, homogenitas, pH, tipe emulsi, daya lekat, daya sebar, dan efektivitas. Hasil setelah uji stabilitas menunjukkan perubahan organoleptis dari betuknya karena pengaruh suhu, perubahan nilai pH, perubahan daya lekat dan daya sebar, serta menurunnya efektivitas repellent. Kesimpulan penelitian ini adalah repellent sediaan lotion yang dibuat memenuhi persyaratan uji karakteristik yang ditetapkan dan efektif dalam menolak nyamuk","author":[{"dropping-particle":"","family":"Kristianingsih","given":"Ida","non-dropping-particle":"","parse-names":false,"suffix":""},{"dropping-particle":"","family":"Febriana","given":"Ika Nur","non-dropping-particle":"","parse-names":false,"suffix":""}],"container-title":"Cendekia Journal of Pharmacy","id":"ITEM-1","issue":"2","issued":{"date-parts":[["2022"]]},"page":"212-226","title":"Formulasi Sediaan Repellent Sediaan Lotion Kombinasi Ekstrak Daun Kemangi (Ocimum sanctum L.) dan Ekstrak Sereh (Cymbopogon nardus L Rendle.)","type":"article-journal","volume":"6"},"uris":["http://www.mendeley.com/documents/?uuid=338f6466-b293-4538-84ea-68cae0a0ab5d","http://www.mendeley.com/documents/?uuid=9601c2d4-a560-40a7-89c7-007b82bb95d2"]}],"mendeley":{"formattedCitation":"[14]","plainTextFormattedCitation":"[14]","previouslyFormattedCitation":"[14]"},"properties":{"noteIndex":0},"schema":"https://github.com/citation-style-language/schema/raw/master/csl-citation.json"}</w:instrText>
      </w:r>
      <w:r w:rsidRPr="00596EC1">
        <w:rPr>
          <w:rFonts w:ascii="Bookman Old Style" w:hAnsi="Bookman Old Style" w:cs="Arial"/>
          <w:bCs/>
          <w:sz w:val="18"/>
          <w:szCs w:val="18"/>
          <w:lang w:val="id-ID"/>
        </w:rPr>
        <w:fldChar w:fldCharType="separate"/>
      </w:r>
      <w:r w:rsidRPr="00596EC1">
        <w:rPr>
          <w:rFonts w:ascii="Bookman Old Style" w:hAnsi="Bookman Old Style" w:cs="Arial"/>
          <w:bCs/>
          <w:noProof/>
          <w:sz w:val="18"/>
          <w:szCs w:val="18"/>
          <w:lang w:val="id-ID"/>
        </w:rPr>
        <w:t>[14]</w:t>
      </w:r>
      <w:r w:rsidRPr="00596EC1">
        <w:rPr>
          <w:rFonts w:ascii="Bookman Old Style" w:hAnsi="Bookman Old Style" w:cs="Arial"/>
          <w:bCs/>
          <w:sz w:val="18"/>
          <w:szCs w:val="18"/>
          <w:lang w:val="id-ID"/>
        </w:rPr>
        <w:fldChar w:fldCharType="end"/>
      </w:r>
      <w:r w:rsidRPr="00596EC1">
        <w:rPr>
          <w:rFonts w:ascii="Bookman Old Style" w:hAnsi="Bookman Old Style" w:cs="Arial"/>
          <w:bCs/>
          <w:sz w:val="18"/>
          <w:szCs w:val="18"/>
          <w:lang w:val="id-ID"/>
        </w:rPr>
        <w:t xml:space="preserve"> bahwa kombinasi ekstrak kemangi dan serai efektif sebagai </w:t>
      </w:r>
      <w:r w:rsidRPr="00596EC1">
        <w:rPr>
          <w:rFonts w:ascii="Bookman Old Style" w:hAnsi="Bookman Old Style" w:cs="Arial"/>
          <w:bCs/>
          <w:i/>
          <w:iCs/>
          <w:sz w:val="18"/>
          <w:szCs w:val="18"/>
          <w:lang w:val="id-ID"/>
        </w:rPr>
        <w:t>repellent</w:t>
      </w:r>
      <w:r w:rsidRPr="00596EC1">
        <w:rPr>
          <w:rFonts w:ascii="Bookman Old Style" w:hAnsi="Bookman Old Style" w:cs="Arial"/>
          <w:bCs/>
          <w:sz w:val="18"/>
          <w:szCs w:val="18"/>
          <w:lang w:val="id-ID"/>
        </w:rPr>
        <w:t xml:space="preserve"> alami. Temuan tersebut konsisten dengan hasil yang diperoleh dalam penelitian ini. Selain itu, penelitian oleh Adjei dkk </w:t>
      </w:r>
      <w:r w:rsidRPr="00596EC1">
        <w:rPr>
          <w:rFonts w:ascii="Bookman Old Style" w:hAnsi="Bookman Old Style" w:cs="Arial"/>
          <w:bCs/>
          <w:sz w:val="18"/>
          <w:szCs w:val="18"/>
          <w:lang w:val="id-ID"/>
        </w:rPr>
        <w:fldChar w:fldCharType="begin" w:fldLock="1"/>
      </w:r>
      <w:r w:rsidR="00CB5D15">
        <w:rPr>
          <w:rFonts w:ascii="Bookman Old Style" w:hAnsi="Bookman Old Style" w:cs="Arial"/>
          <w:bCs/>
          <w:sz w:val="18"/>
          <w:szCs w:val="18"/>
          <w:lang w:val="id-ID"/>
        </w:rPr>
        <w:instrText>ADDIN CSL_CITATION {"citationItems":[{"id":"ITEM-1","itemData":{"ISSN":"0305-1978","author":[{"dropping-particle":"","family":"Adjei","given":"Luther K","non-dropping-particle":"","parse-names":false,"suffix":""},{"dropping-particle":"","family":"Abagale","given":"Samson A","non-dropping-particle":"","parse-names":false,"suffix":""},{"dropping-particle":"","family":"Anokye","given":"Kwame","non-dropping-particle":"","parse-names":false,"suffix":""}],"container-title":"Biochemical Systematics and Ecology","id":"ITEM-1","issued":{"date-parts":[["2025"]]},"page":"105003","publisher":"Elsevier","title":"Synergistic enhancement of natural mosquito repellents through matrix interactions: Insights from GC-MS and bioassays","type":"article-journal","volume":"121"},"uris":["http://www.mendeley.com/documents/?uuid=3b0e8a33-3386-4486-85f7-9a27cc9fa2b3","http://www.mendeley.com/documents/?uuid=7bc33527-abf3-4585-8844-9454e563b00c"]}],"mendeley":{"formattedCitation":"[26]","plainTextFormattedCitation":"[26]","previouslyFormattedCitation":"[26]"},"properties":{"noteIndex":0},"schema":"https://github.com/citation-style-language/schema/raw/master/csl-citation.json"}</w:instrText>
      </w:r>
      <w:r w:rsidRPr="00596EC1">
        <w:rPr>
          <w:rFonts w:ascii="Bookman Old Style" w:hAnsi="Bookman Old Style" w:cs="Arial"/>
          <w:bCs/>
          <w:sz w:val="18"/>
          <w:szCs w:val="18"/>
          <w:lang w:val="id-ID"/>
        </w:rPr>
        <w:fldChar w:fldCharType="separate"/>
      </w:r>
      <w:r w:rsidRPr="00596EC1">
        <w:rPr>
          <w:rFonts w:ascii="Bookman Old Style" w:hAnsi="Bookman Old Style" w:cs="Arial"/>
          <w:bCs/>
          <w:noProof/>
          <w:sz w:val="18"/>
          <w:szCs w:val="18"/>
          <w:lang w:val="id-ID"/>
        </w:rPr>
        <w:t>[26]</w:t>
      </w:r>
      <w:r w:rsidRPr="00596EC1">
        <w:rPr>
          <w:rFonts w:ascii="Bookman Old Style" w:hAnsi="Bookman Old Style" w:cs="Arial"/>
          <w:bCs/>
          <w:sz w:val="18"/>
          <w:szCs w:val="18"/>
          <w:lang w:val="id-ID"/>
        </w:rPr>
        <w:fldChar w:fldCharType="end"/>
      </w:r>
      <w:r w:rsidRPr="00596EC1">
        <w:rPr>
          <w:rFonts w:ascii="Bookman Old Style" w:hAnsi="Bookman Old Style" w:cs="Arial"/>
          <w:bCs/>
          <w:sz w:val="18"/>
          <w:szCs w:val="18"/>
          <w:lang w:val="id-ID"/>
        </w:rPr>
        <w:t xml:space="preserve"> juga menunjukkan bahwa senyawa aktif dalam tanaman dapat berinteraksi sinergis, menghasilkan efek </w:t>
      </w:r>
      <w:r w:rsidRPr="00596EC1">
        <w:rPr>
          <w:rFonts w:ascii="Bookman Old Style" w:hAnsi="Bookman Old Style" w:cs="Arial"/>
          <w:bCs/>
          <w:i/>
          <w:iCs/>
          <w:sz w:val="18"/>
          <w:szCs w:val="18"/>
          <w:lang w:val="id-ID"/>
        </w:rPr>
        <w:t>repellent</w:t>
      </w:r>
      <w:r w:rsidRPr="00596EC1">
        <w:rPr>
          <w:rFonts w:ascii="Bookman Old Style" w:hAnsi="Bookman Old Style" w:cs="Arial"/>
          <w:bCs/>
          <w:sz w:val="18"/>
          <w:szCs w:val="18"/>
          <w:lang w:val="id-ID"/>
        </w:rPr>
        <w:t xml:space="preserve"> yang lebih kuat.</w:t>
      </w:r>
    </w:p>
    <w:p w14:paraId="2373D30E" w14:textId="7E7B45A0" w:rsidR="00DD381C" w:rsidRDefault="00596EC1" w:rsidP="00596EC1">
      <w:pPr>
        <w:pStyle w:val="BodyText"/>
        <w:tabs>
          <w:tab w:val="left" w:pos="900"/>
        </w:tabs>
        <w:spacing w:line="276" w:lineRule="auto"/>
        <w:ind w:firstLine="0"/>
        <w:rPr>
          <w:rFonts w:ascii="Bookman Old Style" w:hAnsi="Bookman Old Style" w:cs="Arial"/>
          <w:bCs/>
          <w:sz w:val="18"/>
          <w:szCs w:val="18"/>
          <w:lang w:val="id-ID"/>
        </w:rPr>
      </w:pPr>
      <w:r w:rsidRPr="00596EC1">
        <w:rPr>
          <w:rFonts w:ascii="Bookman Old Style" w:hAnsi="Bookman Old Style" w:cs="Arial"/>
          <w:bCs/>
          <w:sz w:val="18"/>
          <w:szCs w:val="18"/>
          <w:lang w:val="id-ID"/>
        </w:rPr>
        <w:t xml:space="preserve">Daun kemangi mengandung senyawa aktif seperti eugenol, linalool, kavikol, geraniol, neral, dan trans-kariofilen yang berpotensi digunakan sebagai bahan pengusir serangga. Senyawa-senyawa ini bersifat volatil, sehingga mudah menguap dan cepat menyebar ke udara </w:t>
      </w:r>
      <w:r w:rsidRPr="00596EC1">
        <w:rPr>
          <w:rFonts w:ascii="Bookman Old Style" w:hAnsi="Bookman Old Style" w:cs="Arial"/>
          <w:bCs/>
          <w:sz w:val="18"/>
          <w:szCs w:val="18"/>
          <w:lang w:val="id-ID"/>
        </w:rPr>
        <w:fldChar w:fldCharType="begin" w:fldLock="1"/>
      </w:r>
      <w:r w:rsidR="00CB5D15">
        <w:rPr>
          <w:rFonts w:ascii="Bookman Old Style" w:hAnsi="Bookman Old Style" w:cs="Arial"/>
          <w:bCs/>
          <w:sz w:val="18"/>
          <w:szCs w:val="18"/>
          <w:lang w:val="id-ID"/>
        </w:rPr>
        <w:instrText>ADDIN CSL_CITATION {"citationItems":[{"id":"ITEM-1","itemData":{"DOI":"10.70248/jophs.v2i2.2644","abstract":"Lilin aromaterapi merupakan salah satu bentuk pemanfaatan minyak atsiri yang semakin banyak dikembangkan sebagai terapi komplementer guna mendukungrelaksasi,kesejahteraan psikologis, serta sebagai agen penolak serangga. Studi ini merupakan tinjauan literatur yang bertujuan mengevaluasi potensi tanaman tanaman asli Indonesia sebagai sumber bahan aktif dalam formulasi lilin aromaterapi, sekaligus menelaah pendekatan formulasi yang mendukung efektivitas dan keamanan produk. Kajian dilakukan dengan menelusuri publikasi ilmiah nasional dalam rentang sepuluh tahun terakhir, menggunakan kata kunci seperti “lilin aromaterapi”, “minyak atsiri”, dan “ekstraksi”. Beberapa spesies tumbuhan yang teridentifikasi mengandung senyawa bioaktif—seperti eugenol, linalool, sitronelal, dan flavonoid—antara lain kemangi, sereh wangi, nilam,jeruk nipis, lengkuas, teh hijau, dan kopi arabika. Senyawa-senyawa tersebut diketahui memiliki aktivitas farmakologis sebagai antiinflamasi, antioksidan, relaksan, dan repelan alami. Proses formulasi lilin yang optimal membutuhkan penyesuaian bahan dasar,pengaturan suhu, serta metode ekstraksi yang mampu mempertahankan stabilitas senyawa aktif. Selain karakteristik fisik, uji efektivitas biologis juga diperlukan untuk memastikan khasiat dan keamanan produk. Kajian ini menyimpulkan bahwa pengembangan lilin aromaterapi berbahan minyak atsiri lokal tidak hanya mendukung kesehatan dan pemberdayaan ekonomi masyarakat, tetapi juga berkontribusi terhadap pelestarianbiodiversitas Indonesia secara berkelanjutan.Kata Kunci: lilin aromaterapi, minyak atsiri, tanaman lokal, terapi alami, formulasi. ABSTRACTAromatherapy candles represent an increasingly popular application of essential oils as a form of complementary therapy, supporting relaxation, psychological well-being, and functioning as natural insect repellents. This study is a literature review aimed at evaluating the potential of Indonesian native plants as sources of active compounds for aromatherapy candle formulations, while also examining formulation approaches thatenhance product efficacy and safety. The review was conducted by analyzing national scientific publications from the past ten years, using keywords such as “aromatherapy candles,” “essential oils,”and “extraction.” Several plant species identified as containing bioactivecompounds—including eugenol, linalool, citronellal, and flavonoids—include basil, citronella, patchouli, key lime, galangal, green tea, and Arabica coffee. These…","author":[{"dropping-particle":"","family":"Yuandrian","given":"Naufal Putera","non-dropping-particle":"","parse-names":false,"suffix":""},{"dropping-particle":"","family":"Kayla Rima Diani","given":"","non-dropping-particle":"","parse-names":false,"suffix":""},{"dropping-particle":"","family":"Siti Nur Rohimah","given":"","non-dropping-particle":"","parse-names":false,"suffix":""},{"dropping-particle":"","family":"Supriadi","given":"Supriadi","non-dropping-particle":"","parse-names":false,"suffix":""},{"dropping-particle":"","family":"Nita Rusdiana","given":"","non-dropping-particle":"","parse-names":false,"suffix":""}],"container-title":"Journal of Public Health Science","id":"ITEM-1","issue":"2","issued":{"date-parts":[["2025"]]},"page":"267-275","title":"Kajian Literatur: Manfaat Sediaan Lilin Aromaterapi Minyak Atsiri","type":"article-journal","volume":"2"},"uris":["http://www.mendeley.com/documents/?uuid=25519304-0129-40dc-8f2e-9c4d0746145c","http://www.mendeley.com/documents/?uuid=5493ba15-fd5b-4283-b433-3b766a4ad2bb"]}],"mendeley":{"formattedCitation":"[27]","plainTextFormattedCitation":"[27]","previouslyFormattedCitation":"[27]"},"properties":{"noteIndex":0},"schema":"https://github.com/citation-style-language/schema/raw/master/csl-citation.json"}</w:instrText>
      </w:r>
      <w:r w:rsidRPr="00596EC1">
        <w:rPr>
          <w:rFonts w:ascii="Bookman Old Style" w:hAnsi="Bookman Old Style" w:cs="Arial"/>
          <w:bCs/>
          <w:sz w:val="18"/>
          <w:szCs w:val="18"/>
          <w:lang w:val="id-ID"/>
        </w:rPr>
        <w:fldChar w:fldCharType="separate"/>
      </w:r>
      <w:r w:rsidRPr="00596EC1">
        <w:rPr>
          <w:rFonts w:ascii="Bookman Old Style" w:hAnsi="Bookman Old Style" w:cs="Arial"/>
          <w:bCs/>
          <w:noProof/>
          <w:sz w:val="18"/>
          <w:szCs w:val="18"/>
          <w:lang w:val="id-ID"/>
        </w:rPr>
        <w:t>[27]</w:t>
      </w:r>
      <w:r w:rsidRPr="00596EC1">
        <w:rPr>
          <w:rFonts w:ascii="Bookman Old Style" w:hAnsi="Bookman Old Style" w:cs="Arial"/>
          <w:bCs/>
          <w:sz w:val="18"/>
          <w:szCs w:val="18"/>
          <w:lang w:val="id-ID"/>
        </w:rPr>
        <w:fldChar w:fldCharType="end"/>
      </w:r>
      <w:r w:rsidRPr="00596EC1">
        <w:rPr>
          <w:rFonts w:ascii="Bookman Old Style" w:hAnsi="Bookman Old Style" w:cs="Arial"/>
          <w:bCs/>
          <w:sz w:val="18"/>
          <w:szCs w:val="18"/>
          <w:lang w:val="id-ID"/>
        </w:rPr>
        <w:t xml:space="preserve">. Ekstrak daun kemangi kaya akan senyawa fenolik seperti flavonoid dan antosianin, dan memiliki aktivitas tabir surya karena dapat menyerap sinar UV </w:t>
      </w:r>
      <w:r w:rsidRPr="00596EC1">
        <w:rPr>
          <w:rFonts w:ascii="Bookman Old Style" w:hAnsi="Bookman Old Style" w:cs="Arial"/>
          <w:bCs/>
          <w:sz w:val="18"/>
          <w:szCs w:val="18"/>
          <w:lang w:val="id-ID"/>
        </w:rPr>
        <w:fldChar w:fldCharType="begin" w:fldLock="1"/>
      </w:r>
      <w:r w:rsidR="00CB5D15">
        <w:rPr>
          <w:rFonts w:ascii="Bookman Old Style" w:hAnsi="Bookman Old Style" w:cs="Arial"/>
          <w:bCs/>
          <w:sz w:val="18"/>
          <w:szCs w:val="18"/>
          <w:lang w:val="id-ID"/>
        </w:rPr>
        <w:instrText>ADDIN CSL_CITATION {"citationItems":[{"id":"ITEM-1","itemData":{"ISSN":"1422-0067","author":[{"dropping-particle":"","family":"Milić Komić","given":"Sonja","non-dropping-particle":"","parse-names":false,"suffix":""},{"dropping-particle":"","family":"Živanović","given":"Bojana","non-dropping-particle":"","parse-names":false,"suffix":""},{"dropping-particle":"","family":"Dumanović","given":"Jelena","non-dropping-particle":"","parse-names":false,"suffix":""},{"dropping-particle":"","family":"Kolarž","given":"Predrag","non-dropping-particle":"","parse-names":false,"suffix":""},{"dropping-particle":"","family":"Sedlarević Zorić","given":"Ana","non-dropping-particle":"","parse-names":false,"suffix":""},{"dropping-particle":"","family":"Morina","given":"Filis","non-dropping-particle":"","parse-names":false,"suffix":""},{"dropping-particle":"","family":"Vidović","given":"Marija","non-dropping-particle":"","parse-names":false,"suffix":""},{"dropping-particle":"","family":"Veljović Jovanović","given":"Sonja","non-dropping-particle":"","parse-names":false,"suffix":""}],"container-title":"International Journal of Molecular Sciences","id":"ITEM-1","issue":"20","issued":{"date-parts":[["2023"]]},"page":"15350","publisher":"MDPI","title":"Differential antioxidant response to supplemental UV-B irradiation and sunlight in three basil varieties","type":"article-journal","volume":"24"},"uris":["http://www.mendeley.com/documents/?uuid=6966d727-008f-41c2-b6a5-05d3461d4e23","http://www.mendeley.com/documents/?uuid=b0f68a6c-b487-4830-ad78-affb9a1158fd"]}],"mendeley":{"formattedCitation":"[28]","plainTextFormattedCitation":"[28]","previouslyFormattedCitation":"[28]"},"properties":{"noteIndex":0},"schema":"https://github.com/citation-style-language/schema/raw/master/csl-citation.json"}</w:instrText>
      </w:r>
      <w:r w:rsidRPr="00596EC1">
        <w:rPr>
          <w:rFonts w:ascii="Bookman Old Style" w:hAnsi="Bookman Old Style" w:cs="Arial"/>
          <w:bCs/>
          <w:sz w:val="18"/>
          <w:szCs w:val="18"/>
          <w:lang w:val="id-ID"/>
        </w:rPr>
        <w:fldChar w:fldCharType="separate"/>
      </w:r>
      <w:r w:rsidRPr="00596EC1">
        <w:rPr>
          <w:rFonts w:ascii="Bookman Old Style" w:hAnsi="Bookman Old Style" w:cs="Arial"/>
          <w:bCs/>
          <w:noProof/>
          <w:sz w:val="18"/>
          <w:szCs w:val="18"/>
          <w:lang w:val="id-ID"/>
        </w:rPr>
        <w:t>[28]</w:t>
      </w:r>
      <w:r w:rsidRPr="00596EC1">
        <w:rPr>
          <w:rFonts w:ascii="Bookman Old Style" w:hAnsi="Bookman Old Style" w:cs="Arial"/>
          <w:bCs/>
          <w:sz w:val="18"/>
          <w:szCs w:val="18"/>
          <w:lang w:val="id-ID"/>
        </w:rPr>
        <w:fldChar w:fldCharType="end"/>
      </w:r>
      <w:r w:rsidRPr="00596EC1">
        <w:rPr>
          <w:rFonts w:ascii="Bookman Old Style" w:hAnsi="Bookman Old Style" w:cs="Arial"/>
          <w:bCs/>
          <w:sz w:val="18"/>
          <w:szCs w:val="18"/>
          <w:lang w:val="id-ID"/>
        </w:rPr>
        <w:t xml:space="preserve">. Senyawa flavonoid memiliki gugus kromofor berupa ikatan rangkap terkonjugasi yang dapat menyerap sinar UV sebagai tabir surya. Gugus hidroksil yang terhubung dengan cincin aromatik pada flavonoid dapat mengurangi stres oksidatif ROS </w:t>
      </w:r>
      <w:r w:rsidRPr="00596EC1">
        <w:rPr>
          <w:rFonts w:ascii="Bookman Old Style" w:hAnsi="Bookman Old Style" w:cs="Arial"/>
          <w:bCs/>
          <w:sz w:val="18"/>
          <w:szCs w:val="18"/>
          <w:lang w:val="id-ID"/>
        </w:rPr>
        <w:fldChar w:fldCharType="begin" w:fldLock="1"/>
      </w:r>
      <w:r w:rsidR="00CB5D15">
        <w:rPr>
          <w:rFonts w:ascii="Bookman Old Style" w:hAnsi="Bookman Old Style" w:cs="Arial"/>
          <w:bCs/>
          <w:sz w:val="18"/>
          <w:szCs w:val="18"/>
          <w:lang w:val="id-ID"/>
        </w:rPr>
        <w:instrText>ADDIN CSL_CITATION {"citationItems":[{"id":"ITEM-1","itemData":{"ISSN":"1422-0067","author":[{"dropping-particle":"","family":"Messias","given":"Mariana A","non-dropping-particle":"","parse-names":false,"suffix":""},{"dropping-particle":"","family":"Ferreira","given":"Sara M","non-dropping-particle":"","parse-names":false,"suffix":""},{"dropping-particle":"","family":"Tavares","given":"Loleny","non-dropping-particle":"","parse-names":false,"suffix":""},{"dropping-particle":"","family":"Santos","given":"Lúcia","non-dropping-particle":"","parse-names":false,"suffix":""}],"container-title":"International Journal of Molecular Sciences","id":"ITEM-1","issue":"21","issued":{"date-parts":[["2023"]]},"page":"15854","publisher":"MDPI","title":"A comparative study between onion peel extracts, free and complexed with β-cyclodextrin, as a natural UV filter to cosmetic formulations","type":"article-journal","volume":"24"},"uris":["http://www.mendeley.com/documents/?uuid=60e7c04b-3d32-4347-84e5-32eee7e9ba6e","http://www.mendeley.com/documents/?uuid=d5c4901a-975f-4296-8e57-1774ee1a8a58"]}],"mendeley":{"formattedCitation":"[29]","plainTextFormattedCitation":"[29]","previouslyFormattedCitation":"[29]"},"properties":{"noteIndex":0},"schema":"https://github.com/citation-style-language/schema/raw/master/csl-citation.json"}</w:instrText>
      </w:r>
      <w:r w:rsidRPr="00596EC1">
        <w:rPr>
          <w:rFonts w:ascii="Bookman Old Style" w:hAnsi="Bookman Old Style" w:cs="Arial"/>
          <w:bCs/>
          <w:sz w:val="18"/>
          <w:szCs w:val="18"/>
          <w:lang w:val="id-ID"/>
        </w:rPr>
        <w:fldChar w:fldCharType="separate"/>
      </w:r>
      <w:r w:rsidRPr="00596EC1">
        <w:rPr>
          <w:rFonts w:ascii="Bookman Old Style" w:hAnsi="Bookman Old Style" w:cs="Arial"/>
          <w:bCs/>
          <w:noProof/>
          <w:sz w:val="18"/>
          <w:szCs w:val="18"/>
          <w:lang w:val="id-ID"/>
        </w:rPr>
        <w:t>[29]</w:t>
      </w:r>
      <w:r w:rsidRPr="00596EC1">
        <w:rPr>
          <w:rFonts w:ascii="Bookman Old Style" w:hAnsi="Bookman Old Style" w:cs="Arial"/>
          <w:bCs/>
          <w:sz w:val="18"/>
          <w:szCs w:val="18"/>
          <w:lang w:val="id-ID"/>
        </w:rPr>
        <w:fldChar w:fldCharType="end"/>
      </w:r>
      <w:r w:rsidRPr="00596EC1">
        <w:rPr>
          <w:rFonts w:ascii="Bookman Old Style" w:hAnsi="Bookman Old Style" w:cs="Arial"/>
          <w:bCs/>
          <w:sz w:val="18"/>
          <w:szCs w:val="18"/>
          <w:lang w:val="id-ID"/>
        </w:rPr>
        <w:t>.</w:t>
      </w:r>
    </w:p>
    <w:p w14:paraId="00C0CBC9" w14:textId="25E7DB56" w:rsidR="00596EC1" w:rsidRDefault="00596EC1" w:rsidP="00596EC1">
      <w:pPr>
        <w:pStyle w:val="BodyText"/>
        <w:tabs>
          <w:tab w:val="left" w:pos="900"/>
        </w:tabs>
        <w:spacing w:line="276" w:lineRule="auto"/>
        <w:ind w:firstLine="0"/>
        <w:rPr>
          <w:rFonts w:ascii="Bookman Old Style" w:hAnsi="Bookman Old Style" w:cs="Arial"/>
          <w:sz w:val="18"/>
          <w:szCs w:val="18"/>
        </w:rPr>
      </w:pPr>
      <w:r w:rsidRPr="00596EC1">
        <w:rPr>
          <w:rFonts w:ascii="Bookman Old Style" w:hAnsi="Bookman Old Style" w:cs="Arial"/>
          <w:sz w:val="18"/>
          <w:szCs w:val="18"/>
        </w:rPr>
        <w:t xml:space="preserve">Flavonoid memiliki kerangka struktur dasar yang serupa, namun terbagi dalam berbagai </w:t>
      </w:r>
      <w:r w:rsidRPr="00596EC1">
        <w:rPr>
          <w:rFonts w:ascii="Bookman Old Style" w:hAnsi="Bookman Old Style" w:cs="Arial"/>
          <w:sz w:val="18"/>
          <w:szCs w:val="18"/>
        </w:rPr>
        <w:t xml:space="preserve">subkelompok seperti isoflavon dan neoflavonoid. Perbedaan posisi cincin B serta tingkat ketidakjenuhan dan oksidasi pada cincin C menghasilkan variasi struktur, namun semuanya memiliki </w:t>
      </w:r>
      <w:r w:rsidRPr="00596EC1">
        <w:rPr>
          <w:rFonts w:ascii="Bookman Old Style" w:eastAsia="SimSun" w:hAnsi="Bookman Old Style" w:cs="Arial"/>
          <w:sz w:val="18"/>
          <w:szCs w:val="18"/>
        </w:rPr>
        <w:t>kromofor</w:t>
      </w:r>
      <w:r w:rsidRPr="00596EC1">
        <w:rPr>
          <w:rFonts w:ascii="Bookman Old Style" w:hAnsi="Bookman Old Style" w:cs="Arial"/>
          <w:sz w:val="18"/>
          <w:szCs w:val="18"/>
        </w:rPr>
        <w:t xml:space="preserve"> yang mampu </w:t>
      </w:r>
      <w:r w:rsidRPr="00596EC1">
        <w:rPr>
          <w:rFonts w:ascii="Bookman Old Style" w:eastAsia="SimSun" w:hAnsi="Bookman Old Style" w:cs="Arial"/>
          <w:sz w:val="18"/>
          <w:szCs w:val="18"/>
        </w:rPr>
        <w:t>menyerap radiasi ultraviolet</w:t>
      </w:r>
      <w:r w:rsidRPr="00596EC1">
        <w:rPr>
          <w:rFonts w:ascii="Bookman Old Style" w:hAnsi="Bookman Old Style" w:cs="Arial"/>
          <w:sz w:val="18"/>
          <w:szCs w:val="18"/>
        </w:rPr>
        <w:t xml:space="preserve">. Contoh flavonoid yang berperan sebagai penyerap UV adalah </w:t>
      </w:r>
      <w:r w:rsidRPr="00596EC1">
        <w:rPr>
          <w:rFonts w:ascii="Bookman Old Style" w:eastAsia="SimSun" w:hAnsi="Bookman Old Style" w:cs="Arial"/>
          <w:sz w:val="18"/>
          <w:szCs w:val="18"/>
        </w:rPr>
        <w:t>rutin</w:t>
      </w:r>
      <w:r w:rsidRPr="00596EC1">
        <w:rPr>
          <w:rFonts w:ascii="Bookman Old Style" w:hAnsi="Bookman Old Style" w:cs="Arial"/>
          <w:sz w:val="18"/>
          <w:szCs w:val="18"/>
        </w:rPr>
        <w:t xml:space="preserve">, anggota flavonol yang banyak digunakan sebagai bahan fotoprotektif dalam formulasi kosmetik. Efek sinergis telah ditunjukkan pada kombinasi 0,1% rutin dan 6,0% benzofenon, yang menyebabkan peningkatan SPF dari 24,3 ± 1,53 menjadi 33,3 ± 2,89 ketika flavonoid disertakan. Rutin dan quercetin adalah antioksidan kuat, yang digabungkan dalam emulsi air dalam minyak, digunakan dalam konsentrasi 10%, secara individual dikaitkan dengan titanium dioksida dan seng oksida, memperoleh efek sinergis dengan nilai SPF sekitar 30 </w:t>
      </w:r>
      <w:r w:rsidRPr="00596EC1">
        <w:rPr>
          <w:rFonts w:ascii="Bookman Old Style" w:hAnsi="Bookman Old Style" w:cs="Arial"/>
          <w:sz w:val="18"/>
          <w:szCs w:val="18"/>
        </w:rPr>
        <w:fldChar w:fldCharType="begin" w:fldLock="1"/>
      </w:r>
      <w:r w:rsidR="00CB5D15">
        <w:rPr>
          <w:rFonts w:ascii="Bookman Old Style" w:hAnsi="Bookman Old Style" w:cs="Arial"/>
          <w:sz w:val="18"/>
          <w:szCs w:val="18"/>
        </w:rPr>
        <w:instrText>ADDIN CSL_CITATION {"citationItems":[{"id":"ITEM-1","itemData":{"DOI":"10.1017/jns.2016.41","author":[{"dropping-particle":"","family":"A.N","given":"Panche","non-dropping-particle":"","parse-names":false,"suffix":""},{"dropping-particle":"","family":"AD","given":"Diwan","non-dropping-particle":"","parse-names":false,"suffix":""},{"dropping-particle":"","family":"SR","given":"Chandra","non-dropping-particle":"","parse-names":false,"suffix":""}],"container-title":"JOURNAL OF NUTRITIONAL SCIENCE REVIEW","id":"ITEM-1","issued":{"date-parts":[["2016"]]},"page":"1-15","title":"Journal of nutritional science","type":"article-journal","volume":"5"},"uris":["http://www.mendeley.com/documents/?uuid=a328f133-6daf-4f6f-be7d-959041b18cc7"]}],"mendeley":{"formattedCitation":"[30]","plainTextFormattedCitation":"[30]","previouslyFormattedCitation":"[30]"},"properties":{"noteIndex":0},"schema":"https://github.com/citation-style-language/schema/raw/master/csl-citation.json"}</w:instrText>
      </w:r>
      <w:r w:rsidRPr="00596EC1">
        <w:rPr>
          <w:rFonts w:ascii="Bookman Old Style" w:hAnsi="Bookman Old Style" w:cs="Arial"/>
          <w:sz w:val="18"/>
          <w:szCs w:val="18"/>
        </w:rPr>
        <w:fldChar w:fldCharType="separate"/>
      </w:r>
      <w:r w:rsidRPr="00596EC1">
        <w:rPr>
          <w:rFonts w:ascii="Bookman Old Style" w:hAnsi="Bookman Old Style" w:cs="Arial"/>
          <w:noProof/>
          <w:sz w:val="18"/>
          <w:szCs w:val="18"/>
        </w:rPr>
        <w:t>[30]</w:t>
      </w:r>
      <w:r w:rsidRPr="00596EC1">
        <w:rPr>
          <w:rFonts w:ascii="Bookman Old Style" w:hAnsi="Bookman Old Style" w:cs="Arial"/>
          <w:sz w:val="18"/>
          <w:szCs w:val="18"/>
        </w:rPr>
        <w:fldChar w:fldCharType="end"/>
      </w:r>
      <w:r w:rsidRPr="00596EC1">
        <w:rPr>
          <w:rFonts w:ascii="Bookman Old Style" w:hAnsi="Bookman Old Style" w:cs="Arial"/>
          <w:sz w:val="18"/>
          <w:szCs w:val="18"/>
        </w:rPr>
        <w:t>.</w:t>
      </w:r>
    </w:p>
    <w:p w14:paraId="4286E524" w14:textId="77777777" w:rsidR="00596EC1" w:rsidRPr="00596EC1" w:rsidRDefault="00596EC1" w:rsidP="001829B4">
      <w:pPr>
        <w:pStyle w:val="BodyText"/>
        <w:spacing w:after="240" w:line="276" w:lineRule="auto"/>
        <w:rPr>
          <w:rFonts w:ascii="Bookman Old Style" w:hAnsi="Bookman Old Style" w:cs="Arial"/>
          <w:sz w:val="22"/>
          <w:szCs w:val="22"/>
        </w:rPr>
      </w:pPr>
      <w:r w:rsidRPr="00596EC1">
        <w:rPr>
          <w:rFonts w:ascii="Bookman Old Style" w:hAnsi="Bookman Old Style" w:cs="Arial"/>
          <w:sz w:val="18"/>
          <w:szCs w:val="18"/>
        </w:rPr>
        <w:t>Flavonoid dapat mencegah kerusakan akibat radikal bebas dengan berbagai cara, salah satunya adalah dengan menetralkan radikal bebas secara langsung. Flavonoid dioksidasi oleh radikal bebas, menghasilkan radikal yang lebih stabil dan kurang reaktif. Flavonoid menstabilkan spesies oksigen reaktif yang bereaksi dengan senyawa reaktif dari radikal tersebut. Karena reaktivitas gugus hidroksil flavonoid yang tinggi, radikal menjadi tidak aktif, sebagaimana dijelaskan dalam persamaan berikut:</w:t>
      </w:r>
    </w:p>
    <w:p w14:paraId="4C116F78" w14:textId="77777777" w:rsidR="00596EC1" w:rsidRPr="00596EC1" w:rsidRDefault="00596EC1" w:rsidP="001829B4">
      <w:pPr>
        <w:pStyle w:val="ListParagraph"/>
        <w:spacing w:after="240" w:line="276" w:lineRule="auto"/>
        <w:ind w:left="31" w:firstLine="225"/>
        <w:jc w:val="center"/>
        <w:rPr>
          <w:rFonts w:ascii="Bookman Old Style" w:hAnsi="Bookman Old Style"/>
          <w:sz w:val="18"/>
          <w:szCs w:val="18"/>
        </w:rPr>
      </w:pPr>
      <w:r w:rsidRPr="00596EC1">
        <w:rPr>
          <w:rFonts w:ascii="Bookman Old Style" w:hAnsi="Bookman Old Style"/>
          <w:sz w:val="18"/>
          <w:szCs w:val="18"/>
        </w:rPr>
        <w:t>Flavonoid (OH) + r (O) + RH</w:t>
      </w:r>
    </w:p>
    <w:p w14:paraId="53EE1CD1" w14:textId="6870CDE6" w:rsidR="00596EC1" w:rsidRPr="00596EC1" w:rsidRDefault="00596EC1" w:rsidP="00596EC1">
      <w:pPr>
        <w:pStyle w:val="BodyText"/>
        <w:spacing w:line="276" w:lineRule="auto"/>
        <w:rPr>
          <w:rFonts w:ascii="Bookman Old Style" w:hAnsi="Bookman Old Style" w:cs="Arial"/>
          <w:bCs/>
          <w:sz w:val="18"/>
          <w:szCs w:val="18"/>
          <w:lang w:val="id-ID"/>
        </w:rPr>
      </w:pPr>
      <w:r w:rsidRPr="00596EC1">
        <w:rPr>
          <w:rFonts w:ascii="Bookman Old Style" w:hAnsi="Bookman Old Style" w:cs="Arial"/>
          <w:sz w:val="18"/>
          <w:szCs w:val="18"/>
        </w:rPr>
        <w:t xml:space="preserve">R adalah radikal bebas dan O adalah radikal bebas oksigen. Beberapa flavonoid dapat secara langsung membersihkan superoksida, sementara flavonoid lainnya dapat membersihkan radikal bebas yang berasal dari oksigen yang sangat reaktif yang disebut peroksinitrit. Ditemukan bahwa flavonoid seperti epikatekin dan rutin merupakan pembersih radikal yang kuat, dan kemampuan rutin untuk membersihkan radikal bebas disebabkan oleh aktivitas penghambatannya terhadap enzim XO </w:t>
      </w:r>
      <w:r w:rsidRPr="00596EC1">
        <w:rPr>
          <w:rFonts w:ascii="Bookman Old Style" w:hAnsi="Bookman Old Style" w:cs="Arial"/>
          <w:sz w:val="18"/>
          <w:szCs w:val="18"/>
        </w:rPr>
        <w:fldChar w:fldCharType="begin" w:fldLock="1"/>
      </w:r>
      <w:r w:rsidR="00CB5D15">
        <w:rPr>
          <w:rFonts w:ascii="Bookman Old Style" w:hAnsi="Bookman Old Style" w:cs="Arial"/>
          <w:sz w:val="18"/>
          <w:szCs w:val="18"/>
        </w:rPr>
        <w:instrText>ADDIN CSL_CITATION {"citationItems":[{"id":"ITEM-1","itemData":{"DOI":"10.1017/jns.2016.41","author":[{"dropping-particle":"","family":"A.N","given":"Panche","non-dropping-particle":"","parse-names":false,"suffix":""},{"dropping-particle":"","family":"AD","given":"Diwan","non-dropping-particle":"","parse-names":false,"suffix":""},{"dropping-particle":"","family":"SR","given":"Chandra","non-dropping-particle":"","parse-names":false,"suffix":""}],"container-title":"JOURNAL OF NUTRITIONAL SCIENCE REVIEW","id":"ITEM-1","issued":{"date-parts":[["2016"]]},"page":"1-15","title":"Journal of nutritional science","type":"article-journal","volume":"5"},"uris":["http://www.mendeley.com/documents/?uuid=a328f133-6daf-4f6f-be7d-959041b18cc7"]}],"mendeley":{"formattedCitation":"[30]","plainTextFormattedCitation":"[30]","previouslyFormattedCitation":"[30]"},"properties":{"noteIndex":0},"schema":"https://github.com/citation-style-language/schema/raw/master/csl-citation.json"}</w:instrText>
      </w:r>
      <w:r w:rsidRPr="00596EC1">
        <w:rPr>
          <w:rFonts w:ascii="Bookman Old Style" w:hAnsi="Bookman Old Style" w:cs="Arial"/>
          <w:sz w:val="18"/>
          <w:szCs w:val="18"/>
        </w:rPr>
        <w:fldChar w:fldCharType="separate"/>
      </w:r>
      <w:r w:rsidRPr="00596EC1">
        <w:rPr>
          <w:rFonts w:ascii="Bookman Old Style" w:hAnsi="Bookman Old Style" w:cs="Arial"/>
          <w:noProof/>
          <w:sz w:val="18"/>
          <w:szCs w:val="18"/>
        </w:rPr>
        <w:t>[30]</w:t>
      </w:r>
      <w:r w:rsidRPr="00596EC1">
        <w:rPr>
          <w:rFonts w:ascii="Bookman Old Style" w:hAnsi="Bookman Old Style" w:cs="Arial"/>
          <w:sz w:val="18"/>
          <w:szCs w:val="18"/>
        </w:rPr>
        <w:fldChar w:fldCharType="end"/>
      </w:r>
      <w:r w:rsidRPr="00596EC1">
        <w:rPr>
          <w:rFonts w:ascii="Bookman Old Style" w:hAnsi="Bookman Old Style" w:cs="Arial"/>
          <w:sz w:val="18"/>
          <w:szCs w:val="18"/>
        </w:rPr>
        <w:t>.</w:t>
      </w:r>
    </w:p>
    <w:p w14:paraId="656B5ECF" w14:textId="2740D0CB" w:rsidR="00596EC1" w:rsidRDefault="00596EC1" w:rsidP="00596EC1">
      <w:pPr>
        <w:pStyle w:val="BodyText"/>
        <w:tabs>
          <w:tab w:val="left" w:pos="900"/>
        </w:tabs>
        <w:spacing w:line="276" w:lineRule="auto"/>
        <w:ind w:firstLine="0"/>
        <w:rPr>
          <w:rFonts w:ascii="Bookman Old Style" w:hAnsi="Bookman Old Style" w:cs="Arial"/>
          <w:bCs/>
          <w:sz w:val="18"/>
          <w:szCs w:val="18"/>
          <w:lang w:val="id-ID"/>
        </w:rPr>
      </w:pPr>
      <w:r w:rsidRPr="00596EC1">
        <w:rPr>
          <w:rFonts w:ascii="Bookman Old Style" w:hAnsi="Bookman Old Style" w:cs="Arial"/>
          <w:bCs/>
          <w:sz w:val="18"/>
          <w:szCs w:val="18"/>
          <w:lang w:val="id-ID"/>
        </w:rPr>
        <w:t>Sementara itu, serai wangi (</w:t>
      </w:r>
      <w:r w:rsidRPr="00596EC1">
        <w:rPr>
          <w:rFonts w:ascii="Bookman Old Style" w:hAnsi="Bookman Old Style" w:cs="Arial"/>
          <w:bCs/>
          <w:i/>
          <w:iCs/>
          <w:sz w:val="18"/>
          <w:szCs w:val="18"/>
          <w:lang w:val="id-ID"/>
        </w:rPr>
        <w:t>Cymbopogon citratus</w:t>
      </w:r>
      <w:r w:rsidRPr="00596EC1">
        <w:rPr>
          <w:rFonts w:ascii="Bookman Old Style" w:hAnsi="Bookman Old Style" w:cs="Arial"/>
          <w:bCs/>
          <w:sz w:val="18"/>
          <w:szCs w:val="18"/>
          <w:lang w:val="id-ID"/>
        </w:rPr>
        <w:t xml:space="preserve">) merupakan tanaman yang banyak ditemukan di daerah tropis, termasuk Indonesia. Minyak atsiri yang dihasilkan kaya akan komponen seperti geraniol, sitronelol, sitronelal, dan sitral, yang telah dikenal efektif sebagai </w:t>
      </w:r>
      <w:r w:rsidRPr="00596EC1">
        <w:rPr>
          <w:rFonts w:ascii="Bookman Old Style" w:hAnsi="Bookman Old Style" w:cs="Arial"/>
          <w:bCs/>
          <w:i/>
          <w:iCs/>
          <w:sz w:val="18"/>
          <w:szCs w:val="18"/>
          <w:lang w:val="id-ID"/>
        </w:rPr>
        <w:t>repellent</w:t>
      </w:r>
      <w:r w:rsidRPr="00596EC1">
        <w:rPr>
          <w:rFonts w:ascii="Bookman Old Style" w:hAnsi="Bookman Old Style" w:cs="Arial"/>
          <w:bCs/>
          <w:sz w:val="18"/>
          <w:szCs w:val="18"/>
          <w:lang w:val="id-ID"/>
        </w:rPr>
        <w:t xml:space="preserve"> alami terhadap nyamuk maupun serangga lainnya. Sedangkan formulasi </w:t>
      </w:r>
      <w:r w:rsidRPr="00596EC1">
        <w:rPr>
          <w:rFonts w:ascii="Bookman Old Style" w:hAnsi="Bookman Old Style" w:cs="Arial"/>
          <w:bCs/>
          <w:i/>
          <w:iCs/>
          <w:sz w:val="18"/>
          <w:szCs w:val="18"/>
          <w:lang w:val="id-ID"/>
        </w:rPr>
        <w:t xml:space="preserve">spray </w:t>
      </w:r>
      <w:r w:rsidRPr="00596EC1">
        <w:rPr>
          <w:rFonts w:ascii="Bookman Old Style" w:hAnsi="Bookman Old Style" w:cs="Arial"/>
          <w:bCs/>
          <w:sz w:val="18"/>
          <w:szCs w:val="18"/>
          <w:lang w:val="id-ID"/>
        </w:rPr>
        <w:t xml:space="preserve">meningkatkan distribusi bahan aktif di kulit sehingga aktivitas penolakan lebih optimal </w:t>
      </w:r>
      <w:r w:rsidRPr="00596EC1">
        <w:rPr>
          <w:rFonts w:ascii="Bookman Old Style" w:hAnsi="Bookman Old Style" w:cs="Arial"/>
          <w:bCs/>
          <w:sz w:val="18"/>
          <w:szCs w:val="18"/>
          <w:lang w:val="en-GB"/>
        </w:rPr>
        <w:fldChar w:fldCharType="begin" w:fldLock="1"/>
      </w:r>
      <w:r w:rsidR="00CB5D15">
        <w:rPr>
          <w:rFonts w:ascii="Bookman Old Style" w:hAnsi="Bookman Old Style" w:cs="Arial"/>
          <w:bCs/>
          <w:sz w:val="18"/>
          <w:szCs w:val="18"/>
          <w:lang w:val="id-ID"/>
        </w:rPr>
        <w:instrText>ADDIN CSL_CITATION {"citationItems":[{"id":"ITEM-1","itemData":{"abstract":"Abstrak Dampak dari gigitan nyamuk sangat merugikan bagi manusia, yang paling ringan diantaranya dapat menyebabkan gatal-gatal dan segala dampak yang ditimbulkannya juga sangat mengganggu aktifitas. Tujuan penelitian Mengetahui efektivitas sediaan spray ekstrak etanol daun mint (Mentha piperita L.) sebagai anti nyamuk alami serta mengetahui evaluasi sediaan spray ekstrak etanol daun mint (Mentha piperita L.). Metode penelitian yang digunakan adalah eksperimental laboraturium. Spray diformulasikan dengan F0 tidak ada penambahan ekstrak, sedangkan pada F1 (5%), F2 (10%), F3 (15%) ada penambahan ekstrak etanol daun mint, kemudian tahap evaluasi formulasi spray dan data uji efektivitas formulasi spray anti nyamuk dianalisis menggunakan metode statistik berupa uji One Way Anova. Hasil penelitian dari uji pH (5,5-4,5), daya sebar baik, tidak menimbulkan iritasi kulit, nilai uji hedonic (uji kesukaan) keterangan rata-rata suka dan efektifitas formulasi spray anti nyamuk untuk F0 terdapat 11 nyamuk yang hinggap dikarenakan tanpa kandungan ekstrak sedangkan F1, F2, F3 tidak terdapat nyamuk yang hinggap dikarenakan penambahan ekstrak etanol daun mint pada masing-masing formula. Kesimpulan penelitian adalah spray ekstrak etanol daun mint (Mentha piperita L.) sangat efektif untuk digunakan sebagai anti nyamuk alami dan hasil evaluasi formulasi spray meliputi uji pH, uji daya sebar, uji iritasi dan uji hedonic (uji kesukaan) dari Ekstrak daun mint (Mentha piperita L.) dapat digunakan sebagai anti nyamuk alami. Kata Kunci: Daun mint, spray, ekstrak, anti nyamuk Abstract The impact of mosquito bites is very detrimental to humans, the mildest of which can cause itching and all the effects it causes are also very disturbing to activities. To determine the effectiveness of ethanol extract of mint leaves (Mentha piperita L.) spray preparation as a natural mosquito repellent and to determine the evaluation of ethanol extract of mint leaves (Mentha piperita L.) spray preparation. The research method used is laboratory experimental. The spray is formulated with F0 without the addition of extract, while in F1 (5%), F2 (10%), F3 (15%) there is the addition of ethanol extract of mint leaves, then the stage of evaluating the spray formulation and mosquito repellent spray formulation test data are analyzed using statistical methods in the form of One Way Anova test. The results of the pH test (5.5-4.5), good spreadability, no skin irritation, hedonic test value (preference test) …","author":[{"dropping-particle":"","family":"Meilina","given":"Rulia","non-dropping-particle":"","parse-names":false,"suffix":""},{"dropping-particle":"","family":"Dewi","given":"Revina","non-dropping-particle":"","parse-names":false,"suffix":""},{"dropping-particle":"","family":"Husna","given":"Asmaul","non-dropping-particle":"","parse-names":false,"suffix":""},{"dropping-particle":"","family":"Willis","given":"Ratna","non-dropping-particle":"","parse-names":false,"suffix":""}],"container-title":"Journal of Healtcare Technology and Medicine","id":"ITEM-1","issue":"1","issued":{"date-parts":[["2024"]]},"page":"2615-109","title":"Formulasi dan Efektivitas Sediaan Spray Ekstrak Etanol Daun Mint (Mentha Piperita L.) Sebagai Anti Nyamuk Formulation and Effectiveness of Mint Leaves (Mentha Piperita L.) Ethanol Extract Spray as an Anti-Mosquito","type":"article-journal","volume":"10"},"uris":["http://www.mendeley.com/documents/?uuid=ec00dd18-6a11-462c-9798-979f2039cf5f","http://www.mendeley.com/documents/?uuid=f6dd3294-af62-444e-a55c-6a755a9b3791"]}],"mendeley":{"formattedCitation":"[18]","plainTextFormattedCitation":"[18]","previouslyFormattedCitation":"[18]"},"properties":{"noteIndex":0},"schema":"https://github.com/citation-style-language/schema/raw/master/csl-citation.json"}</w:instrText>
      </w:r>
      <w:r w:rsidRPr="00596EC1">
        <w:rPr>
          <w:rFonts w:ascii="Bookman Old Style" w:hAnsi="Bookman Old Style" w:cs="Arial"/>
          <w:bCs/>
          <w:sz w:val="18"/>
          <w:szCs w:val="18"/>
          <w:lang w:val="en-GB"/>
        </w:rPr>
        <w:fldChar w:fldCharType="separate"/>
      </w:r>
      <w:r w:rsidRPr="00596EC1">
        <w:rPr>
          <w:rFonts w:ascii="Bookman Old Style" w:hAnsi="Bookman Old Style" w:cs="Arial"/>
          <w:bCs/>
          <w:noProof/>
          <w:sz w:val="18"/>
          <w:szCs w:val="18"/>
          <w:lang w:val="id-ID"/>
        </w:rPr>
        <w:t>[18]</w:t>
      </w:r>
      <w:r w:rsidRPr="00596EC1">
        <w:rPr>
          <w:rFonts w:ascii="Bookman Old Style" w:hAnsi="Bookman Old Style" w:cs="Arial"/>
          <w:bCs/>
          <w:sz w:val="18"/>
          <w:szCs w:val="18"/>
          <w:lang w:val="en-GB"/>
        </w:rPr>
        <w:fldChar w:fldCharType="end"/>
      </w:r>
      <w:r w:rsidRPr="00596EC1">
        <w:rPr>
          <w:rFonts w:ascii="Bookman Old Style" w:hAnsi="Bookman Old Style" w:cs="Arial"/>
          <w:bCs/>
          <w:sz w:val="18"/>
          <w:szCs w:val="18"/>
          <w:lang w:val="id-ID"/>
        </w:rPr>
        <w:t xml:space="preserve">. Costa dkk </w:t>
      </w:r>
      <w:r w:rsidRPr="00596EC1">
        <w:rPr>
          <w:rFonts w:ascii="Bookman Old Style" w:hAnsi="Bookman Old Style" w:cs="Arial"/>
          <w:bCs/>
          <w:sz w:val="18"/>
          <w:szCs w:val="18"/>
          <w:lang w:val="id-ID"/>
        </w:rPr>
        <w:fldChar w:fldCharType="begin" w:fldLock="1"/>
      </w:r>
      <w:r w:rsidR="00CB5D15">
        <w:rPr>
          <w:rFonts w:ascii="Bookman Old Style" w:hAnsi="Bookman Old Style" w:cs="Arial"/>
          <w:bCs/>
          <w:sz w:val="18"/>
          <w:szCs w:val="18"/>
          <w:lang w:val="id-ID"/>
        </w:rPr>
        <w:instrText>ADDIN CSL_CITATION {"citationItems":[{"id":"ITEM-1","itemData":{"ISSN":"0926-6690","author":[{"dropping-particle":"","family":"Costa","given":"Gustavo","non-dropping-particle":"","parse-names":false,"suffix":""},{"dropping-particle":"","family":"Grangeia","given":"Helena","non-dropping-particle":"","parse-names":false,"suffix":""},{"dropping-particle":"","family":"Figueirinha","given":"Artur","non-dropping-particle":"","parse-names":false,"suffix":""},{"dropping-particle":"","family":"Figueiredo","given":"Isabel Vitória","non-dropping-particle":"","parse-names":false,"suffix":""},{"dropping-particle":"","family":"Batista","given":"Maria Teresa","non-dropping-particle":"","parse-names":false,"suffix":""}],"container-title":"Industrial Crops and Products","id":"ITEM-1","issued":{"date-parts":[["2016"]]},"page":"738-745","publisher":"Elsevier","title":"Influence of harvest date and material quality on polyphenolic content and antioxidant activity of Cymbopogon citratus infusion","type":"article-journal","volume":"83"},"uris":["http://www.mendeley.com/documents/?uuid=a4199f39-ae67-430b-9b17-4d01380aac5b","http://www.mendeley.com/documents/?uuid=b14f7b24-258f-49fa-b63b-b3331b00073b"]}],"mendeley":{"formattedCitation":"[31]","plainTextFormattedCitation":"[31]","previouslyFormattedCitation":"[31]"},"properties":{"noteIndex":0},"schema":"https://github.com/citation-style-language/schema/raw/master/csl-citation.json"}</w:instrText>
      </w:r>
      <w:r w:rsidRPr="00596EC1">
        <w:rPr>
          <w:rFonts w:ascii="Bookman Old Style" w:hAnsi="Bookman Old Style" w:cs="Arial"/>
          <w:bCs/>
          <w:sz w:val="18"/>
          <w:szCs w:val="18"/>
          <w:lang w:val="id-ID"/>
        </w:rPr>
        <w:fldChar w:fldCharType="separate"/>
      </w:r>
      <w:r w:rsidRPr="00596EC1">
        <w:rPr>
          <w:rFonts w:ascii="Bookman Old Style" w:hAnsi="Bookman Old Style" w:cs="Arial"/>
          <w:bCs/>
          <w:noProof/>
          <w:sz w:val="18"/>
          <w:szCs w:val="18"/>
          <w:lang w:val="id-ID"/>
        </w:rPr>
        <w:t>[31]</w:t>
      </w:r>
      <w:r w:rsidRPr="00596EC1">
        <w:rPr>
          <w:rFonts w:ascii="Bookman Old Style" w:hAnsi="Bookman Old Style" w:cs="Arial"/>
          <w:bCs/>
          <w:sz w:val="18"/>
          <w:szCs w:val="18"/>
          <w:lang w:val="id-ID"/>
        </w:rPr>
        <w:fldChar w:fldCharType="end"/>
      </w:r>
      <w:r w:rsidRPr="00596EC1">
        <w:rPr>
          <w:rFonts w:ascii="Bookman Old Style" w:hAnsi="Bookman Old Style" w:cs="Arial"/>
          <w:bCs/>
          <w:sz w:val="18"/>
          <w:szCs w:val="18"/>
          <w:lang w:val="id-ID"/>
        </w:rPr>
        <w:t>, menginformasikan bahwa identifikasi senyawa fungsional dari serai menunjukkan bahwa flavonoid, seperti luteolin dan glikosida apigenin, serta proantosianidin, berkontribusi kuat terhadap sifat antioksidan dan antiinflamasi dari infus serai bebas minyak esensial.</w:t>
      </w:r>
    </w:p>
    <w:p w14:paraId="4F6AFF2F" w14:textId="7CC291AA" w:rsidR="00596EC1" w:rsidRDefault="00596EC1" w:rsidP="00596EC1">
      <w:pPr>
        <w:pStyle w:val="BodyText"/>
        <w:tabs>
          <w:tab w:val="left" w:pos="900"/>
        </w:tabs>
        <w:spacing w:line="276" w:lineRule="auto"/>
        <w:ind w:firstLine="0"/>
        <w:rPr>
          <w:rFonts w:ascii="Bookman Old Style" w:hAnsi="Bookman Old Style" w:cs="Arial"/>
          <w:sz w:val="18"/>
          <w:szCs w:val="18"/>
        </w:rPr>
      </w:pPr>
      <w:r>
        <w:rPr>
          <w:rFonts w:ascii="Bookman Old Style" w:hAnsi="Bookman Old Style" w:cs="Arial"/>
          <w:sz w:val="18"/>
          <w:szCs w:val="18"/>
        </w:rPr>
        <w:lastRenderedPageBreak/>
        <w:tab/>
      </w:r>
      <w:r w:rsidRPr="00596EC1">
        <w:rPr>
          <w:rFonts w:ascii="Bookman Old Style" w:hAnsi="Bookman Old Style" w:cs="Arial"/>
          <w:sz w:val="18"/>
          <w:szCs w:val="18"/>
        </w:rPr>
        <w:t>Flavonoid pada tumbuhan berperan sebagai antioksidan dan antiinflamasi. Antioksidan mengganggu sistem penghasil radikal dan meningkatkan fungsi antioksidan endogen, melindungi sel dari kerusakan akibat radikal bebas. Flavonoid telah terbukti sangat efektif dalam mencegah peroksidasi lipid, penelitian telah menunjukkan bahwa quercetin membantu menekan peroksidasi lipid</w:t>
      </w:r>
      <w:r w:rsidRPr="00596EC1">
        <w:rPr>
          <w:rFonts w:ascii="Bookman Old Style" w:hAnsi="Bookman Old Style" w:cs="Arial"/>
          <w:sz w:val="18"/>
          <w:szCs w:val="18"/>
          <w:vertAlign w:val="superscript"/>
        </w:rPr>
        <w:t> </w:t>
      </w:r>
      <w:r w:rsidRPr="00596EC1">
        <w:rPr>
          <w:rFonts w:ascii="Bookman Old Style" w:hAnsi="Bookman Old Style" w:cs="Arial"/>
          <w:sz w:val="18"/>
          <w:szCs w:val="18"/>
        </w:rPr>
        <w:t>. Selain quercetin, terdapat flavonoid lain seperti myricetin dan rutin yang membantu menghambat produksi radikal superoksida.</w:t>
      </w:r>
      <w:r w:rsidRPr="00596EC1">
        <w:rPr>
          <w:rFonts w:ascii="Bookman Old Style" w:hAnsi="Bookman Old Style" w:cs="Arial"/>
          <w:bCs/>
          <w:sz w:val="18"/>
          <w:szCs w:val="18"/>
          <w:lang w:val="id-ID"/>
        </w:rPr>
        <w:t xml:space="preserve"> </w:t>
      </w:r>
      <w:r w:rsidRPr="00596EC1">
        <w:rPr>
          <w:rFonts w:ascii="Bookman Old Style" w:hAnsi="Bookman Old Style" w:cs="Arial"/>
          <w:sz w:val="18"/>
          <w:szCs w:val="18"/>
        </w:rPr>
        <w:t xml:space="preserve">Salah satu mekanisme kerja flavonoid adalah melalui interaksi dengan berbagai sistem enzim. Beberapa efek mungkin merupakan hasil kombinasi penangkapan radikal dan interaksi dengan fungsi enzim. Aktivitas antiinflamasi dan penghambatan metabolisme asam arakidonat oleh flavonoid, menunjukkan bahwa flavonoid menghambat metabolisme asam arakidonat melalui jalur enzim. Sifat ini memberikan flavonoid sifat antiinflamasi. Pelepasan asam arakidonat merupakan titik awal untuk respons inflamasi umum dan neutrofil yang mengandung lipoksigenase menghasilkan senyawa kemotaktik dari asam arakidonat </w:t>
      </w:r>
      <w:r w:rsidRPr="00596EC1">
        <w:rPr>
          <w:rFonts w:ascii="Bookman Old Style" w:hAnsi="Bookman Old Style" w:cs="Arial"/>
          <w:sz w:val="18"/>
          <w:szCs w:val="18"/>
        </w:rPr>
        <w:fldChar w:fldCharType="begin" w:fldLock="1"/>
      </w:r>
      <w:r w:rsidR="00CB5D15">
        <w:rPr>
          <w:rFonts w:ascii="Bookman Old Style" w:hAnsi="Bookman Old Style" w:cs="Arial"/>
          <w:sz w:val="18"/>
          <w:szCs w:val="18"/>
        </w:rPr>
        <w:instrText>ADDIN CSL_CITATION {"citationItems":[{"id":"ITEM-1","itemData":{"DOI":"10.1017/jns.2016.41","author":[{"dropping-particle":"","family":"A.N","given":"Panche","non-dropping-particle":"","parse-names":false,"suffix":""},{"dropping-particle":"","family":"AD","given":"Diwan","non-dropping-particle":"","parse-names":false,"suffix":""},{"dropping-particle":"","family":"SR","given":"Chandra","non-dropping-particle":"","parse-names":false,"suffix":""}],"container-title":"JOURNAL OF NUTRITIONAL SCIENCE REVIEW","id":"ITEM-1","issued":{"date-parts":[["2016"]]},"page":"1-15","title":"Journal of nutritional science","type":"article-journal","volume":"5"},"uris":["http://www.mendeley.com/documents/?uuid=a328f133-6daf-4f6f-be7d-959041b18cc7"]}],"mendeley":{"formattedCitation":"[30]","plainTextFormattedCitation":"[30]","previouslyFormattedCitation":"[30]"},"properties":{"noteIndex":0},"schema":"https://github.com/citation-style-language/schema/raw/master/csl-citation.json"}</w:instrText>
      </w:r>
      <w:r w:rsidRPr="00596EC1">
        <w:rPr>
          <w:rFonts w:ascii="Bookman Old Style" w:hAnsi="Bookman Old Style" w:cs="Arial"/>
          <w:sz w:val="18"/>
          <w:szCs w:val="18"/>
        </w:rPr>
        <w:fldChar w:fldCharType="separate"/>
      </w:r>
      <w:r w:rsidRPr="00596EC1">
        <w:rPr>
          <w:rFonts w:ascii="Bookman Old Style" w:hAnsi="Bookman Old Style" w:cs="Arial"/>
          <w:noProof/>
          <w:sz w:val="18"/>
          <w:szCs w:val="18"/>
        </w:rPr>
        <w:t>[30]</w:t>
      </w:r>
      <w:r w:rsidRPr="00596EC1">
        <w:rPr>
          <w:rFonts w:ascii="Bookman Old Style" w:hAnsi="Bookman Old Style" w:cs="Arial"/>
          <w:sz w:val="18"/>
          <w:szCs w:val="18"/>
        </w:rPr>
        <w:fldChar w:fldCharType="end"/>
      </w:r>
      <w:r w:rsidRPr="00596EC1">
        <w:rPr>
          <w:rFonts w:ascii="Bookman Old Style" w:hAnsi="Bookman Old Style" w:cs="Arial"/>
          <w:sz w:val="18"/>
          <w:szCs w:val="18"/>
        </w:rPr>
        <w:t>.</w:t>
      </w:r>
    </w:p>
    <w:p w14:paraId="67FE5B0B" w14:textId="3A58DE8B" w:rsidR="00596EC1" w:rsidRDefault="00596EC1" w:rsidP="00596EC1">
      <w:pPr>
        <w:pStyle w:val="BodyText"/>
        <w:rPr>
          <w:rFonts w:ascii="Arial" w:hAnsi="Arial" w:cs="Arial"/>
          <w:bCs/>
          <w:sz w:val="22"/>
          <w:szCs w:val="22"/>
          <w:lang w:val="id-ID"/>
        </w:rPr>
      </w:pPr>
      <w:r w:rsidRPr="00596EC1">
        <w:rPr>
          <w:rFonts w:ascii="Arial" w:hAnsi="Arial" w:cs="Arial"/>
          <w:bCs/>
          <w:noProof/>
          <w:sz w:val="22"/>
          <w:szCs w:val="22"/>
          <w:lang w:val="id-ID"/>
        </w:rPr>
        <w:drawing>
          <wp:anchor distT="0" distB="0" distL="114300" distR="114300" simplePos="0" relativeHeight="251664384" behindDoc="0" locked="0" layoutInCell="1" allowOverlap="1" wp14:anchorId="7E5E4412" wp14:editId="1C43B558">
            <wp:simplePos x="0" y="0"/>
            <wp:positionH relativeFrom="column">
              <wp:posOffset>9525</wp:posOffset>
            </wp:positionH>
            <wp:positionV relativeFrom="paragraph">
              <wp:posOffset>-1905</wp:posOffset>
            </wp:positionV>
            <wp:extent cx="2917190" cy="1638935"/>
            <wp:effectExtent l="0" t="0" r="0" b="0"/>
            <wp:wrapNone/>
            <wp:docPr id="1509000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00302" name=""/>
                    <pic:cNvPicPr/>
                  </pic:nvPicPr>
                  <pic:blipFill>
                    <a:blip r:embed="rId13">
                      <a:extLst>
                        <a:ext uri="{28A0092B-C50C-407E-A947-70E740481C1C}">
                          <a14:useLocalDpi xmlns:a14="http://schemas.microsoft.com/office/drawing/2010/main" val="0"/>
                        </a:ext>
                      </a:extLst>
                    </a:blip>
                    <a:stretch>
                      <a:fillRect/>
                    </a:stretch>
                  </pic:blipFill>
                  <pic:spPr>
                    <a:xfrm>
                      <a:off x="0" y="0"/>
                      <a:ext cx="2917190" cy="1638935"/>
                    </a:xfrm>
                    <a:prstGeom prst="rect">
                      <a:avLst/>
                    </a:prstGeom>
                  </pic:spPr>
                </pic:pic>
              </a:graphicData>
            </a:graphic>
          </wp:anchor>
        </w:drawing>
      </w:r>
    </w:p>
    <w:p w14:paraId="23F79E1F" w14:textId="4E7157FD" w:rsidR="00596EC1" w:rsidRDefault="00596EC1" w:rsidP="00596EC1">
      <w:pPr>
        <w:pStyle w:val="BodyText"/>
        <w:ind w:firstLine="0"/>
        <w:jc w:val="center"/>
        <w:rPr>
          <w:rFonts w:ascii="Arial" w:hAnsi="Arial" w:cs="Arial"/>
          <w:bCs/>
          <w:sz w:val="22"/>
          <w:szCs w:val="22"/>
          <w:lang w:val="en-GB"/>
        </w:rPr>
      </w:pPr>
    </w:p>
    <w:p w14:paraId="312B1608" w14:textId="77777777" w:rsidR="00596EC1" w:rsidRDefault="00596EC1" w:rsidP="00596EC1">
      <w:pPr>
        <w:pStyle w:val="BodyText"/>
        <w:ind w:firstLine="0"/>
        <w:jc w:val="center"/>
        <w:rPr>
          <w:rFonts w:ascii="Arial" w:hAnsi="Arial" w:cs="Arial"/>
          <w:bCs/>
          <w:sz w:val="22"/>
          <w:szCs w:val="22"/>
          <w:lang w:val="en-GB"/>
        </w:rPr>
      </w:pPr>
    </w:p>
    <w:p w14:paraId="2C39A4A1" w14:textId="77777777" w:rsidR="00596EC1" w:rsidRDefault="00596EC1" w:rsidP="00596EC1">
      <w:pPr>
        <w:pStyle w:val="BodyText"/>
        <w:ind w:firstLine="0"/>
        <w:jc w:val="center"/>
        <w:rPr>
          <w:rFonts w:ascii="Arial" w:hAnsi="Arial" w:cs="Arial"/>
          <w:bCs/>
          <w:sz w:val="22"/>
          <w:szCs w:val="22"/>
          <w:lang w:val="en-GB"/>
        </w:rPr>
      </w:pPr>
    </w:p>
    <w:p w14:paraId="12FAD7BE" w14:textId="77777777" w:rsidR="00596EC1" w:rsidRDefault="00596EC1" w:rsidP="00596EC1">
      <w:pPr>
        <w:pStyle w:val="BodyText"/>
        <w:ind w:firstLine="0"/>
        <w:jc w:val="center"/>
        <w:rPr>
          <w:rFonts w:ascii="Arial" w:hAnsi="Arial" w:cs="Arial"/>
          <w:bCs/>
          <w:sz w:val="22"/>
          <w:szCs w:val="22"/>
          <w:lang w:val="en-GB"/>
        </w:rPr>
      </w:pPr>
    </w:p>
    <w:p w14:paraId="15173903" w14:textId="77777777" w:rsidR="00596EC1" w:rsidRDefault="00596EC1" w:rsidP="00596EC1">
      <w:pPr>
        <w:pStyle w:val="BodyText"/>
        <w:ind w:firstLine="0"/>
        <w:jc w:val="center"/>
        <w:rPr>
          <w:rFonts w:ascii="Arial" w:hAnsi="Arial" w:cs="Arial"/>
          <w:bCs/>
          <w:sz w:val="22"/>
          <w:szCs w:val="22"/>
          <w:lang w:val="en-GB"/>
        </w:rPr>
      </w:pPr>
    </w:p>
    <w:p w14:paraId="20A41B68" w14:textId="77777777" w:rsidR="00596EC1" w:rsidRDefault="00596EC1" w:rsidP="00596EC1">
      <w:pPr>
        <w:pStyle w:val="BodyText"/>
        <w:ind w:firstLine="0"/>
        <w:jc w:val="center"/>
        <w:rPr>
          <w:rFonts w:ascii="Arial" w:hAnsi="Arial" w:cs="Arial"/>
          <w:bCs/>
          <w:sz w:val="22"/>
          <w:szCs w:val="22"/>
          <w:lang w:val="en-GB"/>
        </w:rPr>
      </w:pPr>
    </w:p>
    <w:p w14:paraId="38DD6680" w14:textId="77777777" w:rsidR="00596EC1" w:rsidRDefault="00596EC1" w:rsidP="00596EC1">
      <w:pPr>
        <w:pStyle w:val="BodyText"/>
        <w:tabs>
          <w:tab w:val="left" w:pos="900"/>
        </w:tabs>
        <w:spacing w:line="276" w:lineRule="auto"/>
        <w:ind w:firstLine="0"/>
        <w:rPr>
          <w:rFonts w:ascii="Bookman Old Style" w:hAnsi="Bookman Old Style" w:cs="Arial"/>
          <w:bCs/>
          <w:sz w:val="18"/>
          <w:szCs w:val="18"/>
          <w:lang w:val="en-GB"/>
        </w:rPr>
      </w:pPr>
    </w:p>
    <w:p w14:paraId="3EF087CD" w14:textId="2C968AE1" w:rsidR="00596EC1" w:rsidRDefault="00596EC1" w:rsidP="00596EC1">
      <w:pPr>
        <w:pStyle w:val="BodyText"/>
        <w:tabs>
          <w:tab w:val="left" w:pos="900"/>
        </w:tabs>
        <w:spacing w:line="276" w:lineRule="auto"/>
        <w:ind w:firstLine="0"/>
        <w:rPr>
          <w:rFonts w:ascii="Bookman Old Style" w:hAnsi="Bookman Old Style"/>
          <w:color w:val="221F1F"/>
          <w:sz w:val="18"/>
          <w:szCs w:val="18"/>
          <w:lang w:eastAsia="en-ID"/>
        </w:rPr>
      </w:pPr>
      <w:r w:rsidRPr="00596EC1">
        <w:rPr>
          <w:rFonts w:ascii="Bookman Old Style" w:hAnsi="Bookman Old Style"/>
          <w:color w:val="221F1F"/>
          <w:sz w:val="18"/>
          <w:szCs w:val="18"/>
          <w:lang w:eastAsia="en-ID"/>
        </w:rPr>
        <w:t>Gambar 4. Jumlah Nyamuk yang hinggap pada setiap area formula (TP, F1, F2, F3) berdasarkan pengujian metode Human Landing Collectio (HLC) pada 5 lokasi. Data merupakan hasil rata-rata daritiga kali pengulangan</w:t>
      </w:r>
    </w:p>
    <w:p w14:paraId="4A54A118" w14:textId="77777777" w:rsidR="00596EC1" w:rsidRPr="00596EC1" w:rsidRDefault="00596EC1" w:rsidP="00596EC1">
      <w:pPr>
        <w:pStyle w:val="BodyText"/>
        <w:spacing w:before="240" w:line="276" w:lineRule="auto"/>
        <w:rPr>
          <w:rFonts w:ascii="Bookman Old Style" w:hAnsi="Bookman Old Style" w:cs="Arial"/>
          <w:bCs/>
          <w:sz w:val="18"/>
          <w:szCs w:val="18"/>
          <w:lang w:val="en-GB"/>
        </w:rPr>
      </w:pPr>
      <w:r w:rsidRPr="00596EC1">
        <w:rPr>
          <w:rFonts w:ascii="Bookman Old Style" w:hAnsi="Bookman Old Style" w:cs="Arial"/>
          <w:bCs/>
          <w:sz w:val="18"/>
          <w:szCs w:val="18"/>
          <w:lang w:val="en-GB"/>
        </w:rPr>
        <w:t xml:space="preserve">Pemanfaatan bahan alami yang melimpah di Gorontalo, seperti serai dan kemangi, menjadi langkah strategis dalam mengembangkan </w:t>
      </w:r>
      <w:r w:rsidRPr="00596EC1">
        <w:rPr>
          <w:rFonts w:ascii="Bookman Old Style" w:hAnsi="Bookman Old Style" w:cs="Arial"/>
          <w:bCs/>
          <w:i/>
          <w:iCs/>
          <w:sz w:val="18"/>
          <w:szCs w:val="18"/>
          <w:lang w:val="en-GB"/>
        </w:rPr>
        <w:t>sunscreen</w:t>
      </w:r>
      <w:r w:rsidRPr="00596EC1">
        <w:rPr>
          <w:rFonts w:ascii="Bookman Old Style" w:hAnsi="Bookman Old Style" w:cs="Arial"/>
          <w:bCs/>
          <w:sz w:val="18"/>
          <w:szCs w:val="18"/>
          <w:lang w:val="en-GB"/>
        </w:rPr>
        <w:t xml:space="preserve"> berbasis herbal. Produk </w:t>
      </w:r>
      <w:r w:rsidRPr="00596EC1">
        <w:rPr>
          <w:rFonts w:ascii="Bookman Old Style" w:hAnsi="Bookman Old Style" w:cs="Arial"/>
          <w:bCs/>
          <w:i/>
          <w:iCs/>
          <w:sz w:val="18"/>
          <w:szCs w:val="18"/>
          <w:lang w:val="en-GB"/>
        </w:rPr>
        <w:t>Body Sunscreen Spray</w:t>
      </w:r>
      <w:r w:rsidRPr="00596EC1">
        <w:rPr>
          <w:rFonts w:ascii="Bookman Old Style" w:hAnsi="Bookman Old Style" w:cs="Arial"/>
          <w:bCs/>
          <w:sz w:val="18"/>
          <w:szCs w:val="18"/>
          <w:lang w:val="en-GB"/>
        </w:rPr>
        <w:t xml:space="preserve"> ini tidak hanya menawarkan perlindungan alami terhadap sinar UV, tetapi juga sejalan dengan prinsip keberlanjutan karena memanfaatkan sumber daya lokal. Dengan nilai SPF yang diperoleh, sediaan ini mampu memberikan perlindungan terhadap kulit saat masyarakat beraktivitas di luar ruangan. </w:t>
      </w:r>
    </w:p>
    <w:p w14:paraId="5FFB64BD" w14:textId="27CCB709" w:rsidR="00596EC1" w:rsidRPr="00596EC1" w:rsidRDefault="00596EC1" w:rsidP="00596EC1">
      <w:pPr>
        <w:pStyle w:val="BodyText"/>
        <w:tabs>
          <w:tab w:val="left" w:pos="720"/>
        </w:tabs>
        <w:spacing w:line="276" w:lineRule="auto"/>
        <w:ind w:firstLine="0"/>
        <w:rPr>
          <w:rFonts w:ascii="Bookman Old Style" w:hAnsi="Bookman Old Style" w:cs="Arial"/>
          <w:bCs/>
          <w:sz w:val="18"/>
          <w:szCs w:val="18"/>
          <w:lang w:val="en-GB"/>
        </w:rPr>
      </w:pPr>
      <w:r>
        <w:rPr>
          <w:rFonts w:ascii="Bookman Old Style" w:hAnsi="Bookman Old Style" w:cs="Arial"/>
          <w:bCs/>
          <w:sz w:val="18"/>
          <w:szCs w:val="18"/>
          <w:lang w:val="en-GB"/>
        </w:rPr>
        <w:tab/>
      </w:r>
      <w:r w:rsidRPr="00596EC1">
        <w:rPr>
          <w:rFonts w:ascii="Bookman Old Style" w:hAnsi="Bookman Old Style" w:cs="Arial"/>
          <w:bCs/>
          <w:sz w:val="18"/>
          <w:szCs w:val="18"/>
          <w:lang w:val="en-GB"/>
        </w:rPr>
        <w:t xml:space="preserve">Meskipun penggunaannya perlu diulang, proteksi tetap dapat terjaga. Oleh karena itu, penelitian lanjutan sangat penting dilakukan untuk </w:t>
      </w:r>
      <w:r w:rsidRPr="00596EC1">
        <w:rPr>
          <w:rFonts w:ascii="Bookman Old Style" w:hAnsi="Bookman Old Style" w:cs="Arial"/>
          <w:bCs/>
          <w:sz w:val="18"/>
          <w:szCs w:val="18"/>
          <w:lang w:val="en-GB"/>
        </w:rPr>
        <w:t>meningkatkan nilai SPF, sehingga ke depan dapat tercipta produk dengan perlindungan lebih tinggi sekaligus mendukung kemandirian masyarakat dalam memanfaatkan potensi tanaman lokal.</w:t>
      </w:r>
    </w:p>
    <w:p w14:paraId="0A025ED6" w14:textId="7FE2B0A2" w:rsidR="00CE4E69" w:rsidRPr="00884378" w:rsidRDefault="00CE4E69" w:rsidP="00CE4E69">
      <w:pPr>
        <w:jc w:val="center"/>
        <w:rPr>
          <w:rFonts w:ascii="Bookman Old Style" w:hAnsi="Bookman Old Style"/>
          <w:noProof/>
          <w:sz w:val="16"/>
          <w:szCs w:val="16"/>
          <w:lang w:val="en-ID"/>
        </w:rPr>
      </w:pPr>
    </w:p>
    <w:p w14:paraId="17FCFD34" w14:textId="77777777" w:rsidR="00CE4E69" w:rsidRPr="00884378" w:rsidRDefault="00CE4E69" w:rsidP="00CE4E69">
      <w:pPr>
        <w:pStyle w:val="subbab1"/>
        <w:spacing w:before="120" w:after="120"/>
        <w:rPr>
          <w:sz w:val="16"/>
          <w:szCs w:val="16"/>
        </w:rPr>
      </w:pPr>
      <w:r w:rsidRPr="00884378">
        <w:rPr>
          <w:sz w:val="16"/>
          <w:szCs w:val="16"/>
        </w:rPr>
        <w:t>Kesimpulan</w:t>
      </w:r>
    </w:p>
    <w:p w14:paraId="5F8A75FA" w14:textId="2D369130" w:rsidR="00CE4E69" w:rsidRPr="00884378" w:rsidRDefault="00596EC1" w:rsidP="00CE4E69">
      <w:pPr>
        <w:ind w:firstLine="720"/>
        <w:jc w:val="both"/>
        <w:rPr>
          <w:rFonts w:ascii="Bookman Old Style" w:hAnsi="Bookman Old Style" w:cs="Arial"/>
          <w:sz w:val="18"/>
          <w:szCs w:val="18"/>
        </w:rPr>
      </w:pPr>
      <w:r w:rsidRPr="00596EC1">
        <w:rPr>
          <w:rFonts w:ascii="Bookman Old Style" w:hAnsi="Bookman Old Style" w:cs="Arial"/>
          <w:bCs/>
          <w:sz w:val="18"/>
          <w:szCs w:val="18"/>
          <w:lang w:val="en-GB"/>
        </w:rPr>
        <w:t xml:space="preserve">Penelitian ini berhasil mengembangkan produk </w:t>
      </w:r>
      <w:r w:rsidRPr="00596EC1">
        <w:rPr>
          <w:rFonts w:ascii="Bookman Old Style" w:hAnsi="Bookman Old Style" w:cs="Arial"/>
          <w:bCs/>
          <w:i/>
          <w:iCs/>
          <w:sz w:val="18"/>
          <w:szCs w:val="18"/>
          <w:lang w:val="en-GB"/>
        </w:rPr>
        <w:t>Citracanum Sunspray</w:t>
      </w:r>
      <w:r w:rsidRPr="00596EC1">
        <w:rPr>
          <w:rFonts w:ascii="Bookman Old Style" w:hAnsi="Bookman Old Style" w:cs="Arial"/>
          <w:bCs/>
          <w:sz w:val="18"/>
          <w:szCs w:val="18"/>
          <w:lang w:val="en-GB"/>
        </w:rPr>
        <w:t xml:space="preserve"> berbahan dasar ekstrak serai (</w:t>
      </w:r>
      <w:r w:rsidRPr="00596EC1">
        <w:rPr>
          <w:rFonts w:ascii="Bookman Old Style" w:hAnsi="Bookman Old Style" w:cs="Arial"/>
          <w:bCs/>
          <w:i/>
          <w:iCs/>
          <w:sz w:val="18"/>
          <w:szCs w:val="18"/>
          <w:lang w:val="en-GB"/>
        </w:rPr>
        <w:t>Cymbopogon citratus</w:t>
      </w:r>
      <w:r w:rsidRPr="00596EC1">
        <w:rPr>
          <w:rFonts w:ascii="Bookman Old Style" w:hAnsi="Bookman Old Style" w:cs="Arial"/>
          <w:bCs/>
          <w:sz w:val="18"/>
          <w:szCs w:val="18"/>
          <w:lang w:val="en-GB"/>
        </w:rPr>
        <w:t>) dan kemangi (</w:t>
      </w:r>
      <w:r w:rsidRPr="00596EC1">
        <w:rPr>
          <w:rFonts w:ascii="Bookman Old Style" w:hAnsi="Bookman Old Style" w:cs="Arial"/>
          <w:bCs/>
          <w:i/>
          <w:iCs/>
          <w:sz w:val="18"/>
          <w:szCs w:val="18"/>
          <w:lang w:val="en-GB"/>
        </w:rPr>
        <w:t>Ocimum canum</w:t>
      </w:r>
      <w:r w:rsidRPr="00596EC1">
        <w:rPr>
          <w:rFonts w:ascii="Bookman Old Style" w:hAnsi="Bookman Old Style" w:cs="Arial"/>
          <w:bCs/>
          <w:sz w:val="18"/>
          <w:szCs w:val="18"/>
          <w:lang w:val="en-GB"/>
        </w:rPr>
        <w:t xml:space="preserve">) yang efektif melindungi kulit dari paparan sinar UV dan mengusir nyamuk. Formula F3 menunjukkan hasil terbaik dengan nilai SPF 10,41, yang meskipun lebih rendah dibandingkan dengan produk komersial, tetapi memberikan perlindungan yang cukup untuk penggunaan sehari-hari untuk aktivitas luar ruangan ringan. Selain itu, produk ini juga menunjukkan aktivitas </w:t>
      </w:r>
      <w:r w:rsidRPr="00596EC1">
        <w:rPr>
          <w:rFonts w:ascii="Bookman Old Style" w:hAnsi="Bookman Old Style" w:cs="Arial"/>
          <w:bCs/>
          <w:i/>
          <w:iCs/>
          <w:sz w:val="18"/>
          <w:szCs w:val="18"/>
          <w:lang w:val="en-GB"/>
        </w:rPr>
        <w:t>repellent</w:t>
      </w:r>
      <w:r w:rsidRPr="00596EC1">
        <w:rPr>
          <w:rFonts w:ascii="Bookman Old Style" w:hAnsi="Bookman Old Style" w:cs="Arial"/>
          <w:bCs/>
          <w:sz w:val="18"/>
          <w:szCs w:val="18"/>
          <w:lang w:val="en-GB"/>
        </w:rPr>
        <w:t xml:space="preserve"> paling tinggi. Sehingga dapat dijadikan pilihan yang ideal untuk melindungi kulit sekaligus mencegah gigitan nyamuk. Dengan memanfaatkan bahan alami di Gorontalo, produk ini menawarkan keunggulan yang ramah lingkungan dan aman digunakan</w:t>
      </w:r>
      <w:r>
        <w:rPr>
          <w:rFonts w:ascii="Arial" w:hAnsi="Arial" w:cs="Arial"/>
          <w:bCs/>
          <w:sz w:val="22"/>
          <w:szCs w:val="22"/>
          <w:lang w:val="en-GB"/>
        </w:rPr>
        <w:t>.</w:t>
      </w:r>
    </w:p>
    <w:p w14:paraId="5DDCD99A" w14:textId="77777777" w:rsidR="00CE4E69" w:rsidRPr="00884378" w:rsidRDefault="00CE4E69" w:rsidP="00CE4E69">
      <w:pPr>
        <w:ind w:firstLine="720"/>
        <w:jc w:val="both"/>
        <w:rPr>
          <w:rFonts w:ascii="Bookman Old Style" w:hAnsi="Bookman Old Style" w:cs="Arial"/>
          <w:sz w:val="18"/>
          <w:szCs w:val="18"/>
        </w:rPr>
      </w:pPr>
    </w:p>
    <w:p w14:paraId="7C94C45B" w14:textId="77777777" w:rsidR="00CE4E69" w:rsidRPr="00884378" w:rsidRDefault="00CE4E69" w:rsidP="00CE4E69">
      <w:pPr>
        <w:jc w:val="both"/>
        <w:rPr>
          <w:rFonts w:ascii="Bookman Old Style" w:hAnsi="Bookman Old Style" w:cs="Arial"/>
          <w:b/>
          <w:sz w:val="18"/>
          <w:szCs w:val="18"/>
        </w:rPr>
      </w:pPr>
      <w:r w:rsidRPr="00884378">
        <w:rPr>
          <w:rFonts w:ascii="Bookman Old Style" w:hAnsi="Bookman Old Style" w:cs="Arial"/>
          <w:b/>
          <w:sz w:val="18"/>
          <w:szCs w:val="18"/>
        </w:rPr>
        <w:t>Ucapan Terimakasih</w:t>
      </w:r>
    </w:p>
    <w:p w14:paraId="723DC7F9" w14:textId="4DA30C09" w:rsidR="00CE4E69" w:rsidRPr="00884378" w:rsidRDefault="00CE4E69" w:rsidP="006E6DB3">
      <w:pPr>
        <w:jc w:val="both"/>
        <w:rPr>
          <w:rFonts w:ascii="Bookman Old Style" w:hAnsi="Bookman Old Style" w:cs="Arial"/>
          <w:sz w:val="18"/>
          <w:szCs w:val="18"/>
        </w:rPr>
      </w:pPr>
    </w:p>
    <w:p w14:paraId="472D9178" w14:textId="47CA4D95" w:rsidR="00CE4E69" w:rsidRPr="00337C58" w:rsidRDefault="00CB5D15" w:rsidP="00CB5D15">
      <w:pPr>
        <w:ind w:firstLine="720"/>
        <w:jc w:val="both"/>
        <w:rPr>
          <w:rFonts w:ascii="Bookman Old Style" w:hAnsi="Bookman Old Style"/>
          <w:sz w:val="18"/>
          <w:szCs w:val="18"/>
        </w:rPr>
      </w:pPr>
      <w:r w:rsidRPr="00CB5D15">
        <w:rPr>
          <w:rFonts w:ascii="Bookman Old Style" w:hAnsi="Bookman Old Style" w:cs="Arial"/>
          <w:bCs/>
          <w:sz w:val="18"/>
          <w:szCs w:val="18"/>
          <w:lang w:val="en-GB"/>
        </w:rPr>
        <w:t>Penulis menyampaikan terima kasih kepada</w:t>
      </w:r>
      <w:r>
        <w:rPr>
          <w:rFonts w:ascii="Bookman Old Style" w:hAnsi="Bookman Old Style" w:cs="Arial"/>
          <w:bCs/>
          <w:sz w:val="18"/>
          <w:szCs w:val="18"/>
          <w:lang w:val="en-GB"/>
        </w:rPr>
        <w:t xml:space="preserve"> MAN 1 Kab. Gorontalo dan</w:t>
      </w:r>
      <w:r w:rsidRPr="00CB5D15">
        <w:rPr>
          <w:rFonts w:ascii="Bookman Old Style" w:hAnsi="Bookman Old Style" w:cs="Arial"/>
          <w:bCs/>
          <w:sz w:val="18"/>
          <w:szCs w:val="18"/>
          <w:lang w:val="en-GB"/>
        </w:rPr>
        <w:t xml:space="preserve"> </w:t>
      </w:r>
      <w:r>
        <w:rPr>
          <w:rFonts w:ascii="Bookman Old Style" w:hAnsi="Bookman Old Style" w:cs="Arial"/>
          <w:bCs/>
          <w:sz w:val="18"/>
          <w:szCs w:val="18"/>
          <w:lang w:val="en-GB"/>
        </w:rPr>
        <w:t>Laboratorium Farmasi</w:t>
      </w:r>
      <w:r w:rsidRPr="00CB5D15">
        <w:rPr>
          <w:rFonts w:ascii="Bookman Old Style" w:hAnsi="Bookman Old Style" w:cs="Arial"/>
          <w:bCs/>
          <w:sz w:val="18"/>
          <w:szCs w:val="18"/>
          <w:lang w:val="en-GB"/>
        </w:rPr>
        <w:t>, Universitas Negeri Gorontalo atas</w:t>
      </w:r>
      <w:r>
        <w:rPr>
          <w:rFonts w:ascii="Bookman Old Style" w:hAnsi="Bookman Old Style" w:cs="Arial"/>
          <w:bCs/>
          <w:sz w:val="18"/>
          <w:szCs w:val="18"/>
          <w:lang w:val="en-GB"/>
        </w:rPr>
        <w:t xml:space="preserve"> bimbingan,</w:t>
      </w:r>
      <w:r w:rsidRPr="00CB5D15">
        <w:rPr>
          <w:rFonts w:ascii="Bookman Old Style" w:hAnsi="Bookman Old Style" w:cs="Arial"/>
          <w:bCs/>
          <w:sz w:val="18"/>
          <w:szCs w:val="18"/>
          <w:lang w:val="en-GB"/>
        </w:rPr>
        <w:t xml:space="preserve"> dukungan serta fasilitas yang diberikan dalam pelaksanaan </w:t>
      </w:r>
      <w:r>
        <w:rPr>
          <w:rFonts w:ascii="Bookman Old Style" w:hAnsi="Bookman Old Style" w:cs="Arial"/>
          <w:bCs/>
          <w:sz w:val="18"/>
          <w:szCs w:val="18"/>
          <w:lang w:val="en-GB"/>
        </w:rPr>
        <w:t xml:space="preserve">penelitian. </w:t>
      </w:r>
    </w:p>
    <w:p w14:paraId="3A3285BB" w14:textId="77777777" w:rsidR="00CE4E69" w:rsidRPr="00A55797" w:rsidRDefault="00CE4E69" w:rsidP="00CE4E69">
      <w:pPr>
        <w:jc w:val="both"/>
        <w:rPr>
          <w:rFonts w:ascii="Bookman Old Style" w:hAnsi="Bookman Old Style"/>
        </w:rPr>
      </w:pPr>
    </w:p>
    <w:p w14:paraId="3F41284E" w14:textId="77777777" w:rsidR="00CE4E69" w:rsidRPr="00AB751D" w:rsidRDefault="00CE4E69" w:rsidP="00CE4E69">
      <w:pPr>
        <w:tabs>
          <w:tab w:val="left" w:pos="709"/>
        </w:tabs>
        <w:autoSpaceDE w:val="0"/>
        <w:autoSpaceDN w:val="0"/>
        <w:adjustRightInd w:val="0"/>
        <w:ind w:right="109"/>
        <w:jc w:val="both"/>
        <w:rPr>
          <w:rFonts w:ascii="Bookman Old Style" w:eastAsia="SimSun" w:hAnsi="Bookman Old Style"/>
          <w:b/>
          <w:iCs/>
          <w:kern w:val="2"/>
          <w:lang w:eastAsia="zh-CN"/>
        </w:rPr>
      </w:pPr>
      <w:r w:rsidRPr="00AB751D">
        <w:rPr>
          <w:rFonts w:ascii="Bookman Old Style" w:eastAsia="SimSun" w:hAnsi="Bookman Old Style"/>
          <w:b/>
          <w:iCs/>
          <w:kern w:val="2"/>
          <w:lang w:eastAsia="zh-CN"/>
        </w:rPr>
        <w:t>Daftar Pustaka</w:t>
      </w:r>
      <w:bookmarkEnd w:id="0"/>
      <w:bookmarkEnd w:id="1"/>
    </w:p>
    <w:p w14:paraId="530834A4" w14:textId="19A58573" w:rsidR="00CB5D15" w:rsidRPr="00CB5D15" w:rsidRDefault="00CB5D15" w:rsidP="00A64C43">
      <w:pPr>
        <w:widowControl w:val="0"/>
        <w:autoSpaceDE w:val="0"/>
        <w:autoSpaceDN w:val="0"/>
        <w:adjustRightInd w:val="0"/>
        <w:ind w:left="640" w:hanging="640"/>
        <w:jc w:val="both"/>
        <w:rPr>
          <w:rFonts w:ascii="Arial" w:hAnsi="Arial" w:cs="Arial"/>
          <w:noProof/>
          <w:sz w:val="18"/>
        </w:rPr>
      </w:pPr>
      <w:r>
        <w:rPr>
          <w:rFonts w:ascii="Arial" w:hAnsi="Arial" w:cs="Arial"/>
          <w:b/>
          <w:sz w:val="18"/>
          <w:szCs w:val="18"/>
        </w:rPr>
        <w:fldChar w:fldCharType="begin" w:fldLock="1"/>
      </w:r>
      <w:r>
        <w:rPr>
          <w:rFonts w:ascii="Arial" w:hAnsi="Arial" w:cs="Arial"/>
          <w:b/>
          <w:sz w:val="18"/>
          <w:szCs w:val="18"/>
        </w:rPr>
        <w:instrText xml:space="preserve">ADDIN Mendeley Bibliography CSL_BIBLIOGRAPHY </w:instrText>
      </w:r>
      <w:r>
        <w:rPr>
          <w:rFonts w:ascii="Arial" w:hAnsi="Arial" w:cs="Arial"/>
          <w:b/>
          <w:sz w:val="18"/>
          <w:szCs w:val="18"/>
        </w:rPr>
        <w:fldChar w:fldCharType="separate"/>
      </w:r>
      <w:r w:rsidRPr="00CB5D15">
        <w:rPr>
          <w:rFonts w:ascii="Arial" w:hAnsi="Arial" w:cs="Arial"/>
          <w:noProof/>
          <w:sz w:val="18"/>
        </w:rPr>
        <w:t>[1]</w:t>
      </w:r>
      <w:r w:rsidRPr="00CB5D15">
        <w:rPr>
          <w:rFonts w:ascii="Arial" w:hAnsi="Arial" w:cs="Arial"/>
          <w:noProof/>
          <w:sz w:val="18"/>
        </w:rPr>
        <w:tab/>
        <w:t xml:space="preserve">F. D. R. Maharani and T. Tarcisia, “Peningkatan pengetahuan remaja perempuan 17-22 tahun tentang sunscreen di fk untar,” </w:t>
      </w:r>
      <w:r w:rsidRPr="00CB5D15">
        <w:rPr>
          <w:rFonts w:ascii="Arial" w:hAnsi="Arial" w:cs="Arial"/>
          <w:i/>
          <w:iCs/>
          <w:noProof/>
          <w:sz w:val="18"/>
        </w:rPr>
        <w:t>J. Kesehat. Tambusai</w:t>
      </w:r>
      <w:r w:rsidRPr="00CB5D15">
        <w:rPr>
          <w:rFonts w:ascii="Arial" w:hAnsi="Arial" w:cs="Arial"/>
          <w:noProof/>
          <w:sz w:val="18"/>
        </w:rPr>
        <w:t>, vol. 5, no. 1, pp. 1–9, 2024.</w:t>
      </w:r>
    </w:p>
    <w:p w14:paraId="7CD8504A"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[2]</w:t>
      </w:r>
      <w:r w:rsidRPr="00CB5D15">
        <w:rPr>
          <w:rFonts w:ascii="Arial" w:hAnsi="Arial" w:cs="Arial"/>
          <w:noProof/>
          <w:sz w:val="18"/>
        </w:rPr>
        <w:tab/>
        <w:t xml:space="preserve">BMKG, “Pandangan Iklim 2023,” in </w:t>
      </w:r>
      <w:r w:rsidRPr="00CB5D15">
        <w:rPr>
          <w:rFonts w:ascii="Arial" w:hAnsi="Arial" w:cs="Arial"/>
          <w:i/>
          <w:iCs/>
          <w:noProof/>
          <w:sz w:val="18"/>
        </w:rPr>
        <w:t>BMKG Journal</w:t>
      </w:r>
      <w:r w:rsidRPr="00CB5D15">
        <w:rPr>
          <w:rFonts w:ascii="Arial" w:hAnsi="Arial" w:cs="Arial"/>
          <w:noProof/>
          <w:sz w:val="18"/>
        </w:rPr>
        <w:t>, 2022.</w:t>
      </w:r>
    </w:p>
    <w:p w14:paraId="118D297C"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[3]</w:t>
      </w:r>
      <w:r w:rsidRPr="00CB5D15">
        <w:rPr>
          <w:rFonts w:ascii="Arial" w:hAnsi="Arial" w:cs="Arial"/>
          <w:noProof/>
          <w:sz w:val="18"/>
        </w:rPr>
        <w:tab/>
        <w:t xml:space="preserve">Badan Pusat Statistik Provinsi Gorontalo, “Indikator Iklim Gorontalo 2021,” </w:t>
      </w:r>
      <w:r w:rsidRPr="00CB5D15">
        <w:rPr>
          <w:rFonts w:ascii="Arial" w:hAnsi="Arial" w:cs="Arial"/>
          <w:i/>
          <w:iCs/>
          <w:noProof/>
          <w:sz w:val="18"/>
        </w:rPr>
        <w:t>Gorontalo.Bps.Go.Id</w:t>
      </w:r>
      <w:r w:rsidRPr="00CB5D15">
        <w:rPr>
          <w:rFonts w:ascii="Arial" w:hAnsi="Arial" w:cs="Arial"/>
          <w:noProof/>
          <w:sz w:val="18"/>
        </w:rPr>
        <w:t>. 2022.</w:t>
      </w:r>
    </w:p>
    <w:p w14:paraId="6F7D4499"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[4]</w:t>
      </w:r>
      <w:r w:rsidRPr="00CB5D15">
        <w:rPr>
          <w:rFonts w:ascii="Arial" w:hAnsi="Arial" w:cs="Arial"/>
          <w:noProof/>
          <w:sz w:val="18"/>
        </w:rPr>
        <w:tab/>
        <w:t xml:space="preserve">E. Septiana, “Hubungan Pengetahuan Tentang Sunscreen dan Pengetahuan Tentang Bahaya Paparan Sinar Matahari dengan Perilaku Penggunaan Sunscreen pada Pegawai Rumah Sakit Bandar Negara Husada Lampung Selatan,” </w:t>
      </w:r>
      <w:r w:rsidRPr="00CB5D15">
        <w:rPr>
          <w:rFonts w:ascii="Arial" w:hAnsi="Arial" w:cs="Arial"/>
          <w:i/>
          <w:iCs/>
          <w:noProof/>
          <w:sz w:val="18"/>
        </w:rPr>
        <w:t>J. Ilmu Kesehat. Masy. Indones.</w:t>
      </w:r>
      <w:r w:rsidRPr="00CB5D15">
        <w:rPr>
          <w:rFonts w:ascii="Arial" w:hAnsi="Arial" w:cs="Arial"/>
          <w:noProof/>
          <w:sz w:val="18"/>
        </w:rPr>
        <w:t>, vol. 3, no. 1, pp. 1–12, 2023.</w:t>
      </w:r>
    </w:p>
    <w:p w14:paraId="33BD9785"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[5]</w:t>
      </w:r>
      <w:r w:rsidRPr="00CB5D15">
        <w:rPr>
          <w:rFonts w:ascii="Arial" w:hAnsi="Arial" w:cs="Arial"/>
          <w:noProof/>
          <w:sz w:val="18"/>
        </w:rPr>
        <w:tab/>
        <w:t>A. N. Sari, “Efektifitas Daun Kemangi (Ocimum sanctumL.) Sebagai Ovisida Terhadap Nyamuk Aedes aegypti,” Universtas Islam Negeri Raden Intan Lampung, 2018.</w:t>
      </w:r>
    </w:p>
    <w:p w14:paraId="0B6A9F90"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[6]</w:t>
      </w:r>
      <w:r w:rsidRPr="00CB5D15">
        <w:rPr>
          <w:rFonts w:ascii="Arial" w:hAnsi="Arial" w:cs="Arial"/>
          <w:noProof/>
          <w:sz w:val="18"/>
        </w:rPr>
        <w:tab/>
        <w:t>InfoDATIN, “Deteksi Dini Demam Berdarah Dengue (DBD) dan Pengendaliannya di Indonesia Tahun 2023,” 2023.</w:t>
      </w:r>
    </w:p>
    <w:p w14:paraId="14780D6A"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[7]</w:t>
      </w:r>
      <w:r w:rsidRPr="00CB5D15">
        <w:rPr>
          <w:rFonts w:ascii="Arial" w:hAnsi="Arial" w:cs="Arial"/>
          <w:noProof/>
          <w:sz w:val="18"/>
        </w:rPr>
        <w:tab/>
        <w:t xml:space="preserve">A. Fidyasari, Ayu Ristamaya Yusuf, and Nafila Nada Dzikri, “Organoleptic and Chemical Properties of SERANGI Herbal Drink: A Blend of Lemongrass (Cymbopogon nardus L.) and Holy Basil (Ocimum sanctum L.) as Immune Booster.,” </w:t>
      </w:r>
      <w:r w:rsidRPr="00CB5D15">
        <w:rPr>
          <w:rFonts w:ascii="Arial" w:hAnsi="Arial" w:cs="Arial"/>
          <w:i/>
          <w:iCs/>
          <w:noProof/>
          <w:sz w:val="18"/>
        </w:rPr>
        <w:t>Farmasains J. Farm. dan Ilmu Kesehat.</w:t>
      </w:r>
      <w:r w:rsidRPr="00CB5D15">
        <w:rPr>
          <w:rFonts w:ascii="Arial" w:hAnsi="Arial" w:cs="Arial"/>
          <w:noProof/>
          <w:sz w:val="18"/>
        </w:rPr>
        <w:t>, vol. 9, no. 1, pp. 19–27, 2024.</w:t>
      </w:r>
    </w:p>
    <w:p w14:paraId="5CA75487"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[8]</w:t>
      </w:r>
      <w:r w:rsidRPr="00CB5D15">
        <w:rPr>
          <w:rFonts w:ascii="Arial" w:hAnsi="Arial" w:cs="Arial"/>
          <w:noProof/>
          <w:sz w:val="18"/>
        </w:rPr>
        <w:tab/>
        <w:t xml:space="preserve">N. K. A. P. Sari, “Uji Potensi Tabir Surya dan Nilai </w:t>
      </w:r>
      <w:r w:rsidRPr="00CB5D15">
        <w:rPr>
          <w:rFonts w:ascii="Arial" w:hAnsi="Arial" w:cs="Arial"/>
          <w:noProof/>
          <w:sz w:val="18"/>
        </w:rPr>
        <w:lastRenderedPageBreak/>
        <w:t>Sun Protection Factor (SPF) Sediaan Krim Tabir Surya Minyak Atsiri Sereh Wangi (Cymbopogon nardus) dengan Metode Spektrofotometri UV-Vis,” Universitas Mahasaraswati Denpasar, 2024.</w:t>
      </w:r>
    </w:p>
    <w:p w14:paraId="1A62A1A7"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[9]</w:t>
      </w:r>
      <w:r w:rsidRPr="00CB5D15">
        <w:rPr>
          <w:rFonts w:ascii="Arial" w:hAnsi="Arial" w:cs="Arial"/>
          <w:noProof/>
          <w:sz w:val="18"/>
        </w:rPr>
        <w:tab/>
        <w:t xml:space="preserve">L. Karlina, G. S. Nurhayati, and L. Dita, “Formulasi Sediaan Lotion Tabir Surya Ekstrak Daun Sereh (Cymbopogon citratus [DC.] Stapf) dan Nilai Sun Protection Factor (SPF) dengan Metode Spektrofotometri UV-Vis,” </w:t>
      </w:r>
      <w:r w:rsidRPr="00CB5D15">
        <w:rPr>
          <w:rFonts w:ascii="Arial" w:hAnsi="Arial" w:cs="Arial"/>
          <w:i/>
          <w:iCs/>
          <w:noProof/>
          <w:sz w:val="18"/>
        </w:rPr>
        <w:t>J. Med. Sains</w:t>
      </w:r>
      <w:r w:rsidRPr="00CB5D15">
        <w:rPr>
          <w:rFonts w:ascii="Arial" w:hAnsi="Arial" w:cs="Arial"/>
          <w:noProof/>
          <w:sz w:val="18"/>
        </w:rPr>
        <w:t>, vol. 3, no. 2, pp. 88–100, 2023.</w:t>
      </w:r>
    </w:p>
    <w:p w14:paraId="54E038A4"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[10]</w:t>
      </w:r>
      <w:r w:rsidRPr="00CB5D15">
        <w:rPr>
          <w:rFonts w:ascii="Arial" w:hAnsi="Arial" w:cs="Arial"/>
          <w:noProof/>
          <w:sz w:val="18"/>
        </w:rPr>
        <w:tab/>
        <w:t xml:space="preserve">E. F. Ramadhan, E. Fachriyah, and D. Kusrini, “Potensi Antioksidan Ekstrak Etanol Residu Destilasi Sereh Wangi (Cymbopogon nardus),” </w:t>
      </w:r>
      <w:r w:rsidRPr="00CB5D15">
        <w:rPr>
          <w:rFonts w:ascii="Arial" w:hAnsi="Arial" w:cs="Arial"/>
          <w:i/>
          <w:iCs/>
          <w:noProof/>
          <w:sz w:val="18"/>
        </w:rPr>
        <w:t>Greensph. J. Environ. Chem.</w:t>
      </w:r>
      <w:r w:rsidRPr="00CB5D15">
        <w:rPr>
          <w:rFonts w:ascii="Arial" w:hAnsi="Arial" w:cs="Arial"/>
          <w:noProof/>
          <w:sz w:val="18"/>
        </w:rPr>
        <w:t>, vol. 2, no. 1, pp. 14–17, 2022.</w:t>
      </w:r>
    </w:p>
    <w:p w14:paraId="38E9D587"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[11]</w:t>
      </w:r>
      <w:r w:rsidRPr="00CB5D15">
        <w:rPr>
          <w:rFonts w:ascii="Arial" w:hAnsi="Arial" w:cs="Arial"/>
          <w:noProof/>
          <w:sz w:val="18"/>
        </w:rPr>
        <w:tab/>
        <w:t xml:space="preserve">F. N. Endahsari, S. Endrawati, and S. S. Wahyuningsih, “Formulasi dan penentuan Nilai SPF Ekstrak Etanol Daun Kemangi (Ocimum sanctum L.) Sediaan Krim Tabir Surya,” </w:t>
      </w:r>
      <w:r w:rsidRPr="00CB5D15">
        <w:rPr>
          <w:rFonts w:ascii="Arial" w:hAnsi="Arial" w:cs="Arial"/>
          <w:i/>
          <w:iCs/>
          <w:noProof/>
          <w:sz w:val="18"/>
        </w:rPr>
        <w:t>Indones. J. Med. Sci.</w:t>
      </w:r>
      <w:r w:rsidRPr="00CB5D15">
        <w:rPr>
          <w:rFonts w:ascii="Arial" w:hAnsi="Arial" w:cs="Arial"/>
          <w:noProof/>
          <w:sz w:val="18"/>
        </w:rPr>
        <w:t>, vol. 9, no. 2, pp. 133–139, 2022.</w:t>
      </w:r>
    </w:p>
    <w:p w14:paraId="7DB16FBC"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[12]</w:t>
      </w:r>
      <w:r w:rsidRPr="00CB5D15">
        <w:rPr>
          <w:rFonts w:ascii="Arial" w:hAnsi="Arial" w:cs="Arial"/>
          <w:noProof/>
          <w:sz w:val="18"/>
        </w:rPr>
        <w:tab/>
        <w:t xml:space="preserve">N. Rosida, L. Permatasari, and W. Hajrin, “The Sun Protection Factor (SPF) of Kepundung Leaf Methanol 96% Extract (Baccaurea racemosa) Using The In-Vitro Test,” </w:t>
      </w:r>
      <w:r w:rsidRPr="00CB5D15">
        <w:rPr>
          <w:rFonts w:ascii="Arial" w:hAnsi="Arial" w:cs="Arial"/>
          <w:i/>
          <w:iCs/>
          <w:noProof/>
          <w:sz w:val="18"/>
        </w:rPr>
        <w:t>J. Biol. Trop.</w:t>
      </w:r>
      <w:r w:rsidRPr="00CB5D15">
        <w:rPr>
          <w:rFonts w:ascii="Arial" w:hAnsi="Arial" w:cs="Arial"/>
          <w:noProof/>
          <w:sz w:val="18"/>
        </w:rPr>
        <w:t>, vol. 24, no. 2b, pp. 406–410, 2025.</w:t>
      </w:r>
    </w:p>
    <w:p w14:paraId="1B187B61"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[13]</w:t>
      </w:r>
      <w:r w:rsidRPr="00CB5D15">
        <w:rPr>
          <w:rFonts w:ascii="Arial" w:hAnsi="Arial" w:cs="Arial"/>
          <w:noProof/>
          <w:sz w:val="18"/>
        </w:rPr>
        <w:tab/>
        <w:t xml:space="preserve">M. Yaseen, T. Mahmood, A. M. Yousaf, Y. Shahzad, G. Bjørklund, and R. Lysiuk, “Formulation, characterization and in-vitro sun protection factor of a lemongrass sunscreen lotion: sun protection factor of a lemongrass sunscreen lotion,” </w:t>
      </w:r>
      <w:r w:rsidRPr="00CB5D15">
        <w:rPr>
          <w:rFonts w:ascii="Arial" w:hAnsi="Arial" w:cs="Arial"/>
          <w:i/>
          <w:iCs/>
          <w:noProof/>
          <w:sz w:val="18"/>
        </w:rPr>
        <w:t>Proc. Pakistan Acad. Sci. B. Life Environ. Sci.</w:t>
      </w:r>
      <w:r w:rsidRPr="00CB5D15">
        <w:rPr>
          <w:rFonts w:ascii="Arial" w:hAnsi="Arial" w:cs="Arial"/>
          <w:noProof/>
          <w:sz w:val="18"/>
        </w:rPr>
        <w:t>, vol. 55, no. 2, pp. 11–20, 2018.</w:t>
      </w:r>
    </w:p>
    <w:p w14:paraId="15420A4A"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[14]</w:t>
      </w:r>
      <w:r w:rsidRPr="00CB5D15">
        <w:rPr>
          <w:rFonts w:ascii="Arial" w:hAnsi="Arial" w:cs="Arial"/>
          <w:noProof/>
          <w:sz w:val="18"/>
        </w:rPr>
        <w:tab/>
        <w:t xml:space="preserve">I. Kristianingsih and I. N. Febriana, “Formulasi Sediaan Repellent Sediaan Lotion Kombinasi Ekstrak Daun Kemangi (Ocimum sanctum L.) dan Ekstrak Sereh (Cymbopogon nardus L Rendle.),” </w:t>
      </w:r>
      <w:r w:rsidRPr="00CB5D15">
        <w:rPr>
          <w:rFonts w:ascii="Arial" w:hAnsi="Arial" w:cs="Arial"/>
          <w:i/>
          <w:iCs/>
          <w:noProof/>
          <w:sz w:val="18"/>
        </w:rPr>
        <w:t>Cendekia J. Pharm.</w:t>
      </w:r>
      <w:r w:rsidRPr="00CB5D15">
        <w:rPr>
          <w:rFonts w:ascii="Arial" w:hAnsi="Arial" w:cs="Arial"/>
          <w:noProof/>
          <w:sz w:val="18"/>
        </w:rPr>
        <w:t>, vol. 6, no. 2, pp. 212–226, 2022.</w:t>
      </w:r>
    </w:p>
    <w:p w14:paraId="21916864"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[15]</w:t>
      </w:r>
      <w:r w:rsidRPr="00CB5D15">
        <w:rPr>
          <w:rFonts w:ascii="Arial" w:hAnsi="Arial" w:cs="Arial"/>
          <w:noProof/>
          <w:sz w:val="18"/>
        </w:rPr>
        <w:tab/>
        <w:t xml:space="preserve">F. D. Utami and A. B. Setianto, “Formulasi Repellent Aktivitas Sediaan Spray Kombinasi Minyak Atsiri Serai (Cymbopogon Cablin), Daun Kemangi (Ocimum Basilicum), dan Nilam (Pogostemon Cablin) Beserta Uji Preferensinya,” </w:t>
      </w:r>
      <w:r w:rsidRPr="00CB5D15">
        <w:rPr>
          <w:rFonts w:ascii="Arial" w:hAnsi="Arial" w:cs="Arial"/>
          <w:i/>
          <w:iCs/>
          <w:noProof/>
          <w:sz w:val="18"/>
        </w:rPr>
        <w:t>J. Ilm. Ibnu Sina</w:t>
      </w:r>
      <w:r w:rsidRPr="00CB5D15">
        <w:rPr>
          <w:rFonts w:ascii="Arial" w:hAnsi="Arial" w:cs="Arial"/>
          <w:noProof/>
          <w:sz w:val="18"/>
        </w:rPr>
        <w:t>, vol. 6, no. 1, pp. 87–97, 2021.</w:t>
      </w:r>
    </w:p>
    <w:p w14:paraId="625E7DF2"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[16]</w:t>
      </w:r>
      <w:r w:rsidRPr="00CB5D15">
        <w:rPr>
          <w:rFonts w:ascii="Arial" w:hAnsi="Arial" w:cs="Arial"/>
          <w:noProof/>
          <w:sz w:val="18"/>
        </w:rPr>
        <w:tab/>
        <w:t xml:space="preserve">M. S. Sangi and D. G. Katja, “Aktivitas Antioksidan pada Beberapa Rempah-Rempah Masakan Khas Minahasa,” </w:t>
      </w:r>
      <w:r w:rsidRPr="00CB5D15">
        <w:rPr>
          <w:rFonts w:ascii="Arial" w:hAnsi="Arial" w:cs="Arial"/>
          <w:i/>
          <w:iCs/>
          <w:noProof/>
          <w:sz w:val="18"/>
        </w:rPr>
        <w:t>Chem. Prog</w:t>
      </w:r>
      <w:r w:rsidRPr="00CB5D15">
        <w:rPr>
          <w:rFonts w:ascii="Arial" w:hAnsi="Arial" w:cs="Arial"/>
          <w:noProof/>
          <w:sz w:val="18"/>
        </w:rPr>
        <w:t>, vol. 4, no. 2, pp. 66–74, 2011.</w:t>
      </w:r>
    </w:p>
    <w:p w14:paraId="5E12A0E7"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[17]</w:t>
      </w:r>
      <w:r w:rsidRPr="00CB5D15">
        <w:rPr>
          <w:rFonts w:ascii="Arial" w:hAnsi="Arial" w:cs="Arial"/>
          <w:noProof/>
          <w:sz w:val="18"/>
        </w:rPr>
        <w:tab/>
        <w:t xml:space="preserve">A. Andy Suryadi, M. S. Pakaya, E. N. Djuwarno, and J. Akuba, “Determination of Sun Protection Factor (Spf) Value in Lime (Citrus Aurantifolia) Peel Extract Using Uv-Vis Spectrophotometry Method,” </w:t>
      </w:r>
      <w:r w:rsidRPr="00CB5D15">
        <w:rPr>
          <w:rFonts w:ascii="Arial" w:hAnsi="Arial" w:cs="Arial"/>
          <w:i/>
          <w:iCs/>
          <w:noProof/>
          <w:sz w:val="18"/>
        </w:rPr>
        <w:t>Jambura J. Heal. Sci. Res.</w:t>
      </w:r>
      <w:r w:rsidRPr="00CB5D15">
        <w:rPr>
          <w:rFonts w:ascii="Arial" w:hAnsi="Arial" w:cs="Arial"/>
          <w:noProof/>
          <w:sz w:val="18"/>
        </w:rPr>
        <w:t>, vol. 3, no. 2, pp. 169–180, 2021.</w:t>
      </w:r>
    </w:p>
    <w:p w14:paraId="0BB39EA7"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[18]</w:t>
      </w:r>
      <w:r w:rsidRPr="00CB5D15">
        <w:rPr>
          <w:rFonts w:ascii="Arial" w:hAnsi="Arial" w:cs="Arial"/>
          <w:noProof/>
          <w:sz w:val="18"/>
        </w:rPr>
        <w:tab/>
        <w:t xml:space="preserve">R. Meilina, R. Dewi, A. Husna, and R. Willis, “Formulasi dan Efektivitas Sediaan Spray Ekstrak Etanol Daun Mint (Mentha Piperita L.) Sebagai Anti Nyamuk Formulation and Effectiveness of Mint Leaves (Mentha Piperita L.) Ethanol Extract Spray as an Anti-Mosquito,” </w:t>
      </w:r>
      <w:r w:rsidRPr="00CB5D15">
        <w:rPr>
          <w:rFonts w:ascii="Arial" w:hAnsi="Arial" w:cs="Arial"/>
          <w:i/>
          <w:iCs/>
          <w:noProof/>
          <w:sz w:val="18"/>
        </w:rPr>
        <w:t>J. Heal. Technol. Med.</w:t>
      </w:r>
      <w:r w:rsidRPr="00CB5D15">
        <w:rPr>
          <w:rFonts w:ascii="Arial" w:hAnsi="Arial" w:cs="Arial"/>
          <w:noProof/>
          <w:sz w:val="18"/>
        </w:rPr>
        <w:t>, vol. 10, no. 1, pp. 2615–109, 2024.</w:t>
      </w:r>
    </w:p>
    <w:p w14:paraId="04DA3341"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[19]</w:t>
      </w:r>
      <w:r w:rsidRPr="00CB5D15">
        <w:rPr>
          <w:rFonts w:ascii="Arial" w:hAnsi="Arial" w:cs="Arial"/>
          <w:noProof/>
          <w:sz w:val="18"/>
        </w:rPr>
        <w:tab/>
        <w:t xml:space="preserve">ISO 24444, “INTERNATIONAL STANDARD </w:t>
      </w:r>
      <w:r w:rsidRPr="00CB5D15">
        <w:rPr>
          <w:rFonts w:ascii="Arial" w:hAnsi="Arial" w:cs="Arial"/>
          <w:noProof/>
          <w:sz w:val="18"/>
        </w:rPr>
        <w:t>Cosmetics — Sun protection test methods — In vivo determination of the sun protection factor (SPF).” iTeh STANDARD PREVIEW, 2019.</w:t>
      </w:r>
    </w:p>
    <w:p w14:paraId="41ECFC23"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[20]</w:t>
      </w:r>
      <w:r w:rsidRPr="00CB5D15">
        <w:rPr>
          <w:rFonts w:ascii="Arial" w:hAnsi="Arial" w:cs="Arial"/>
          <w:noProof/>
          <w:sz w:val="18"/>
        </w:rPr>
        <w:tab/>
        <w:t xml:space="preserve">M. L. F. Kumalasari and F. Andiarna, “Uji Fitokimia Ekstrak Etanol Daun Kemangi (Ocimum basilicum L),” </w:t>
      </w:r>
      <w:r w:rsidRPr="00CB5D15">
        <w:rPr>
          <w:rFonts w:ascii="Arial" w:hAnsi="Arial" w:cs="Arial"/>
          <w:i/>
          <w:iCs/>
          <w:noProof/>
          <w:sz w:val="18"/>
        </w:rPr>
        <w:t>Indones. J. Heal. Sci.</w:t>
      </w:r>
      <w:r w:rsidRPr="00CB5D15">
        <w:rPr>
          <w:rFonts w:ascii="Arial" w:hAnsi="Arial" w:cs="Arial"/>
          <w:noProof/>
          <w:sz w:val="18"/>
        </w:rPr>
        <w:t>, vol. 4, no. 1, pp. 39–44, 2020.</w:t>
      </w:r>
    </w:p>
    <w:p w14:paraId="3B91950B"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[21]</w:t>
      </w:r>
      <w:r w:rsidRPr="00CB5D15">
        <w:rPr>
          <w:rFonts w:ascii="Arial" w:hAnsi="Arial" w:cs="Arial"/>
          <w:noProof/>
          <w:sz w:val="18"/>
        </w:rPr>
        <w:tab/>
        <w:t xml:space="preserve">Z. Azkiya, H. Ariyani, and T. S. Nugraha, “Evaluasi sifat fisik krim ekstrak jahe merah (Zingiber officinale Rosc. var. rubrum) sebagai anti nyeri,” </w:t>
      </w:r>
      <w:r w:rsidRPr="00CB5D15">
        <w:rPr>
          <w:rFonts w:ascii="Arial" w:hAnsi="Arial" w:cs="Arial"/>
          <w:i/>
          <w:iCs/>
          <w:noProof/>
          <w:sz w:val="18"/>
        </w:rPr>
        <w:t>JCPS (Journal Curr. Pharm. Sci.</w:t>
      </w:r>
      <w:r w:rsidRPr="00CB5D15">
        <w:rPr>
          <w:rFonts w:ascii="Arial" w:hAnsi="Arial" w:cs="Arial"/>
          <w:noProof/>
          <w:sz w:val="18"/>
        </w:rPr>
        <w:t>, vol. 1, no. 1, pp. 12–18, 2017.</w:t>
      </w:r>
    </w:p>
    <w:p w14:paraId="5B0FA807"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[22]</w:t>
      </w:r>
      <w:r w:rsidRPr="00CB5D15">
        <w:rPr>
          <w:rFonts w:ascii="Arial" w:hAnsi="Arial" w:cs="Arial"/>
          <w:noProof/>
          <w:sz w:val="18"/>
        </w:rPr>
        <w:tab/>
        <w:t xml:space="preserve">D. Saryanti, I. Setiawan, and R. A. Safitri, “Optimasi asam stearat dan TEA pada formula sediaan krim ekstrak kulit pisang kepok (Musa paradisiaca L.),” </w:t>
      </w:r>
      <w:r w:rsidRPr="00CB5D15">
        <w:rPr>
          <w:rFonts w:ascii="Arial" w:hAnsi="Arial" w:cs="Arial"/>
          <w:i/>
          <w:iCs/>
          <w:noProof/>
          <w:sz w:val="18"/>
        </w:rPr>
        <w:t>J. Ris. Kefarmasian Indones.</w:t>
      </w:r>
      <w:r w:rsidRPr="00CB5D15">
        <w:rPr>
          <w:rFonts w:ascii="Arial" w:hAnsi="Arial" w:cs="Arial"/>
          <w:noProof/>
          <w:sz w:val="18"/>
        </w:rPr>
        <w:t>, vol. 1, no. 3, pp. 225–237, 2019.</w:t>
      </w:r>
    </w:p>
    <w:p w14:paraId="02ADF701"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[23]</w:t>
      </w:r>
      <w:r w:rsidRPr="00CB5D15">
        <w:rPr>
          <w:rFonts w:ascii="Arial" w:hAnsi="Arial" w:cs="Arial"/>
          <w:noProof/>
          <w:sz w:val="18"/>
        </w:rPr>
        <w:tab/>
        <w:t xml:space="preserve">M. Yaseen, T. Mahmood, A. M. Yousa, Y. Shahzad, G. Bjørklund, and R. Lysiuk, “Formulation, Characterization and In-vitro Sun Protection Factor of a Lemongrass Sunscreen Lotion,” </w:t>
      </w:r>
      <w:r w:rsidRPr="00CB5D15">
        <w:rPr>
          <w:rFonts w:ascii="Arial" w:hAnsi="Arial" w:cs="Arial"/>
          <w:i/>
          <w:iCs/>
          <w:noProof/>
          <w:sz w:val="18"/>
        </w:rPr>
        <w:t>Pakistan Acad. Sci.</w:t>
      </w:r>
      <w:r w:rsidRPr="00CB5D15">
        <w:rPr>
          <w:rFonts w:ascii="Arial" w:hAnsi="Arial" w:cs="Arial"/>
          <w:noProof/>
          <w:sz w:val="18"/>
        </w:rPr>
        <w:t>, vol. 55, no. 2, pp. 11–20, 2018.</w:t>
      </w:r>
    </w:p>
    <w:p w14:paraId="66E98866"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[24]</w:t>
      </w:r>
      <w:r w:rsidRPr="00CB5D15">
        <w:rPr>
          <w:rFonts w:ascii="Arial" w:hAnsi="Arial" w:cs="Arial"/>
          <w:noProof/>
          <w:sz w:val="18"/>
        </w:rPr>
        <w:tab/>
        <w:t xml:space="preserve">D. A. N. Taebenu, N. L. Arpiwi, and N. W. Sudatri, “FORMULATION OF SUNSCREEN BODY LOTION FROM MORINGA (Moringa oleifera L.) LEAF EXTRACT,” </w:t>
      </w:r>
      <w:r w:rsidRPr="00CB5D15">
        <w:rPr>
          <w:rFonts w:ascii="Arial" w:hAnsi="Arial" w:cs="Arial"/>
          <w:i/>
          <w:iCs/>
          <w:noProof/>
          <w:sz w:val="18"/>
        </w:rPr>
        <w:t>J. Biosains Pascasarj.</w:t>
      </w:r>
      <w:r w:rsidRPr="00CB5D15">
        <w:rPr>
          <w:rFonts w:ascii="Arial" w:hAnsi="Arial" w:cs="Arial"/>
          <w:noProof/>
          <w:sz w:val="18"/>
        </w:rPr>
        <w:t>, vol. 25, no. 2, pp. 137–145, 2023.</w:t>
      </w:r>
    </w:p>
    <w:p w14:paraId="2822A340"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[25]</w:t>
      </w:r>
      <w:r w:rsidRPr="00CB5D15">
        <w:rPr>
          <w:rFonts w:ascii="Arial" w:hAnsi="Arial" w:cs="Arial"/>
          <w:noProof/>
          <w:sz w:val="18"/>
        </w:rPr>
        <w:tab/>
        <w:t xml:space="preserve">A. M. Shabrina </w:t>
      </w:r>
      <w:r w:rsidRPr="00CB5D15">
        <w:rPr>
          <w:rFonts w:ascii="Arial" w:hAnsi="Arial" w:cs="Arial"/>
          <w:i/>
          <w:iCs/>
          <w:noProof/>
          <w:sz w:val="18"/>
        </w:rPr>
        <w:t>et al.</w:t>
      </w:r>
      <w:r w:rsidRPr="00CB5D15">
        <w:rPr>
          <w:rFonts w:ascii="Arial" w:hAnsi="Arial" w:cs="Arial"/>
          <w:noProof/>
          <w:sz w:val="18"/>
        </w:rPr>
        <w:t xml:space="preserve">, “Potential of Natural-Based Sun Protection Factor (SPF): A Systematic Review of Curcumin as Sunscreen,” </w:t>
      </w:r>
      <w:r w:rsidRPr="00CB5D15">
        <w:rPr>
          <w:rFonts w:ascii="Arial" w:hAnsi="Arial" w:cs="Arial"/>
          <w:i/>
          <w:iCs/>
          <w:noProof/>
          <w:sz w:val="18"/>
        </w:rPr>
        <w:t>Cosmetics</w:t>
      </w:r>
      <w:r w:rsidRPr="00CB5D15">
        <w:rPr>
          <w:rFonts w:ascii="Arial" w:hAnsi="Arial" w:cs="Arial"/>
          <w:noProof/>
          <w:sz w:val="18"/>
        </w:rPr>
        <w:t>, vol. 12, no. 10, p. 9, 2025.</w:t>
      </w:r>
    </w:p>
    <w:p w14:paraId="53DD91D6"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[26]</w:t>
      </w:r>
      <w:r w:rsidRPr="00CB5D15">
        <w:rPr>
          <w:rFonts w:ascii="Arial" w:hAnsi="Arial" w:cs="Arial"/>
          <w:noProof/>
          <w:sz w:val="18"/>
        </w:rPr>
        <w:tab/>
        <w:t xml:space="preserve">L. K. Adjei, S. A. Abagale, and K. Anokye, “Synergistic enhancement of natural mosquito repellents through matrix interactions: Insights from GC-MS and bioassays,” </w:t>
      </w:r>
      <w:r w:rsidRPr="00CB5D15">
        <w:rPr>
          <w:rFonts w:ascii="Arial" w:hAnsi="Arial" w:cs="Arial"/>
          <w:i/>
          <w:iCs/>
          <w:noProof/>
          <w:sz w:val="18"/>
        </w:rPr>
        <w:t>Biochem. Syst. Ecol.</w:t>
      </w:r>
      <w:r w:rsidRPr="00CB5D15">
        <w:rPr>
          <w:rFonts w:ascii="Arial" w:hAnsi="Arial" w:cs="Arial"/>
          <w:noProof/>
          <w:sz w:val="18"/>
        </w:rPr>
        <w:t>, vol. 121, p. 105003, 2025.</w:t>
      </w:r>
    </w:p>
    <w:p w14:paraId="7630926F"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[27]</w:t>
      </w:r>
      <w:r w:rsidRPr="00CB5D15">
        <w:rPr>
          <w:rFonts w:ascii="Arial" w:hAnsi="Arial" w:cs="Arial"/>
          <w:noProof/>
          <w:sz w:val="18"/>
        </w:rPr>
        <w:tab/>
        <w:t xml:space="preserve">N. P. Yuandrian, Kayla Rima Diani, Siti Nur Rohimah, S. Supriadi, and Nita Rusdiana, “Kajian Literatur: Manfaat Sediaan Lilin Aromaterapi Minyak Atsiri,” </w:t>
      </w:r>
      <w:r w:rsidRPr="00CB5D15">
        <w:rPr>
          <w:rFonts w:ascii="Arial" w:hAnsi="Arial" w:cs="Arial"/>
          <w:i/>
          <w:iCs/>
          <w:noProof/>
          <w:sz w:val="18"/>
        </w:rPr>
        <w:t>J. Public Heal. Sci.</w:t>
      </w:r>
      <w:r w:rsidRPr="00CB5D15">
        <w:rPr>
          <w:rFonts w:ascii="Arial" w:hAnsi="Arial" w:cs="Arial"/>
          <w:noProof/>
          <w:sz w:val="18"/>
        </w:rPr>
        <w:t>, vol. 2, no. 2, pp. 267–275, 2025.</w:t>
      </w:r>
    </w:p>
    <w:p w14:paraId="406EA868"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[28]</w:t>
      </w:r>
      <w:r w:rsidRPr="00CB5D15">
        <w:rPr>
          <w:rFonts w:ascii="Arial" w:hAnsi="Arial" w:cs="Arial"/>
          <w:noProof/>
          <w:sz w:val="18"/>
        </w:rPr>
        <w:tab/>
        <w:t xml:space="preserve">S. Milić Komić </w:t>
      </w:r>
      <w:r w:rsidRPr="00CB5D15">
        <w:rPr>
          <w:rFonts w:ascii="Arial" w:hAnsi="Arial" w:cs="Arial"/>
          <w:i/>
          <w:iCs/>
          <w:noProof/>
          <w:sz w:val="18"/>
        </w:rPr>
        <w:t>et al.</w:t>
      </w:r>
      <w:r w:rsidRPr="00CB5D15">
        <w:rPr>
          <w:rFonts w:ascii="Arial" w:hAnsi="Arial" w:cs="Arial"/>
          <w:noProof/>
          <w:sz w:val="18"/>
        </w:rPr>
        <w:t xml:space="preserve">, “Differential antioxidant response to supplemental UV-B irradiation and sunlight in three basil varieties,” </w:t>
      </w:r>
      <w:r w:rsidRPr="00CB5D15">
        <w:rPr>
          <w:rFonts w:ascii="Arial" w:hAnsi="Arial" w:cs="Arial"/>
          <w:i/>
          <w:iCs/>
          <w:noProof/>
          <w:sz w:val="18"/>
        </w:rPr>
        <w:t>Int. J. Mol. Sci.</w:t>
      </w:r>
      <w:r w:rsidRPr="00CB5D15">
        <w:rPr>
          <w:rFonts w:ascii="Arial" w:hAnsi="Arial" w:cs="Arial"/>
          <w:noProof/>
          <w:sz w:val="18"/>
        </w:rPr>
        <w:t>, vol. 24, no. 20, p. 15350, 2023.</w:t>
      </w:r>
    </w:p>
    <w:p w14:paraId="703F6FD3"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[29]</w:t>
      </w:r>
      <w:r w:rsidRPr="00CB5D15">
        <w:rPr>
          <w:rFonts w:ascii="Arial" w:hAnsi="Arial" w:cs="Arial"/>
          <w:noProof/>
          <w:sz w:val="18"/>
        </w:rPr>
        <w:tab/>
        <w:t xml:space="preserve">M. A. Messias, S. M. Ferreira, L. Tavares, and L. Santos, “A comparative study between onion peel extracts, free and complexed with β-cyclodextrin, as a natural UV filter to cosmetic formulations,” </w:t>
      </w:r>
      <w:r w:rsidRPr="00CB5D15">
        <w:rPr>
          <w:rFonts w:ascii="Arial" w:hAnsi="Arial" w:cs="Arial"/>
          <w:i/>
          <w:iCs/>
          <w:noProof/>
          <w:sz w:val="18"/>
        </w:rPr>
        <w:t>Int. J. Mol. Sci.</w:t>
      </w:r>
      <w:r w:rsidRPr="00CB5D15">
        <w:rPr>
          <w:rFonts w:ascii="Arial" w:hAnsi="Arial" w:cs="Arial"/>
          <w:noProof/>
          <w:sz w:val="18"/>
        </w:rPr>
        <w:t>, vol. 24, no. 21, p. 15854, 2023.</w:t>
      </w:r>
    </w:p>
    <w:p w14:paraId="4CB1EDE2"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[30]</w:t>
      </w:r>
      <w:r w:rsidRPr="00CB5D15">
        <w:rPr>
          <w:rFonts w:ascii="Arial" w:hAnsi="Arial" w:cs="Arial"/>
          <w:noProof/>
          <w:sz w:val="18"/>
        </w:rPr>
        <w:tab/>
        <w:t xml:space="preserve">P. A.N, D. AD, and C. SR, “Journal of nutritional science,” </w:t>
      </w:r>
      <w:r w:rsidRPr="00CB5D15">
        <w:rPr>
          <w:rFonts w:ascii="Arial" w:hAnsi="Arial" w:cs="Arial"/>
          <w:i/>
          <w:iCs/>
          <w:noProof/>
          <w:sz w:val="18"/>
        </w:rPr>
        <w:t>J. Nutr. Sci. Rev.</w:t>
      </w:r>
      <w:r w:rsidRPr="00CB5D15">
        <w:rPr>
          <w:rFonts w:ascii="Arial" w:hAnsi="Arial" w:cs="Arial"/>
          <w:noProof/>
          <w:sz w:val="18"/>
        </w:rPr>
        <w:t>, vol. 5, pp. 1–15, 2016.</w:t>
      </w:r>
    </w:p>
    <w:p w14:paraId="60FFD73C" w14:textId="77777777" w:rsidR="00CB5D15" w:rsidRPr="00CB5D15" w:rsidRDefault="00CB5D15" w:rsidP="00A64C43">
      <w:pPr>
        <w:widowControl w:val="0"/>
        <w:autoSpaceDE w:val="0"/>
        <w:autoSpaceDN w:val="0"/>
        <w:adjustRightInd w:val="0"/>
        <w:ind w:left="640" w:hanging="640"/>
        <w:jc w:val="both"/>
        <w:rPr>
          <w:rFonts w:ascii="Arial" w:hAnsi="Arial" w:cs="Arial"/>
          <w:noProof/>
          <w:sz w:val="18"/>
        </w:rPr>
      </w:pPr>
      <w:r w:rsidRPr="00CB5D15">
        <w:rPr>
          <w:rFonts w:ascii="Arial" w:hAnsi="Arial" w:cs="Arial"/>
          <w:noProof/>
          <w:sz w:val="18"/>
        </w:rPr>
        <w:t>[31]</w:t>
      </w:r>
      <w:r w:rsidRPr="00CB5D15">
        <w:rPr>
          <w:rFonts w:ascii="Arial" w:hAnsi="Arial" w:cs="Arial"/>
          <w:noProof/>
          <w:sz w:val="18"/>
        </w:rPr>
        <w:tab/>
        <w:t xml:space="preserve">G. Costa, H. Grangeia, A. Figueirinha, I. V. Figueiredo, and M. T. Batista, “Influence of harvest date and material quality on polyphenolic content and antioxidant activity of Cymbopogon citratus infusion,” </w:t>
      </w:r>
      <w:r w:rsidRPr="00CB5D15">
        <w:rPr>
          <w:rFonts w:ascii="Arial" w:hAnsi="Arial" w:cs="Arial"/>
          <w:i/>
          <w:iCs/>
          <w:noProof/>
          <w:sz w:val="18"/>
        </w:rPr>
        <w:t>Ind. Crops Prod.</w:t>
      </w:r>
      <w:r w:rsidRPr="00CB5D15">
        <w:rPr>
          <w:rFonts w:ascii="Arial" w:hAnsi="Arial" w:cs="Arial"/>
          <w:noProof/>
          <w:sz w:val="18"/>
        </w:rPr>
        <w:t>, vol. 83, pp. 738–745, 2016.</w:t>
      </w:r>
    </w:p>
    <w:p w14:paraId="277574A1" w14:textId="54FBC598" w:rsidR="00CB5D15" w:rsidRPr="00337C58" w:rsidRDefault="00CB5D15" w:rsidP="00CB5D15">
      <w:pPr>
        <w:widowControl w:val="0"/>
        <w:autoSpaceDE w:val="0"/>
        <w:autoSpaceDN w:val="0"/>
        <w:adjustRightInd w:val="0"/>
        <w:spacing w:line="276" w:lineRule="auto"/>
        <w:ind w:left="640" w:hanging="640"/>
        <w:jc w:val="both"/>
        <w:rPr>
          <w:rFonts w:ascii="Bookman Old Style" w:hAnsi="Bookman Old Style"/>
          <w:noProof/>
          <w:sz w:val="18"/>
          <w:szCs w:val="18"/>
        </w:rPr>
      </w:pPr>
      <w:r>
        <w:rPr>
          <w:rFonts w:ascii="Arial" w:hAnsi="Arial" w:cs="Arial"/>
          <w:b/>
          <w:sz w:val="18"/>
          <w:szCs w:val="18"/>
        </w:rPr>
        <w:fldChar w:fldCharType="end"/>
      </w:r>
    </w:p>
    <w:p w14:paraId="3D9508CE" w14:textId="5C118971" w:rsidR="00CE4E69" w:rsidRPr="00A01135" w:rsidRDefault="00CE4E69" w:rsidP="00CE4E69">
      <w:pPr>
        <w:tabs>
          <w:tab w:val="left" w:pos="709"/>
        </w:tabs>
        <w:autoSpaceDE w:val="0"/>
        <w:autoSpaceDN w:val="0"/>
        <w:adjustRightInd w:val="0"/>
        <w:spacing w:line="276" w:lineRule="auto"/>
        <w:ind w:right="109"/>
        <w:jc w:val="both"/>
        <w:rPr>
          <w:rFonts w:ascii="Bookman Old Style" w:hAnsi="Bookman Old Style"/>
          <w:noProof/>
          <w:sz w:val="18"/>
          <w:szCs w:val="18"/>
        </w:rPr>
      </w:pPr>
      <w:r w:rsidRPr="00337C58">
        <w:rPr>
          <w:rFonts w:ascii="Bookman Old Style" w:hAnsi="Bookman Old Style"/>
          <w:noProof/>
          <w:sz w:val="18"/>
          <w:szCs w:val="18"/>
        </w:rPr>
        <w:t xml:space="preserve"> </w:t>
      </w:r>
    </w:p>
    <w:p w14:paraId="197FA938" w14:textId="77777777" w:rsidR="00CE4E69" w:rsidRPr="0095521B" w:rsidRDefault="00CE4E69" w:rsidP="00CE4E69">
      <w:pPr>
        <w:pStyle w:val="EndNoteBibliography"/>
        <w:jc w:val="both"/>
        <w:rPr>
          <w:rFonts w:ascii="Bookman Old Style" w:hAnsi="Bookman Old Style"/>
          <w:sz w:val="18"/>
          <w:szCs w:val="18"/>
        </w:rPr>
        <w:sectPr w:rsidR="00CE4E69" w:rsidRPr="0095521B" w:rsidSect="00CE4E69">
          <w:type w:val="continuous"/>
          <w:pgSz w:w="11906" w:h="16838"/>
          <w:pgMar w:top="1440" w:right="991" w:bottom="1440" w:left="1440" w:header="708" w:footer="708" w:gutter="0"/>
          <w:cols w:num="2" w:space="286"/>
          <w:docGrid w:linePitch="360"/>
        </w:sectPr>
      </w:pPr>
      <w:bookmarkStart w:id="2" w:name="_Hlk106894399"/>
    </w:p>
    <w:bookmarkEnd w:id="2"/>
    <w:p w14:paraId="518B8FC7" w14:textId="77777777" w:rsidR="00CE4E69" w:rsidRPr="0095521B" w:rsidRDefault="00CE4E69" w:rsidP="00CE4E69">
      <w:pPr>
        <w:pStyle w:val="EndNoteBibliography"/>
        <w:jc w:val="both"/>
        <w:rPr>
          <w:rFonts w:ascii="Bookman Old Style" w:hAnsi="Bookman Old Style"/>
        </w:rPr>
      </w:pPr>
    </w:p>
    <w:p w14:paraId="5AF63590" w14:textId="2CF543DD" w:rsidR="004164A5" w:rsidRPr="00CB5D15" w:rsidRDefault="004164A5" w:rsidP="00CB5D15">
      <w:pPr>
        <w:widowControl w:val="0"/>
        <w:autoSpaceDE w:val="0"/>
        <w:autoSpaceDN w:val="0"/>
        <w:adjustRightInd w:val="0"/>
        <w:spacing w:line="276" w:lineRule="auto"/>
        <w:ind w:left="640" w:hanging="640"/>
        <w:jc w:val="both"/>
        <w:rPr>
          <w:rFonts w:ascii="Arial" w:hAnsi="Arial" w:cs="Arial"/>
          <w:noProof/>
          <w:sz w:val="18"/>
          <w:szCs w:val="18"/>
        </w:rPr>
      </w:pPr>
    </w:p>
    <w:sectPr w:rsidR="004164A5" w:rsidRPr="00CB5D15" w:rsidSect="00CE4E69">
      <w:type w:val="continuous"/>
      <w:pgSz w:w="11906" w:h="16838"/>
      <w:pgMar w:top="1440" w:right="1440" w:bottom="1440" w:left="1440" w:header="708" w:footer="708" w:gutter="0"/>
      <w:cols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ED9CE" w14:textId="77777777" w:rsidR="006233D7" w:rsidRDefault="006233D7">
      <w:r>
        <w:separator/>
      </w:r>
    </w:p>
  </w:endnote>
  <w:endnote w:type="continuationSeparator" w:id="0">
    <w:p w14:paraId="4180CADD" w14:textId="77777777" w:rsidR="006233D7" w:rsidRDefault="00623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DCB8D" w14:textId="77777777" w:rsidR="006233D7" w:rsidRDefault="006233D7">
      <w:r>
        <w:separator/>
      </w:r>
    </w:p>
  </w:footnote>
  <w:footnote w:type="continuationSeparator" w:id="0">
    <w:p w14:paraId="324A0AB9" w14:textId="77777777" w:rsidR="006233D7" w:rsidRDefault="00623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9E49" w14:textId="77777777" w:rsidR="00CE4E69" w:rsidRPr="00EA5C99" w:rsidRDefault="00CE4E69" w:rsidP="00EA5C99">
    <w:pPr>
      <w:pStyle w:val="Header"/>
      <w:rPr>
        <w:b/>
        <w:bCs/>
        <w:color w:val="385623" w:themeColor="accent6" w:themeShade="80"/>
      </w:rPr>
    </w:pPr>
    <w:r w:rsidRPr="00EA5C99">
      <w:rPr>
        <w:b/>
        <w:bCs/>
        <w:color w:val="385623" w:themeColor="accent6" w:themeShade="80"/>
      </w:rPr>
      <w:t>Greensphere: J. Environ. Chem.</w:t>
    </w:r>
    <w:r>
      <w:rPr>
        <w:b/>
        <w:bCs/>
        <w:color w:val="385623" w:themeColor="accent6" w:themeShade="80"/>
      </w:rPr>
      <w:t xml:space="preserve"> 3 (2) 2024</w:t>
    </w:r>
    <w:r>
      <w:rPr>
        <w:b/>
        <w:bCs/>
        <w:color w:val="385623" w:themeColor="accent6" w:themeShade="80"/>
      </w:rPr>
      <w:tab/>
    </w:r>
    <w:r>
      <w:rPr>
        <w:b/>
        <w:bCs/>
        <w:color w:val="385623" w:themeColor="accent6" w:themeShade="80"/>
      </w:rPr>
      <w:tab/>
    </w:r>
    <w:r w:rsidRPr="00294CEC">
      <w:rPr>
        <w:b/>
        <w:bCs/>
        <w:color w:val="385623" w:themeColor="accent6" w:themeShade="80"/>
      </w:rPr>
      <w:fldChar w:fldCharType="begin"/>
    </w:r>
    <w:r w:rsidRPr="00294CEC">
      <w:rPr>
        <w:b/>
        <w:bCs/>
        <w:color w:val="385623" w:themeColor="accent6" w:themeShade="80"/>
      </w:rPr>
      <w:instrText xml:space="preserve"> PAGE   \* MERGEFORMAT </w:instrText>
    </w:r>
    <w:r w:rsidRPr="00294CEC">
      <w:rPr>
        <w:b/>
        <w:bCs/>
        <w:color w:val="385623" w:themeColor="accent6" w:themeShade="80"/>
      </w:rPr>
      <w:fldChar w:fldCharType="separate"/>
    </w:r>
    <w:r w:rsidRPr="00294CEC">
      <w:rPr>
        <w:b/>
        <w:bCs/>
        <w:noProof/>
        <w:color w:val="385623" w:themeColor="accent6" w:themeShade="80"/>
      </w:rPr>
      <w:t>1</w:t>
    </w:r>
    <w:r w:rsidRPr="00294CEC">
      <w:rPr>
        <w:b/>
        <w:bCs/>
        <w:noProof/>
        <w:color w:val="385623" w:themeColor="accent6" w:themeShade="80"/>
      </w:rPr>
      <w:fldChar w:fldCharType="end"/>
    </w:r>
  </w:p>
  <w:p w14:paraId="34AA1370" w14:textId="77777777" w:rsidR="00CE4E69" w:rsidRPr="00EA5C99" w:rsidRDefault="00CE4E69" w:rsidP="00EA5C99">
    <w:pPr>
      <w:pStyle w:val="Header"/>
      <w:rPr>
        <w:b/>
        <w:bCs/>
        <w:color w:val="385623" w:themeColor="accent6" w:themeShade="80"/>
      </w:rPr>
    </w:pPr>
    <w:r w:rsidRPr="00EA5C99">
      <w:rPr>
        <w:b/>
        <w:bCs/>
        <w:color w:val="385623" w:themeColor="accent6" w:themeShade="80"/>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42869FB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000000C"/>
    <w:multiLevelType w:val="hybridMultilevel"/>
    <w:tmpl w:val="81C87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3508D"/>
    <w:multiLevelType w:val="multilevel"/>
    <w:tmpl w:val="E884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2B43C9"/>
    <w:multiLevelType w:val="multilevel"/>
    <w:tmpl w:val="1BE2FA0E"/>
    <w:lvl w:ilvl="0">
      <w:start w:val="1"/>
      <w:numFmt w:val="decimal"/>
      <w:pStyle w:val="subbab1"/>
      <w:lvlText w:val="%1."/>
      <w:lvlJc w:val="left"/>
      <w:pPr>
        <w:ind w:left="360" w:hanging="360"/>
      </w:pPr>
      <w:rPr>
        <w:rFonts w:hint="default"/>
        <w:b/>
        <w:bCs w:val="0"/>
      </w:rPr>
    </w:lvl>
    <w:lvl w:ilvl="1">
      <w:start w:val="1"/>
      <w:numFmt w:val="decimal"/>
      <w:pStyle w:val="Subbab2"/>
      <w:isLgl/>
      <w:lvlText w:val="%1.%2."/>
      <w:lvlJc w:val="left"/>
      <w:pPr>
        <w:ind w:left="0" w:firstLine="0"/>
      </w:pPr>
      <w:rPr>
        <w:rFonts w:hint="default"/>
        <w:vertAlign w:val="baseline"/>
      </w:rPr>
    </w:lvl>
    <w:lvl w:ilvl="2">
      <w:start w:val="1"/>
      <w:numFmt w:val="decimal"/>
      <w:isLgl/>
      <w:lvlText w:val="%1.%2.%3"/>
      <w:lvlJc w:val="left"/>
      <w:pPr>
        <w:ind w:left="720" w:hanging="720"/>
      </w:pPr>
      <w:rPr>
        <w:rFonts w:hint="default"/>
        <w:sz w:val="20"/>
        <w:szCs w:val="2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542179506">
    <w:abstractNumId w:val="3"/>
  </w:num>
  <w:num w:numId="2" w16cid:durableId="855657437">
    <w:abstractNumId w:val="2"/>
  </w:num>
  <w:num w:numId="3" w16cid:durableId="891573430">
    <w:abstractNumId w:val="0"/>
  </w:num>
  <w:num w:numId="4" w16cid:durableId="824667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E69"/>
    <w:rsid w:val="000A42BA"/>
    <w:rsid w:val="001829B4"/>
    <w:rsid w:val="00343685"/>
    <w:rsid w:val="00373E5A"/>
    <w:rsid w:val="003B6940"/>
    <w:rsid w:val="003F5DAA"/>
    <w:rsid w:val="004164A5"/>
    <w:rsid w:val="00443604"/>
    <w:rsid w:val="005621E0"/>
    <w:rsid w:val="005926B8"/>
    <w:rsid w:val="00596210"/>
    <w:rsid w:val="00596EC1"/>
    <w:rsid w:val="005A234B"/>
    <w:rsid w:val="005F30EC"/>
    <w:rsid w:val="00604CAB"/>
    <w:rsid w:val="00614C01"/>
    <w:rsid w:val="006233D7"/>
    <w:rsid w:val="006D23F3"/>
    <w:rsid w:val="006D2899"/>
    <w:rsid w:val="006E6DB3"/>
    <w:rsid w:val="007058E8"/>
    <w:rsid w:val="00735910"/>
    <w:rsid w:val="007747BD"/>
    <w:rsid w:val="007F3E1B"/>
    <w:rsid w:val="00876DED"/>
    <w:rsid w:val="00932251"/>
    <w:rsid w:val="009C08D1"/>
    <w:rsid w:val="009C6658"/>
    <w:rsid w:val="009D7B25"/>
    <w:rsid w:val="00A302F5"/>
    <w:rsid w:val="00A64C43"/>
    <w:rsid w:val="00AD5201"/>
    <w:rsid w:val="00B6600F"/>
    <w:rsid w:val="00B82E47"/>
    <w:rsid w:val="00CB5D15"/>
    <w:rsid w:val="00CE4E69"/>
    <w:rsid w:val="00CF6B61"/>
    <w:rsid w:val="00D0273E"/>
    <w:rsid w:val="00D94705"/>
    <w:rsid w:val="00DB0520"/>
    <w:rsid w:val="00DB77CF"/>
    <w:rsid w:val="00DD381C"/>
    <w:rsid w:val="00DE01AC"/>
    <w:rsid w:val="00DE62B5"/>
    <w:rsid w:val="00E9288A"/>
    <w:rsid w:val="00EF18FF"/>
    <w:rsid w:val="00FB2E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9FFFD2"/>
  <w15:chartTrackingRefBased/>
  <w15:docId w15:val="{E153363F-B8AB-4F44-AC37-EE35AF4B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4E69"/>
    <w:pPr>
      <w:spacing w:after="0" w:line="240" w:lineRule="auto"/>
    </w:pPr>
    <w:rPr>
      <w:rFonts w:ascii="Calibri" w:eastAsia="Calibri" w:hAnsi="Calibri" w:cs="Times New Roman"/>
      <w:kern w:val="0"/>
      <w:sz w:val="20"/>
      <w:szCs w:val="20"/>
      <w14:ligatures w14:val="none"/>
    </w:rPr>
  </w:style>
  <w:style w:type="paragraph" w:styleId="Heading1">
    <w:name w:val="heading 1"/>
    <w:basedOn w:val="Normal"/>
    <w:next w:val="Normal"/>
    <w:link w:val="Heading1Char"/>
    <w:uiPriority w:val="9"/>
    <w:qFormat/>
    <w:rsid w:val="00CE4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4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4E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4E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4E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4E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E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E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E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E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4E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4E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4E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4E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4E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E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E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E69"/>
    <w:rPr>
      <w:rFonts w:eastAsiaTheme="majorEastAsia" w:cstheme="majorBidi"/>
      <w:color w:val="272727" w:themeColor="text1" w:themeTint="D8"/>
    </w:rPr>
  </w:style>
  <w:style w:type="paragraph" w:styleId="Title">
    <w:name w:val="Title"/>
    <w:basedOn w:val="Normal"/>
    <w:next w:val="Normal"/>
    <w:link w:val="TitleChar"/>
    <w:uiPriority w:val="10"/>
    <w:qFormat/>
    <w:rsid w:val="00CE4E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E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E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E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E69"/>
    <w:pPr>
      <w:spacing w:before="160"/>
      <w:jc w:val="center"/>
    </w:pPr>
    <w:rPr>
      <w:i/>
      <w:iCs/>
      <w:color w:val="404040" w:themeColor="text1" w:themeTint="BF"/>
    </w:rPr>
  </w:style>
  <w:style w:type="character" w:customStyle="1" w:styleId="QuoteChar">
    <w:name w:val="Quote Char"/>
    <w:basedOn w:val="DefaultParagraphFont"/>
    <w:link w:val="Quote"/>
    <w:uiPriority w:val="29"/>
    <w:rsid w:val="00CE4E69"/>
    <w:rPr>
      <w:i/>
      <w:iCs/>
      <w:color w:val="404040" w:themeColor="text1" w:themeTint="BF"/>
    </w:rPr>
  </w:style>
  <w:style w:type="paragraph" w:styleId="ListParagraph">
    <w:name w:val="List Paragraph"/>
    <w:aliases w:val="sub judul,Body of text,normal,Normal1"/>
    <w:basedOn w:val="Normal"/>
    <w:link w:val="ListParagraphChar"/>
    <w:uiPriority w:val="34"/>
    <w:qFormat/>
    <w:rsid w:val="00CE4E69"/>
    <w:pPr>
      <w:ind w:left="720"/>
      <w:contextualSpacing/>
    </w:pPr>
  </w:style>
  <w:style w:type="character" w:styleId="IntenseEmphasis">
    <w:name w:val="Intense Emphasis"/>
    <w:basedOn w:val="DefaultParagraphFont"/>
    <w:uiPriority w:val="21"/>
    <w:qFormat/>
    <w:rsid w:val="00CE4E69"/>
    <w:rPr>
      <w:i/>
      <w:iCs/>
      <w:color w:val="2F5496" w:themeColor="accent1" w:themeShade="BF"/>
    </w:rPr>
  </w:style>
  <w:style w:type="paragraph" w:styleId="IntenseQuote">
    <w:name w:val="Intense Quote"/>
    <w:basedOn w:val="Normal"/>
    <w:next w:val="Normal"/>
    <w:link w:val="IntenseQuoteChar"/>
    <w:uiPriority w:val="30"/>
    <w:qFormat/>
    <w:rsid w:val="00CE4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4E69"/>
    <w:rPr>
      <w:i/>
      <w:iCs/>
      <w:color w:val="2F5496" w:themeColor="accent1" w:themeShade="BF"/>
    </w:rPr>
  </w:style>
  <w:style w:type="character" w:styleId="IntenseReference">
    <w:name w:val="Intense Reference"/>
    <w:basedOn w:val="DefaultParagraphFont"/>
    <w:uiPriority w:val="32"/>
    <w:qFormat/>
    <w:rsid w:val="00CE4E69"/>
    <w:rPr>
      <w:b/>
      <w:bCs/>
      <w:smallCaps/>
      <w:color w:val="2F5496" w:themeColor="accent1" w:themeShade="BF"/>
      <w:spacing w:val="5"/>
    </w:rPr>
  </w:style>
  <w:style w:type="table" w:styleId="TableGrid">
    <w:name w:val="Table Grid"/>
    <w:basedOn w:val="TableNormal"/>
    <w:uiPriority w:val="59"/>
    <w:rsid w:val="00CE4E69"/>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4E69"/>
    <w:pPr>
      <w:tabs>
        <w:tab w:val="center" w:pos="4513"/>
        <w:tab w:val="right" w:pos="9026"/>
      </w:tabs>
    </w:pPr>
  </w:style>
  <w:style w:type="character" w:customStyle="1" w:styleId="HeaderChar">
    <w:name w:val="Header Char"/>
    <w:basedOn w:val="DefaultParagraphFont"/>
    <w:link w:val="Header"/>
    <w:uiPriority w:val="99"/>
    <w:rsid w:val="00CE4E69"/>
    <w:rPr>
      <w:rFonts w:ascii="Calibri" w:eastAsia="Calibri" w:hAnsi="Calibri" w:cs="Times New Roman"/>
      <w:kern w:val="0"/>
      <w:sz w:val="20"/>
      <w:szCs w:val="20"/>
      <w14:ligatures w14:val="none"/>
    </w:rPr>
  </w:style>
  <w:style w:type="character" w:customStyle="1" w:styleId="ListParagraphChar">
    <w:name w:val="List Paragraph Char"/>
    <w:aliases w:val="sub judul Char,Body of text Char,normal Char,Normal1 Char"/>
    <w:basedOn w:val="DefaultParagraphFont"/>
    <w:link w:val="ListParagraph"/>
    <w:uiPriority w:val="34"/>
    <w:locked/>
    <w:rsid w:val="00CE4E69"/>
  </w:style>
  <w:style w:type="paragraph" w:customStyle="1" w:styleId="subbab1">
    <w:name w:val="subbab1"/>
    <w:basedOn w:val="Heading2"/>
    <w:link w:val="subbab1Char"/>
    <w:qFormat/>
    <w:rsid w:val="00CE4E69"/>
    <w:pPr>
      <w:keepLines w:val="0"/>
      <w:widowControl w:val="0"/>
      <w:numPr>
        <w:numId w:val="1"/>
      </w:numPr>
      <w:tabs>
        <w:tab w:val="left" w:pos="284"/>
      </w:tabs>
      <w:spacing w:before="240" w:after="0"/>
      <w:jc w:val="both"/>
    </w:pPr>
    <w:rPr>
      <w:rFonts w:ascii="Bookman Old Style" w:eastAsia="SimSun" w:hAnsi="Bookman Old Style" w:cs="Times New Roman"/>
      <w:b/>
      <w:iCs/>
      <w:color w:val="000000"/>
      <w:sz w:val="20"/>
      <w:szCs w:val="22"/>
      <w:lang w:eastAsia="zh-CN"/>
    </w:rPr>
  </w:style>
  <w:style w:type="character" w:customStyle="1" w:styleId="subbab1Char">
    <w:name w:val="subbab1 Char"/>
    <w:link w:val="subbab1"/>
    <w:rsid w:val="00CE4E69"/>
    <w:rPr>
      <w:rFonts w:ascii="Bookman Old Style" w:eastAsia="SimSun" w:hAnsi="Bookman Old Style" w:cs="Times New Roman"/>
      <w:b/>
      <w:iCs/>
      <w:color w:val="000000"/>
      <w:sz w:val="20"/>
      <w:szCs w:val="22"/>
      <w:lang w:eastAsia="zh-CN"/>
      <w14:ligatures w14:val="none"/>
    </w:rPr>
  </w:style>
  <w:style w:type="paragraph" w:customStyle="1" w:styleId="Subbab2">
    <w:name w:val="Subbab2"/>
    <w:basedOn w:val="Heading3"/>
    <w:link w:val="Subbab2Char"/>
    <w:qFormat/>
    <w:rsid w:val="00CE4E69"/>
    <w:pPr>
      <w:numPr>
        <w:ilvl w:val="1"/>
        <w:numId w:val="1"/>
      </w:numPr>
      <w:tabs>
        <w:tab w:val="left" w:pos="425"/>
      </w:tabs>
      <w:spacing w:before="240" w:after="0"/>
    </w:pPr>
    <w:rPr>
      <w:rFonts w:ascii="Bookman Old Style" w:eastAsia="Times New Roman" w:hAnsi="Bookman Old Style" w:cs="Times New Roman"/>
      <w:b/>
      <w:iCs/>
      <w:color w:val="000000"/>
      <w:sz w:val="20"/>
      <w:szCs w:val="22"/>
    </w:rPr>
  </w:style>
  <w:style w:type="character" w:customStyle="1" w:styleId="Subbab2Char">
    <w:name w:val="Subbab2 Char"/>
    <w:link w:val="Subbab2"/>
    <w:rsid w:val="00CE4E69"/>
    <w:rPr>
      <w:rFonts w:ascii="Bookman Old Style" w:eastAsia="Times New Roman" w:hAnsi="Bookman Old Style" w:cs="Times New Roman"/>
      <w:b/>
      <w:iCs/>
      <w:color w:val="000000"/>
      <w:kern w:val="0"/>
      <w:sz w:val="20"/>
      <w:szCs w:val="22"/>
      <w14:ligatures w14:val="none"/>
    </w:rPr>
  </w:style>
  <w:style w:type="paragraph" w:customStyle="1" w:styleId="EndNoteBibliography">
    <w:name w:val="EndNote Bibliography"/>
    <w:basedOn w:val="Normal"/>
    <w:link w:val="EndNoteBibliographyChar"/>
    <w:rsid w:val="00CE4E69"/>
    <w:rPr>
      <w:rFonts w:cs="Calibri"/>
      <w:noProof/>
    </w:rPr>
  </w:style>
  <w:style w:type="character" w:customStyle="1" w:styleId="EndNoteBibliographyChar">
    <w:name w:val="EndNote Bibliography Char"/>
    <w:basedOn w:val="DefaultParagraphFont"/>
    <w:link w:val="EndNoteBibliography"/>
    <w:rsid w:val="00CE4E69"/>
    <w:rPr>
      <w:rFonts w:ascii="Calibri" w:eastAsia="Calibri" w:hAnsi="Calibri" w:cs="Calibri"/>
      <w:noProof/>
      <w:kern w:val="0"/>
      <w:sz w:val="20"/>
      <w:szCs w:val="20"/>
      <w14:ligatures w14:val="none"/>
    </w:rPr>
  </w:style>
  <w:style w:type="table" w:styleId="LightShading">
    <w:name w:val="Light Shading"/>
    <w:basedOn w:val="TableNormal"/>
    <w:uiPriority w:val="60"/>
    <w:rsid w:val="00CE4E69"/>
    <w:pPr>
      <w:spacing w:after="0" w:line="240" w:lineRule="auto"/>
    </w:pPr>
    <w:rPr>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uiPriority w:val="99"/>
    <w:unhideWhenUsed/>
    <w:rsid w:val="00CE4E69"/>
    <w:rPr>
      <w:sz w:val="16"/>
      <w:szCs w:val="16"/>
    </w:rPr>
  </w:style>
  <w:style w:type="paragraph" w:styleId="CommentText">
    <w:name w:val="annotation text"/>
    <w:basedOn w:val="Normal"/>
    <w:link w:val="CommentTextChar"/>
    <w:uiPriority w:val="99"/>
    <w:unhideWhenUsed/>
    <w:rsid w:val="00CE4E69"/>
    <w:rPr>
      <w:rFonts w:ascii="Times New Roman" w:eastAsia="Times New Roman" w:hAnsi="Times New Roman"/>
    </w:rPr>
  </w:style>
  <w:style w:type="character" w:customStyle="1" w:styleId="CommentTextChar">
    <w:name w:val="Comment Text Char"/>
    <w:basedOn w:val="DefaultParagraphFont"/>
    <w:link w:val="CommentText"/>
    <w:uiPriority w:val="99"/>
    <w:rsid w:val="00CE4E69"/>
    <w:rPr>
      <w:rFonts w:ascii="Times New Roman" w:eastAsia="Times New Roman" w:hAnsi="Times New Roman" w:cs="Times New Roman"/>
      <w:kern w:val="0"/>
      <w:sz w:val="20"/>
      <w:szCs w:val="20"/>
      <w14:ligatures w14:val="none"/>
    </w:rPr>
  </w:style>
  <w:style w:type="paragraph" w:styleId="NoSpacing">
    <w:name w:val="No Spacing"/>
    <w:uiPriority w:val="1"/>
    <w:qFormat/>
    <w:rsid w:val="00CE4E69"/>
    <w:pPr>
      <w:spacing w:after="0" w:line="240" w:lineRule="auto"/>
    </w:pPr>
    <w:rPr>
      <w:kern w:val="0"/>
      <w:sz w:val="22"/>
      <w:szCs w:val="22"/>
      <w14:ligatures w14:val="none"/>
    </w:rPr>
  </w:style>
  <w:style w:type="paragraph" w:styleId="BodyText">
    <w:name w:val="Body Text"/>
    <w:basedOn w:val="Normal"/>
    <w:link w:val="BodyTextChar"/>
    <w:uiPriority w:val="1"/>
    <w:qFormat/>
    <w:rsid w:val="00CE4E69"/>
    <w:pPr>
      <w:widowControl w:val="0"/>
      <w:autoSpaceDE w:val="0"/>
      <w:autoSpaceDN w:val="0"/>
      <w:spacing w:line="360" w:lineRule="auto"/>
      <w:ind w:firstLine="709"/>
      <w:jc w:val="both"/>
    </w:pPr>
    <w:rPr>
      <w:rFonts w:ascii="Times New Roman" w:eastAsia="Times New Roman" w:hAnsi="Times New Roman"/>
      <w:color w:val="000000"/>
      <w:sz w:val="24"/>
      <w:szCs w:val="24"/>
    </w:rPr>
  </w:style>
  <w:style w:type="character" w:customStyle="1" w:styleId="BodyTextChar">
    <w:name w:val="Body Text Char"/>
    <w:basedOn w:val="DefaultParagraphFont"/>
    <w:link w:val="BodyText"/>
    <w:uiPriority w:val="1"/>
    <w:rsid w:val="00CE4E69"/>
    <w:rPr>
      <w:rFonts w:ascii="Times New Roman" w:eastAsia="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C674E-5740-4DBE-8828-B4D5550DD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Pages>
  <Words>15791</Words>
  <Characters>99172</Characters>
  <Application>Microsoft Office Word</Application>
  <DocSecurity>0</DocSecurity>
  <Lines>3305</Lines>
  <Paragraphs>1035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Sitty Nurqomariah</dc:creator>
  <cp:keywords/>
  <dc:description/>
  <cp:lastModifiedBy>Sitty Nurqomariah</cp:lastModifiedBy>
  <cp:revision>10</cp:revision>
  <dcterms:created xsi:type="dcterms:W3CDTF">2025-11-24T08:04:00Z</dcterms:created>
  <dcterms:modified xsi:type="dcterms:W3CDTF">2025-11-25T00:08:00Z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bd0f4430-3dc4-4c5b-9b4f-bcc69c0e430a</vt:lpwstr>
  </property>
  <property fmtid="{D5CDD505-2E9C-101B-9397-08002B2CF9AE}" pid="3" name="Mendeley Document_1">
    <vt:lpwstr>True</vt:lpwstr>
  </property>
  <property fmtid="{D5CDD505-2E9C-101B-9397-08002B2CF9AE}" pid="4" name="Mendeley Unique User Id_1">
    <vt:lpwstr>38dc7ac5-f470-365d-b70f-add6a6df8bd1</vt:lpwstr>
  </property>
  <property fmtid="{D5CDD505-2E9C-101B-9397-08002B2CF9AE}" pid="5" name="Mendeley Citation Style_1">
    <vt:lpwstr>http://www.zotero.org/styles/ieee</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6th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8th edition</vt:lpwstr>
  </property>
</Properties>
</file>