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748" w:rsidRPr="00C4225E" w:rsidRDefault="00C4225E" w:rsidP="00C4225E">
      <w:pPr>
        <w:jc w:val="center"/>
        <w:rPr>
          <w:rFonts w:ascii="Times New Roman" w:hAnsi="Times New Roman" w:cs="Times New Roman"/>
          <w:b/>
          <w:sz w:val="24"/>
          <w:szCs w:val="24"/>
        </w:rPr>
      </w:pPr>
      <w:bookmarkStart w:id="0" w:name="_GoBack"/>
      <w:bookmarkEnd w:id="0"/>
      <w:r w:rsidRPr="00C4225E">
        <w:rPr>
          <w:rFonts w:ascii="Times New Roman" w:hAnsi="Times New Roman" w:cs="Times New Roman"/>
          <w:b/>
          <w:sz w:val="24"/>
          <w:szCs w:val="24"/>
        </w:rPr>
        <w:t>LAMPIRAN</w:t>
      </w:r>
    </w:p>
    <w:p w:rsidR="00C4225E" w:rsidRDefault="00C4225E" w:rsidP="00C4225E">
      <w:pPr>
        <w:jc w:val="both"/>
        <w:rPr>
          <w:rFonts w:ascii="Times New Roman" w:hAnsi="Times New Roman" w:cs="Times New Roman"/>
          <w:sz w:val="24"/>
          <w:szCs w:val="24"/>
        </w:rPr>
      </w:pPr>
      <w:bookmarkStart w:id="1" w:name="_Toc76587772"/>
      <w:proofErr w:type="spellStart"/>
      <w:r>
        <w:rPr>
          <w:rFonts w:ascii="Times New Roman" w:hAnsi="Times New Roman" w:cs="Times New Roman"/>
          <w:b/>
          <w:sz w:val="24"/>
          <w:szCs w:val="24"/>
        </w:rPr>
        <w:t>Lampiran</w:t>
      </w:r>
      <w:proofErr w:type="spellEnd"/>
      <w:r>
        <w:rPr>
          <w:rFonts w:ascii="Times New Roman" w:hAnsi="Times New Roman" w:cs="Times New Roman"/>
          <w:b/>
          <w:sz w:val="24"/>
          <w:szCs w:val="24"/>
        </w:rPr>
        <w:t xml:space="preserve"> 1.</w:t>
      </w:r>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Keaslian</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penelitian</w:t>
      </w:r>
      <w:proofErr w:type="spellEnd"/>
      <w:r w:rsidRPr="00E96C31">
        <w:rPr>
          <w:rFonts w:ascii="Times New Roman" w:hAnsi="Times New Roman" w:cs="Times New Roman"/>
          <w:sz w:val="24"/>
          <w:szCs w:val="24"/>
        </w:rPr>
        <w:t xml:space="preserve"> </w:t>
      </w:r>
      <w:r w:rsidRPr="00C4225E">
        <w:rPr>
          <w:rFonts w:ascii="Times New Roman" w:hAnsi="Times New Roman" w:cs="Times New Roman"/>
          <w:i/>
          <w:sz w:val="24"/>
          <w:szCs w:val="24"/>
        </w:rPr>
        <w:t>narrative review</w:t>
      </w:r>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terkait</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senyawa</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fitokimia</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dan</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aktivitas</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farmakologi</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dari</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spesies</w:t>
      </w:r>
      <w:proofErr w:type="spellEnd"/>
      <w:r w:rsidRPr="00E96C31">
        <w:rPr>
          <w:rFonts w:ascii="Times New Roman" w:hAnsi="Times New Roman" w:cs="Times New Roman"/>
          <w:sz w:val="24"/>
          <w:szCs w:val="24"/>
        </w:rPr>
        <w:t xml:space="preserve"> family </w:t>
      </w:r>
      <w:proofErr w:type="spellStart"/>
      <w:r w:rsidRPr="00E96C31">
        <w:rPr>
          <w:rFonts w:ascii="Times New Roman" w:hAnsi="Times New Roman" w:cs="Times New Roman"/>
          <w:sz w:val="24"/>
          <w:szCs w:val="24"/>
        </w:rPr>
        <w:t>Basellaceae</w:t>
      </w:r>
      <w:bookmarkEnd w:id="1"/>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sebagai</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obat</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luka</w:t>
      </w:r>
      <w:proofErr w:type="spellEnd"/>
    </w:p>
    <w:tbl>
      <w:tblPr>
        <w:tblStyle w:val="TableGrid"/>
        <w:tblW w:w="0" w:type="auto"/>
        <w:tblInd w:w="137" w:type="dxa"/>
        <w:tblLayout w:type="fixed"/>
        <w:tblLook w:val="04A0" w:firstRow="1" w:lastRow="0" w:firstColumn="1" w:lastColumn="0" w:noHBand="0" w:noVBand="1"/>
      </w:tblPr>
      <w:tblGrid>
        <w:gridCol w:w="709"/>
        <w:gridCol w:w="3204"/>
        <w:gridCol w:w="912"/>
        <w:gridCol w:w="2966"/>
      </w:tblGrid>
      <w:tr w:rsidR="00C4225E" w:rsidRPr="00E96C31" w:rsidTr="00C4225E">
        <w:tc>
          <w:tcPr>
            <w:tcW w:w="709" w:type="dxa"/>
            <w:tcBorders>
              <w:left w:val="nil"/>
              <w:bottom w:val="single" w:sz="4" w:space="0" w:color="auto"/>
              <w:right w:val="nil"/>
            </w:tcBorders>
            <w:shd w:val="clear" w:color="auto" w:fill="E7E6E6" w:themeFill="background2"/>
          </w:tcPr>
          <w:p w:rsidR="00C4225E" w:rsidRPr="00E96C31" w:rsidRDefault="00C4225E" w:rsidP="005D37C6">
            <w:pPr>
              <w:tabs>
                <w:tab w:val="center" w:pos="246"/>
              </w:tabs>
              <w:spacing w:line="360" w:lineRule="auto"/>
              <w:rPr>
                <w:rFonts w:ascii="Times New Roman" w:hAnsi="Times New Roman" w:cs="Times New Roman"/>
                <w:b/>
                <w:sz w:val="24"/>
                <w:szCs w:val="24"/>
              </w:rPr>
            </w:pPr>
            <w:r w:rsidRPr="00E96C31">
              <w:rPr>
                <w:rFonts w:ascii="Times New Roman" w:hAnsi="Times New Roman" w:cs="Times New Roman"/>
                <w:b/>
                <w:sz w:val="24"/>
                <w:szCs w:val="24"/>
              </w:rPr>
              <w:tab/>
              <w:t>No.</w:t>
            </w:r>
          </w:p>
        </w:tc>
        <w:tc>
          <w:tcPr>
            <w:tcW w:w="3204" w:type="dxa"/>
            <w:tcBorders>
              <w:left w:val="nil"/>
              <w:bottom w:val="single" w:sz="4" w:space="0" w:color="auto"/>
              <w:right w:val="nil"/>
            </w:tcBorders>
            <w:shd w:val="clear" w:color="auto" w:fill="E7E6E6" w:themeFill="background2"/>
          </w:tcPr>
          <w:p w:rsidR="00C4225E" w:rsidRPr="00E96C31" w:rsidRDefault="00C4225E" w:rsidP="005D37C6">
            <w:pPr>
              <w:spacing w:line="360" w:lineRule="auto"/>
              <w:jc w:val="center"/>
              <w:rPr>
                <w:rFonts w:ascii="Times New Roman" w:hAnsi="Times New Roman" w:cs="Times New Roman"/>
                <w:b/>
                <w:sz w:val="24"/>
                <w:szCs w:val="24"/>
              </w:rPr>
            </w:pPr>
            <w:proofErr w:type="spellStart"/>
            <w:r w:rsidRPr="00E96C31">
              <w:rPr>
                <w:rFonts w:ascii="Times New Roman" w:hAnsi="Times New Roman" w:cs="Times New Roman"/>
                <w:b/>
                <w:sz w:val="24"/>
                <w:szCs w:val="24"/>
              </w:rPr>
              <w:t>Penulis</w:t>
            </w:r>
            <w:proofErr w:type="spellEnd"/>
            <w:r w:rsidRPr="00E96C31">
              <w:rPr>
                <w:rFonts w:ascii="Times New Roman" w:hAnsi="Times New Roman" w:cs="Times New Roman"/>
                <w:b/>
                <w:sz w:val="24"/>
                <w:szCs w:val="24"/>
              </w:rPr>
              <w:t xml:space="preserve">, </w:t>
            </w:r>
            <w:proofErr w:type="spellStart"/>
            <w:r w:rsidRPr="00E96C31">
              <w:rPr>
                <w:rFonts w:ascii="Times New Roman" w:hAnsi="Times New Roman" w:cs="Times New Roman"/>
                <w:b/>
                <w:sz w:val="24"/>
                <w:szCs w:val="24"/>
              </w:rPr>
              <w:t>Tahun</w:t>
            </w:r>
            <w:proofErr w:type="spellEnd"/>
            <w:r w:rsidRPr="00E96C31">
              <w:rPr>
                <w:rFonts w:ascii="Times New Roman" w:hAnsi="Times New Roman" w:cs="Times New Roman"/>
                <w:b/>
                <w:sz w:val="24"/>
                <w:szCs w:val="24"/>
              </w:rPr>
              <w:t xml:space="preserve">, </w:t>
            </w:r>
            <w:proofErr w:type="spellStart"/>
            <w:r w:rsidRPr="00E96C31">
              <w:rPr>
                <w:rFonts w:ascii="Times New Roman" w:hAnsi="Times New Roman" w:cs="Times New Roman"/>
                <w:b/>
                <w:sz w:val="24"/>
                <w:szCs w:val="24"/>
              </w:rPr>
              <w:t>Judul</w:t>
            </w:r>
            <w:proofErr w:type="spellEnd"/>
          </w:p>
        </w:tc>
        <w:tc>
          <w:tcPr>
            <w:tcW w:w="912" w:type="dxa"/>
            <w:tcBorders>
              <w:left w:val="nil"/>
              <w:bottom w:val="single" w:sz="4" w:space="0" w:color="auto"/>
              <w:right w:val="nil"/>
            </w:tcBorders>
            <w:shd w:val="clear" w:color="auto" w:fill="E7E6E6" w:themeFill="background2"/>
          </w:tcPr>
          <w:p w:rsidR="00C4225E" w:rsidRPr="00E96C31" w:rsidRDefault="00C4225E" w:rsidP="005D37C6">
            <w:pPr>
              <w:spacing w:line="360" w:lineRule="auto"/>
              <w:jc w:val="center"/>
              <w:rPr>
                <w:rFonts w:ascii="Times New Roman" w:hAnsi="Times New Roman" w:cs="Times New Roman"/>
                <w:b/>
                <w:sz w:val="24"/>
                <w:szCs w:val="24"/>
              </w:rPr>
            </w:pPr>
            <w:proofErr w:type="spellStart"/>
            <w:r w:rsidRPr="00E96C31">
              <w:rPr>
                <w:rFonts w:ascii="Times New Roman" w:hAnsi="Times New Roman" w:cs="Times New Roman"/>
                <w:b/>
                <w:sz w:val="24"/>
                <w:szCs w:val="24"/>
              </w:rPr>
              <w:t>Desain</w:t>
            </w:r>
            <w:proofErr w:type="spellEnd"/>
          </w:p>
        </w:tc>
        <w:tc>
          <w:tcPr>
            <w:tcW w:w="2966" w:type="dxa"/>
            <w:tcBorders>
              <w:left w:val="nil"/>
              <w:bottom w:val="single" w:sz="4" w:space="0" w:color="auto"/>
              <w:right w:val="nil"/>
            </w:tcBorders>
            <w:shd w:val="clear" w:color="auto" w:fill="E7E6E6" w:themeFill="background2"/>
          </w:tcPr>
          <w:p w:rsidR="00C4225E" w:rsidRPr="00E96C31" w:rsidRDefault="00C4225E" w:rsidP="005D37C6">
            <w:pPr>
              <w:spacing w:line="360" w:lineRule="auto"/>
              <w:jc w:val="center"/>
              <w:rPr>
                <w:rFonts w:ascii="Times New Roman" w:hAnsi="Times New Roman" w:cs="Times New Roman"/>
                <w:b/>
                <w:sz w:val="24"/>
                <w:szCs w:val="24"/>
              </w:rPr>
            </w:pPr>
            <w:proofErr w:type="spellStart"/>
            <w:r w:rsidRPr="00E96C31">
              <w:rPr>
                <w:rFonts w:ascii="Times New Roman" w:hAnsi="Times New Roman" w:cs="Times New Roman"/>
                <w:b/>
                <w:sz w:val="24"/>
                <w:szCs w:val="24"/>
              </w:rPr>
              <w:t>Hasil</w:t>
            </w:r>
            <w:proofErr w:type="spellEnd"/>
          </w:p>
        </w:tc>
      </w:tr>
      <w:tr w:rsidR="00C4225E" w:rsidRPr="00E96C31" w:rsidTr="00C4225E">
        <w:tc>
          <w:tcPr>
            <w:tcW w:w="709" w:type="dxa"/>
            <w:tcBorders>
              <w:left w:val="nil"/>
              <w:bottom w:val="nil"/>
              <w:right w:val="nil"/>
            </w:tcBorders>
            <w:shd w:val="clear" w:color="auto" w:fill="auto"/>
          </w:tcPr>
          <w:p w:rsidR="00C4225E" w:rsidRPr="00E96C31" w:rsidRDefault="00C4225E" w:rsidP="00C4225E">
            <w:pPr>
              <w:pStyle w:val="ListParagraph"/>
              <w:numPr>
                <w:ilvl w:val="0"/>
                <w:numId w:val="1"/>
              </w:numPr>
              <w:tabs>
                <w:tab w:val="left" w:pos="284"/>
              </w:tabs>
              <w:spacing w:line="360" w:lineRule="auto"/>
              <w:jc w:val="both"/>
              <w:rPr>
                <w:rFonts w:ascii="Times New Roman" w:hAnsi="Times New Roman" w:cs="Times New Roman"/>
              </w:rPr>
            </w:pPr>
          </w:p>
          <w:p w:rsidR="00C4225E" w:rsidRPr="00E96C31" w:rsidRDefault="00C4225E" w:rsidP="005D37C6">
            <w:pPr>
              <w:rPr>
                <w:rFonts w:ascii="Times New Roman" w:hAnsi="Times New Roman" w:cs="Times New Roman"/>
              </w:rPr>
            </w:pPr>
          </w:p>
        </w:tc>
        <w:tc>
          <w:tcPr>
            <w:tcW w:w="3204" w:type="dxa"/>
            <w:tcBorders>
              <w:left w:val="nil"/>
              <w:bottom w:val="nil"/>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rPr>
            </w:pPr>
            <w:r w:rsidRPr="00E96C31">
              <w:rPr>
                <w:rFonts w:ascii="Times New Roman" w:hAnsi="Times New Roman" w:cs="Times New Roman"/>
              </w:rPr>
              <w:t xml:space="preserve">Alba, </w:t>
            </w:r>
            <w:proofErr w:type="spellStart"/>
            <w:r w:rsidRPr="00E96C31">
              <w:rPr>
                <w:rFonts w:ascii="Times New Roman" w:hAnsi="Times New Roman" w:cs="Times New Roman"/>
              </w:rPr>
              <w:t>Thainara</w:t>
            </w:r>
            <w:proofErr w:type="spellEnd"/>
            <w:r w:rsidRPr="00E96C31">
              <w:rPr>
                <w:rFonts w:ascii="Times New Roman" w:hAnsi="Times New Roman" w:cs="Times New Roman"/>
              </w:rPr>
              <w:t xml:space="preserve"> M., </w:t>
            </w:r>
            <w:proofErr w:type="spellStart"/>
            <w:r w:rsidRPr="00E96C31">
              <w:rPr>
                <w:rFonts w:ascii="Times New Roman" w:hAnsi="Times New Roman" w:cs="Times New Roman"/>
              </w:rPr>
              <w:t>Pelegrin</w:t>
            </w:r>
            <w:proofErr w:type="spellEnd"/>
            <w:r w:rsidRPr="00E96C31">
              <w:rPr>
                <w:rFonts w:ascii="Times New Roman" w:hAnsi="Times New Roman" w:cs="Times New Roman"/>
              </w:rPr>
              <w:t xml:space="preserve">, C. M. G., </w:t>
            </w:r>
            <w:proofErr w:type="spellStart"/>
            <w:r w:rsidRPr="00E96C31">
              <w:rPr>
                <w:rFonts w:ascii="Times New Roman" w:hAnsi="Times New Roman" w:cs="Times New Roman"/>
              </w:rPr>
              <w:t>Sobottka</w:t>
            </w:r>
            <w:proofErr w:type="spellEnd"/>
            <w:r w:rsidRPr="00E96C31">
              <w:rPr>
                <w:rFonts w:ascii="Times New Roman" w:hAnsi="Times New Roman" w:cs="Times New Roman"/>
              </w:rPr>
              <w:t xml:space="preserve">, Andrea M., 2020. </w:t>
            </w:r>
            <w:proofErr w:type="spellStart"/>
            <w:r w:rsidRPr="00E96C31">
              <w:rPr>
                <w:rFonts w:ascii="Times New Roman" w:hAnsi="Times New Roman" w:cs="Times New Roman"/>
                <w:i/>
              </w:rPr>
              <w:t>Pharmacognosy</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ethnobotany</w:t>
            </w:r>
            <w:proofErr w:type="spellEnd"/>
            <w:r w:rsidRPr="00E96C31">
              <w:rPr>
                <w:rFonts w:ascii="Times New Roman" w:hAnsi="Times New Roman" w:cs="Times New Roman"/>
                <w:i/>
              </w:rPr>
              <w:t xml:space="preserve">, ecology, pharmacology, and </w:t>
            </w:r>
            <w:proofErr w:type="spellStart"/>
            <w:r w:rsidRPr="00E96C31">
              <w:rPr>
                <w:rFonts w:ascii="Times New Roman" w:hAnsi="Times New Roman" w:cs="Times New Roman"/>
                <w:i/>
              </w:rPr>
              <w:t>chemixtry</w:t>
            </w:r>
            <w:proofErr w:type="spellEnd"/>
            <w:r w:rsidRPr="00E96C31">
              <w:rPr>
                <w:rFonts w:ascii="Times New Roman" w:hAnsi="Times New Roman" w:cs="Times New Roman"/>
                <w:i/>
              </w:rPr>
              <w:t xml:space="preserve"> of </w:t>
            </w: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Basellaceae</w:t>
            </w:r>
            <w:proofErr w:type="spellEnd"/>
            <w:r w:rsidRPr="00E96C31">
              <w:rPr>
                <w:rFonts w:ascii="Times New Roman" w:hAnsi="Times New Roman" w:cs="Times New Roman"/>
              </w:rPr>
              <w:t xml:space="preserve">) : a </w:t>
            </w:r>
            <w:r w:rsidRPr="00E96C31">
              <w:rPr>
                <w:rFonts w:ascii="Times New Roman" w:hAnsi="Times New Roman" w:cs="Times New Roman"/>
                <w:i/>
              </w:rPr>
              <w:t>review.</w:t>
            </w:r>
            <w:r w:rsidRPr="00E96C31">
              <w:rPr>
                <w:rFonts w:ascii="Times New Roman" w:hAnsi="Times New Roman" w:cs="Times New Roman"/>
                <w:i/>
              </w:rPr>
              <w:fldChar w:fldCharType="begin" w:fldLock="1"/>
            </w:r>
            <w:r w:rsidRPr="00E96C31">
              <w:rPr>
                <w:rFonts w:ascii="Times New Roman" w:hAnsi="Times New Roman" w:cs="Times New Roman"/>
                <w:i/>
              </w:rPr>
              <w:instrText>ADDIN CSL_CITATION {"citationItems":[{"id":"ITEM-1","itemData":{"DOI":"10.1590/2175-7860202071060","ISSN":"21757860","abstract":"The potential of a plant with medicinal and nutritional properties, Anredera cordifolia, is reviewed. Its common names include “Bertalha” and “folha gorda” and it is popularly used for wound healing and against fungal infections and other types of infection. Its pharmacological properties have been widely investigated and acknowledged, especially with regard to its antibacterial activity, which improves the healing of wounds infected by Staphylococcus aureus, and to its antifungal activity against Candida albicans. It is an unconventional food plant, with leaves and aerial tubers used as food prepared in varied ways. It is also considered an invasive plant in several countries and thus classified as a weed. Its characteristics of a Brazilian native plant, with proven medicinal properties and unconventional use as food, underlie our study on its ecology and botanical classification, as well as the pharmacological assays and screening of chemical constituents.","author":[{"dropping-particle":"","family":"Alba","given":"Thainara Marcotto.","non-dropping-particle":"","parse-names":false,"suffix":""},{"dropping-particle":"","family":"Pelegrin, Carla Maria Garlet., Sobottka","given":"Andréa Michel.","non-dropping-particle":"de","parse-names":false,"suffix":""}],"container-title":"Rodriguesia","id":"ITEM-1","issue":"1","issued":{"date-parts":[["2020"]]},"title":"Pharmacognosy Ethnobotany, ecology, pharmacology, and chemistry of Anredera cordifolia (Basellaceae): a review","type":"article-journal","volume":"7"},"uris":["http://www.mendeley.com/documents/?uuid=76fce094-a41f-46a1-b1ed-7d6a1b01ef97"]}],"mendeley":{"formattedCitation":"&lt;sup&gt;10&lt;/sup&gt;","plainTextFormattedCitation":"10","previouslyFormattedCitation":"&lt;sup&gt;10&lt;/sup&gt;"},"properties":{"noteIndex":0},"schema":"https://github.com/citation-style-language/schema/raw/master/csl-citation.json"}</w:instrText>
            </w:r>
            <w:r w:rsidRPr="00E96C31">
              <w:rPr>
                <w:rFonts w:ascii="Times New Roman" w:hAnsi="Times New Roman" w:cs="Times New Roman"/>
                <w:i/>
              </w:rPr>
              <w:fldChar w:fldCharType="separate"/>
            </w:r>
            <w:r w:rsidRPr="00E96C31">
              <w:rPr>
                <w:rFonts w:ascii="Times New Roman" w:hAnsi="Times New Roman" w:cs="Times New Roman"/>
                <w:noProof/>
                <w:vertAlign w:val="superscript"/>
              </w:rPr>
              <w:t>10</w:t>
            </w:r>
            <w:r w:rsidRPr="00E96C31">
              <w:rPr>
                <w:rFonts w:ascii="Times New Roman" w:hAnsi="Times New Roman" w:cs="Times New Roman"/>
                <w:i/>
              </w:rPr>
              <w:fldChar w:fldCharType="end"/>
            </w:r>
          </w:p>
        </w:tc>
        <w:tc>
          <w:tcPr>
            <w:tcW w:w="912" w:type="dxa"/>
            <w:tcBorders>
              <w:left w:val="nil"/>
              <w:bottom w:val="nil"/>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rPr>
            </w:pPr>
            <w:r w:rsidRPr="00E96C31">
              <w:rPr>
                <w:rFonts w:ascii="Times New Roman" w:hAnsi="Times New Roman" w:cs="Times New Roman"/>
                <w:i/>
              </w:rPr>
              <w:t xml:space="preserve">Article review </w:t>
            </w:r>
          </w:p>
        </w:tc>
        <w:tc>
          <w:tcPr>
            <w:tcW w:w="2966" w:type="dxa"/>
            <w:tcBorders>
              <w:left w:val="nil"/>
              <w:bottom w:val="nil"/>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Artikel</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ini</w:t>
            </w:r>
            <w:proofErr w:type="spellEnd"/>
            <w:r w:rsidRPr="00E96C31">
              <w:rPr>
                <w:rFonts w:ascii="Times New Roman" w:hAnsi="Times New Roman" w:cs="Times New Roman"/>
              </w:rPr>
              <w:t xml:space="preserve"> </w:t>
            </w:r>
            <w:proofErr w:type="spellStart"/>
            <w:proofErr w:type="gramStart"/>
            <w:r w:rsidRPr="00E96C31">
              <w:rPr>
                <w:rFonts w:ascii="Times New Roman" w:hAnsi="Times New Roman" w:cs="Times New Roman"/>
              </w:rPr>
              <w:t>memaparkan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penggunaan</w:t>
            </w:r>
            <w:proofErr w:type="spellEnd"/>
            <w:proofErr w:type="gramEnd"/>
            <w:r w:rsidRPr="00E96C31">
              <w:rPr>
                <w:rFonts w:ascii="Times New Roman" w:hAnsi="Times New Roman" w:cs="Times New Roman"/>
              </w:rPr>
              <w:t xml:space="preserve"> </w:t>
            </w:r>
            <w:proofErr w:type="spellStart"/>
            <w:r w:rsidRPr="00E96C31">
              <w:rPr>
                <w:rFonts w:ascii="Times New Roman" w:hAnsi="Times New Roman" w:cs="Times New Roman"/>
              </w:rPr>
              <w:t>tanaman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secara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tradisional</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ekologi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aktivitas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farmakologi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senyawa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kimia</w:t>
            </w:r>
            <w:proofErr w:type="spellEnd"/>
            <w:r w:rsidRPr="00E96C31">
              <w:rPr>
                <w:rFonts w:ascii="Times New Roman" w:hAnsi="Times New Roman" w:cs="Times New Roman"/>
              </w:rPr>
              <w:t xml:space="preserve"> yang </w:t>
            </w:r>
            <w:proofErr w:type="spellStart"/>
            <w:r w:rsidRPr="00E96C31">
              <w:rPr>
                <w:rFonts w:ascii="Times New Roman" w:hAnsi="Times New Roman" w:cs="Times New Roman"/>
              </w:rPr>
              <w:t>ada</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dalam</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tanaman</w:t>
            </w:r>
            <w:proofErr w:type="spellEnd"/>
            <w:r w:rsidRPr="00E96C31">
              <w:rPr>
                <w:rFonts w:ascii="Times New Roman" w:hAnsi="Times New Roman" w:cs="Times New Roman"/>
              </w:rPr>
              <w:t xml:space="preserve">. Database yang </w:t>
            </w:r>
            <w:proofErr w:type="spellStart"/>
            <w:r w:rsidRPr="00E96C31">
              <w:rPr>
                <w:rFonts w:ascii="Times New Roman" w:hAnsi="Times New Roman" w:cs="Times New Roman"/>
              </w:rPr>
              <w:t>digunakan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dari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Scielo</w:t>
            </w:r>
            <w:proofErr w:type="spellEnd"/>
            <w:r w:rsidRPr="00E96C31">
              <w:rPr>
                <w:rFonts w:ascii="Times New Roman" w:hAnsi="Times New Roman" w:cs="Times New Roman"/>
              </w:rPr>
              <w:t xml:space="preserve">, Scopus, Web of Science, Medline,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BioOne</w:t>
            </w:r>
            <w:proofErr w:type="spellEnd"/>
            <w:r w:rsidRPr="00E96C31">
              <w:rPr>
                <w:rFonts w:ascii="Times New Roman" w:hAnsi="Times New Roman" w:cs="Times New Roman"/>
              </w:rPr>
              <w:t>.</w:t>
            </w:r>
          </w:p>
        </w:tc>
      </w:tr>
      <w:tr w:rsidR="00C4225E" w:rsidRPr="00E96C31" w:rsidTr="00C4225E">
        <w:tc>
          <w:tcPr>
            <w:tcW w:w="709" w:type="dxa"/>
            <w:tcBorders>
              <w:top w:val="nil"/>
              <w:left w:val="nil"/>
              <w:bottom w:val="single" w:sz="4" w:space="0" w:color="auto"/>
              <w:right w:val="nil"/>
            </w:tcBorders>
            <w:shd w:val="clear" w:color="auto" w:fill="auto"/>
          </w:tcPr>
          <w:p w:rsidR="00C4225E" w:rsidRPr="00E96C31" w:rsidRDefault="00C4225E" w:rsidP="00C4225E">
            <w:pPr>
              <w:pStyle w:val="ListParagraph"/>
              <w:numPr>
                <w:ilvl w:val="0"/>
                <w:numId w:val="1"/>
              </w:numPr>
              <w:tabs>
                <w:tab w:val="left" w:pos="284"/>
              </w:tabs>
              <w:spacing w:line="360" w:lineRule="auto"/>
              <w:jc w:val="both"/>
              <w:rPr>
                <w:rFonts w:ascii="Times New Roman" w:hAnsi="Times New Roman" w:cs="Times New Roman"/>
              </w:rPr>
            </w:pPr>
          </w:p>
        </w:tc>
        <w:tc>
          <w:tcPr>
            <w:tcW w:w="3204"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Deshmukh</w:t>
            </w:r>
            <w:proofErr w:type="spellEnd"/>
            <w:r w:rsidRPr="00E96C31">
              <w:rPr>
                <w:rFonts w:ascii="Times New Roman" w:hAnsi="Times New Roman" w:cs="Times New Roman"/>
              </w:rPr>
              <w:t xml:space="preserve">, S. A., </w:t>
            </w:r>
            <w:proofErr w:type="spellStart"/>
            <w:r w:rsidRPr="00E96C31">
              <w:rPr>
                <w:rFonts w:ascii="Times New Roman" w:hAnsi="Times New Roman" w:cs="Times New Roman"/>
              </w:rPr>
              <w:t>Gaikwad</w:t>
            </w:r>
            <w:proofErr w:type="spellEnd"/>
            <w:r w:rsidRPr="00E96C31">
              <w:rPr>
                <w:rFonts w:ascii="Times New Roman" w:hAnsi="Times New Roman" w:cs="Times New Roman"/>
              </w:rPr>
              <w:t xml:space="preserve">, D.K. 2014. </w:t>
            </w:r>
            <w:r w:rsidRPr="00E96C31">
              <w:rPr>
                <w:rFonts w:ascii="Times New Roman" w:hAnsi="Times New Roman" w:cs="Times New Roman"/>
                <w:i/>
              </w:rPr>
              <w:t>A</w:t>
            </w:r>
            <w:r w:rsidRPr="00E96C31">
              <w:rPr>
                <w:rFonts w:ascii="Times New Roman" w:hAnsi="Times New Roman" w:cs="Times New Roman"/>
              </w:rPr>
              <w:t xml:space="preserve"> </w:t>
            </w:r>
            <w:r w:rsidRPr="00E96C31">
              <w:rPr>
                <w:rFonts w:ascii="Times New Roman" w:hAnsi="Times New Roman" w:cs="Times New Roman"/>
                <w:i/>
              </w:rPr>
              <w:t xml:space="preserve">review of the taxonomy, </w:t>
            </w:r>
            <w:proofErr w:type="spellStart"/>
            <w:r w:rsidRPr="00E96C31">
              <w:rPr>
                <w:rFonts w:ascii="Times New Roman" w:hAnsi="Times New Roman" w:cs="Times New Roman"/>
                <w:i/>
              </w:rPr>
              <w:t>ethnobotany</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phytochemistry</w:t>
            </w:r>
            <w:proofErr w:type="spellEnd"/>
            <w:r w:rsidRPr="00E96C31">
              <w:rPr>
                <w:rFonts w:ascii="Times New Roman" w:hAnsi="Times New Roman" w:cs="Times New Roman"/>
                <w:i/>
              </w:rPr>
              <w:t xml:space="preserve"> and pharmacology of </w:t>
            </w:r>
            <w:proofErr w:type="spellStart"/>
            <w:r w:rsidRPr="00E96C31">
              <w:rPr>
                <w:rFonts w:ascii="Times New Roman" w:hAnsi="Times New Roman" w:cs="Times New Roman"/>
                <w:i/>
              </w:rPr>
              <w:t>Basella</w:t>
            </w:r>
            <w:proofErr w:type="spellEnd"/>
            <w:r w:rsidRPr="00E96C31">
              <w:rPr>
                <w:rFonts w:ascii="Times New Roman" w:hAnsi="Times New Roman" w:cs="Times New Roman"/>
                <w:i/>
              </w:rPr>
              <w:t xml:space="preserve"> alba</w:t>
            </w:r>
            <w:r w:rsidRPr="00E96C31">
              <w:rPr>
                <w:rFonts w:ascii="Times New Roman" w:hAnsi="Times New Roman" w:cs="Times New Roman"/>
              </w:rPr>
              <w:t xml:space="preserve"> (</w:t>
            </w:r>
            <w:proofErr w:type="spellStart"/>
            <w:r w:rsidRPr="00E96C31">
              <w:rPr>
                <w:rFonts w:ascii="Times New Roman" w:hAnsi="Times New Roman" w:cs="Times New Roman"/>
              </w:rPr>
              <w:t>Basellaceae</w:t>
            </w:r>
            <w:proofErr w:type="spellEnd"/>
            <w:r w:rsidRPr="00E96C31">
              <w:rPr>
                <w:rFonts w:ascii="Times New Roman" w:hAnsi="Times New Roman" w:cs="Times New Roman"/>
              </w:rPr>
              <w:t>).</w:t>
            </w: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{"citationItems":[{"id":"ITEM-1","itemData":{"DOI":"10.7324/JAPS.2014.40125","ISSN":"22313354","abstract":"Basella alba L. is an important green leafy vegetables found commonly in the tropical regions of the world. The plant is used as a substitute for true spinach (i. e. Spinacea oleracea L.) and also has great ethnomedicinal importance. Different studies have proved that the plant is rich in vitamin A and vitamin C along with flavonoids, saponins, carotenoids, many amino acids and organic acids. Various in vivo and in vitro studies revealed that the plants is enriched with active substances/principles having medicinal potential. Major biological activities exhibited by Basella alba is androgenic, antidiabetic, anti-inflammatory, antimicrobial, antioxidant, antiulcer, antiviral, CNS depressant, hepatoprotective and wound healing, properties. Besides these all the plant possess a valuable ethnomedicinal importance and are used to cure digestive disorders, skin diseases, bleeding piles, pimples, urticaria, irritation, anemia, whooping cough, leprosy, aphthae, insomnia, cancer, gonorrhea, burns, headache, ulcers, diarrhea, liver disorders, bilious vomiting, sexual asthenia. © 2014 S.A. Deshmukh and D. K. Gaikwad.","author":[{"dropping-particle":"","family":"Deshmukh","given":"S. A.","non-dropping-particle":"","parse-names":false,"suffix":""},{"dropping-particle":"","family":"Gaikwad","given":"D. K.","non-dropping-particle":"","parse-names":false,"suffix":""}],"container-title":"Journal of Applied Pharmaceutical Science","id":"ITEM-1","issue":"1","issued":{"date-parts":[["2020"]]},"page":"153-165","title":"A review of the taxonomy, ethnobotany, phytochemistry and pharmacology of Basella alba (Basellaceae)","type":"article-journal","volume":"4"},"uris":["http://www.mendeley.com/documents/?uuid=e097197e-3c41-47e8-bc6e-0bb1fdc869b4"]}],"mendeley":{"formattedCitation":"&lt;sup&gt;9&lt;/sup&gt;","plainTextFormattedCitation":"9","previouslyFormattedCitation":"&lt;sup&gt;9&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9</w:t>
            </w:r>
            <w:r w:rsidRPr="00E96C31">
              <w:rPr>
                <w:rFonts w:ascii="Times New Roman" w:hAnsi="Times New Roman" w:cs="Times New Roman"/>
              </w:rPr>
              <w:fldChar w:fldCharType="end"/>
            </w:r>
          </w:p>
        </w:tc>
        <w:tc>
          <w:tcPr>
            <w:tcW w:w="912"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rPr>
            </w:pPr>
            <w:r w:rsidRPr="00E96C31">
              <w:rPr>
                <w:rFonts w:ascii="Times New Roman" w:hAnsi="Times New Roman" w:cs="Times New Roman"/>
                <w:i/>
              </w:rPr>
              <w:t>Article review</w:t>
            </w:r>
          </w:p>
        </w:tc>
        <w:tc>
          <w:tcPr>
            <w:tcW w:w="2966"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284"/>
              </w:tabs>
              <w:spacing w:line="360" w:lineRule="auto"/>
              <w:ind w:left="0"/>
              <w:jc w:val="both"/>
              <w:rPr>
                <w:rFonts w:ascii="Times New Roman" w:hAnsi="Times New Roman" w:cs="Times New Roman"/>
                <w:b/>
              </w:rPr>
            </w:pPr>
            <w:proofErr w:type="spellStart"/>
            <w:r w:rsidRPr="00E96C31">
              <w:rPr>
                <w:rFonts w:ascii="Times New Roman" w:hAnsi="Times New Roman" w:cs="Times New Roman"/>
              </w:rPr>
              <w:t>Artikel</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ini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memaparkan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tentang</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taksonomi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penggunaan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tanaman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Basella</w:t>
            </w:r>
            <w:proofErr w:type="spellEnd"/>
            <w:r w:rsidRPr="00E96C31">
              <w:rPr>
                <w:rFonts w:ascii="Times New Roman" w:hAnsi="Times New Roman" w:cs="Times New Roman"/>
                <w:i/>
              </w:rPr>
              <w:t xml:space="preserve"> alba </w:t>
            </w:r>
            <w:r w:rsidRPr="00E96C31">
              <w:rPr>
                <w:rFonts w:ascii="Times New Roman" w:hAnsi="Times New Roman" w:cs="Times New Roman"/>
              </w:rPr>
              <w:t xml:space="preserve">di </w:t>
            </w:r>
            <w:proofErr w:type="spellStart"/>
            <w:r w:rsidRPr="00E96C31">
              <w:rPr>
                <w:rFonts w:ascii="Times New Roman" w:hAnsi="Times New Roman" w:cs="Times New Roman"/>
              </w:rPr>
              <w:t>masyarakat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senyawa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kimia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aktivitas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farmakologi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Basella</w:t>
            </w:r>
            <w:proofErr w:type="spellEnd"/>
            <w:r w:rsidRPr="00E96C31">
              <w:rPr>
                <w:rFonts w:ascii="Times New Roman" w:hAnsi="Times New Roman" w:cs="Times New Roman"/>
                <w:i/>
              </w:rPr>
              <w:t xml:space="preserve"> alba.</w:t>
            </w:r>
          </w:p>
        </w:tc>
      </w:tr>
    </w:tbl>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jc w:val="both"/>
      </w:pPr>
    </w:p>
    <w:p w:rsidR="00C4225E" w:rsidRDefault="00C4225E" w:rsidP="00C4225E">
      <w:pPr>
        <w:pStyle w:val="Caption"/>
        <w:spacing w:line="360" w:lineRule="auto"/>
        <w:ind w:right="1417"/>
        <w:rPr>
          <w:rFonts w:ascii="Times New Roman" w:hAnsi="Times New Roman" w:cs="Times New Roman"/>
          <w:i w:val="0"/>
          <w:color w:val="auto"/>
          <w:sz w:val="24"/>
        </w:rPr>
      </w:pPr>
      <w:proofErr w:type="spellStart"/>
      <w:r>
        <w:rPr>
          <w:rFonts w:ascii="Times New Roman" w:hAnsi="Times New Roman" w:cs="Times New Roman"/>
          <w:b/>
          <w:i w:val="0"/>
          <w:color w:val="auto"/>
          <w:sz w:val="24"/>
        </w:rPr>
        <w:lastRenderedPageBreak/>
        <w:t>Lampiran</w:t>
      </w:r>
      <w:proofErr w:type="spellEnd"/>
      <w:r>
        <w:rPr>
          <w:rFonts w:ascii="Times New Roman" w:hAnsi="Times New Roman" w:cs="Times New Roman"/>
          <w:b/>
          <w:i w:val="0"/>
          <w:color w:val="auto"/>
          <w:sz w:val="24"/>
        </w:rPr>
        <w:t xml:space="preserve"> 2.</w:t>
      </w:r>
      <w:r w:rsidRPr="00E96C31">
        <w:rPr>
          <w:rFonts w:ascii="Times New Roman" w:hAnsi="Times New Roman" w:cs="Times New Roman"/>
          <w:b/>
          <w:i w:val="0"/>
          <w:color w:val="auto"/>
          <w:sz w:val="24"/>
        </w:rPr>
        <w:t xml:space="preserve"> </w:t>
      </w:r>
      <w:r w:rsidRPr="00E96C31">
        <w:rPr>
          <w:rFonts w:ascii="Times New Roman" w:hAnsi="Times New Roman" w:cs="Times New Roman"/>
          <w:i w:val="0"/>
          <w:color w:val="auto"/>
          <w:sz w:val="24"/>
        </w:rPr>
        <w:t xml:space="preserve">Diagram </w:t>
      </w:r>
      <w:proofErr w:type="spellStart"/>
      <w:r w:rsidRPr="00E96C31">
        <w:rPr>
          <w:rFonts w:ascii="Times New Roman" w:hAnsi="Times New Roman" w:cs="Times New Roman"/>
          <w:i w:val="0"/>
          <w:color w:val="auto"/>
          <w:sz w:val="24"/>
        </w:rPr>
        <w:t>alir</w:t>
      </w:r>
      <w:proofErr w:type="spellEnd"/>
      <w:r w:rsidRPr="00E96C31">
        <w:rPr>
          <w:rFonts w:ascii="Times New Roman" w:hAnsi="Times New Roman" w:cs="Times New Roman"/>
          <w:i w:val="0"/>
          <w:color w:val="auto"/>
          <w:sz w:val="24"/>
        </w:rPr>
        <w:t xml:space="preserve"> </w:t>
      </w:r>
      <w:proofErr w:type="spellStart"/>
      <w:r w:rsidRPr="00E96C31">
        <w:rPr>
          <w:rFonts w:ascii="Times New Roman" w:hAnsi="Times New Roman" w:cs="Times New Roman"/>
          <w:i w:val="0"/>
          <w:color w:val="auto"/>
          <w:sz w:val="24"/>
        </w:rPr>
        <w:t>seleksi</w:t>
      </w:r>
      <w:proofErr w:type="spellEnd"/>
      <w:r w:rsidRPr="00E96C31">
        <w:rPr>
          <w:rFonts w:ascii="Times New Roman" w:hAnsi="Times New Roman" w:cs="Times New Roman"/>
          <w:i w:val="0"/>
          <w:color w:val="auto"/>
          <w:sz w:val="24"/>
        </w:rPr>
        <w:t xml:space="preserve"> </w:t>
      </w:r>
      <w:proofErr w:type="spellStart"/>
      <w:r w:rsidRPr="00E96C31">
        <w:rPr>
          <w:rFonts w:ascii="Times New Roman" w:hAnsi="Times New Roman" w:cs="Times New Roman"/>
          <w:i w:val="0"/>
          <w:color w:val="auto"/>
          <w:sz w:val="24"/>
        </w:rPr>
        <w:t>artikel</w:t>
      </w:r>
      <w:proofErr w:type="spellEnd"/>
    </w:p>
    <w:p w:rsidR="00C4225E" w:rsidRDefault="00C4225E" w:rsidP="00C4225E">
      <w:r>
        <w:rPr>
          <w:noProof/>
        </w:rPr>
        <w:drawing>
          <wp:inline distT="0" distB="0" distL="0" distR="0">
            <wp:extent cx="5410010" cy="2844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609947.tmp"/>
                    <pic:cNvPicPr/>
                  </pic:nvPicPr>
                  <pic:blipFill>
                    <a:blip r:embed="rId7">
                      <a:extLst>
                        <a:ext uri="{28A0092B-C50C-407E-A947-70E740481C1C}">
                          <a14:useLocalDpi xmlns:a14="http://schemas.microsoft.com/office/drawing/2010/main" val="0"/>
                        </a:ext>
                      </a:extLst>
                    </a:blip>
                    <a:stretch>
                      <a:fillRect/>
                    </a:stretch>
                  </pic:blipFill>
                  <pic:spPr>
                    <a:xfrm>
                      <a:off x="0" y="0"/>
                      <a:ext cx="5410010" cy="2844000"/>
                    </a:xfrm>
                    <a:prstGeom prst="rect">
                      <a:avLst/>
                    </a:prstGeom>
                  </pic:spPr>
                </pic:pic>
              </a:graphicData>
            </a:graphic>
          </wp:inline>
        </w:drawing>
      </w: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b/>
          <w:sz w:val="24"/>
          <w:szCs w:val="24"/>
        </w:rPr>
      </w:pPr>
    </w:p>
    <w:p w:rsidR="00C4225E" w:rsidRDefault="00C4225E" w:rsidP="00C4225E">
      <w:pPr>
        <w:rPr>
          <w:rFonts w:ascii="Times New Roman" w:hAnsi="Times New Roman" w:cs="Times New Roman"/>
          <w:sz w:val="24"/>
          <w:szCs w:val="24"/>
        </w:rPr>
      </w:pPr>
      <w:proofErr w:type="spellStart"/>
      <w:r w:rsidRPr="00C4225E">
        <w:rPr>
          <w:rFonts w:ascii="Times New Roman" w:hAnsi="Times New Roman" w:cs="Times New Roman"/>
          <w:b/>
          <w:sz w:val="24"/>
          <w:szCs w:val="24"/>
        </w:rPr>
        <w:lastRenderedPageBreak/>
        <w:t>Lampiran</w:t>
      </w:r>
      <w:proofErr w:type="spellEnd"/>
      <w:r w:rsidRPr="00C4225E">
        <w:rPr>
          <w:rFonts w:ascii="Times New Roman" w:hAnsi="Times New Roman" w:cs="Times New Roman"/>
          <w:b/>
          <w:sz w:val="24"/>
          <w:szCs w:val="24"/>
        </w:rPr>
        <w:t xml:space="preserve"> 3. </w:t>
      </w:r>
      <w:proofErr w:type="spellStart"/>
      <w:r w:rsidRPr="00E96C31">
        <w:rPr>
          <w:rFonts w:ascii="Times New Roman" w:hAnsi="Times New Roman" w:cs="Times New Roman"/>
          <w:sz w:val="24"/>
          <w:szCs w:val="24"/>
        </w:rPr>
        <w:t>Kandungan</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senyawa</w:t>
      </w:r>
      <w:proofErr w:type="spellEnd"/>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fitokimia</w:t>
      </w:r>
      <w:proofErr w:type="spellEnd"/>
      <w:r w:rsidRPr="00E96C31">
        <w:rPr>
          <w:rFonts w:ascii="Times New Roman" w:hAnsi="Times New Roman" w:cs="Times New Roman"/>
          <w:sz w:val="24"/>
          <w:szCs w:val="24"/>
        </w:rPr>
        <w:t xml:space="preserve"> </w:t>
      </w:r>
      <w:r w:rsidRPr="00E96C31">
        <w:rPr>
          <w:rFonts w:ascii="Times New Roman" w:hAnsi="Times New Roman" w:cs="Times New Roman"/>
          <w:i/>
          <w:sz w:val="24"/>
          <w:szCs w:val="24"/>
        </w:rPr>
        <w:t>family</w:t>
      </w:r>
      <w:r w:rsidRPr="00E96C31">
        <w:rPr>
          <w:rFonts w:ascii="Times New Roman" w:hAnsi="Times New Roman" w:cs="Times New Roman"/>
          <w:sz w:val="24"/>
          <w:szCs w:val="24"/>
        </w:rPr>
        <w:t xml:space="preserve"> </w:t>
      </w:r>
      <w:proofErr w:type="spellStart"/>
      <w:r w:rsidRPr="00E96C31">
        <w:rPr>
          <w:rFonts w:ascii="Times New Roman" w:hAnsi="Times New Roman" w:cs="Times New Roman"/>
          <w:sz w:val="24"/>
          <w:szCs w:val="24"/>
        </w:rPr>
        <w:t>Basellaceae</w:t>
      </w:r>
      <w:proofErr w:type="spellEnd"/>
    </w:p>
    <w:tbl>
      <w:tblPr>
        <w:tblStyle w:val="TableGrid"/>
        <w:tblW w:w="8222" w:type="dxa"/>
        <w:tblInd w:w="-142" w:type="dxa"/>
        <w:tblLook w:val="04A0" w:firstRow="1" w:lastRow="0" w:firstColumn="1" w:lastColumn="0" w:noHBand="0" w:noVBand="1"/>
      </w:tblPr>
      <w:tblGrid>
        <w:gridCol w:w="1135"/>
        <w:gridCol w:w="1559"/>
        <w:gridCol w:w="999"/>
        <w:gridCol w:w="1127"/>
        <w:gridCol w:w="1418"/>
        <w:gridCol w:w="1417"/>
        <w:gridCol w:w="567"/>
      </w:tblGrid>
      <w:tr w:rsidR="00C4225E" w:rsidRPr="00E96C31" w:rsidTr="005D37C6">
        <w:tc>
          <w:tcPr>
            <w:tcW w:w="1135"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Golongan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Senyawa</w:t>
            </w:r>
            <w:proofErr w:type="spellEnd"/>
          </w:p>
        </w:tc>
        <w:tc>
          <w:tcPr>
            <w:tcW w:w="1559"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Spesies</w:t>
            </w:r>
            <w:proofErr w:type="spellEnd"/>
          </w:p>
        </w:tc>
        <w:tc>
          <w:tcPr>
            <w:tcW w:w="999"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Bagian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tanaman</w:t>
            </w:r>
            <w:proofErr w:type="spellEnd"/>
          </w:p>
        </w:tc>
        <w:tc>
          <w:tcPr>
            <w:tcW w:w="1127"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
        </w:tc>
        <w:tc>
          <w:tcPr>
            <w:tcW w:w="1418"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p>
        </w:tc>
        <w:tc>
          <w:tcPr>
            <w:tcW w:w="1417"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Kandungan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kimia</w:t>
            </w:r>
            <w:proofErr w:type="spellEnd"/>
          </w:p>
        </w:tc>
        <w:tc>
          <w:tcPr>
            <w:tcW w:w="567" w:type="dxa"/>
            <w:tcBorders>
              <w:top w:val="nil"/>
              <w:left w:val="nil"/>
              <w:bottom w:val="nil"/>
              <w:right w:val="nil"/>
            </w:tcBorders>
            <w:shd w:val="clear" w:color="auto" w:fill="E7E6E6" w:themeFill="background2"/>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Ref</w:t>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Fenolik</w:t>
            </w:r>
            <w:proofErr w:type="spellEnd"/>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 yang </w:t>
            </w:r>
            <w:proofErr w:type="spellStart"/>
            <w:r w:rsidRPr="00E96C31">
              <w:rPr>
                <w:rFonts w:ascii="Times New Roman" w:hAnsi="Times New Roman" w:cs="Times New Roman"/>
              </w:rPr>
              <w:t>telah</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destilasi</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Tanin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fenol</w:t>
            </w:r>
            <w:proofErr w:type="spellEnd"/>
            <w:r w:rsidRPr="00E96C31">
              <w:rPr>
                <w:rFonts w:ascii="Times New Roman" w:hAnsi="Times New Roman" w:cs="Times New Roman"/>
              </w:rPr>
              <w:t xml:space="preserve">,  flavonoid, </w:t>
            </w:r>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w:t>
            </w:r>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Flavonoid</w:t>
            </w:r>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{"citationItems":[{"id":"ITEM-1","itemData":{"abstract":"Luka merupakan kondisi hilangnya kontinuitas struktur jaringan. Salah satu tanaman obat yang ikut berperan dalam membantu proses penyembuhan luka adalah tanaman binahong (Anredera cordifolia). Tujuan penelitian ini untuk mengetahui efektifitas pemberian ekstrak daun binahong terhadap ketebalan jaringan granulasi dan jarak tepi luka pada penyembuhan luka sayat tikus putih (Rattus norvegicus).Studi eksperimental yang menggunakan rancangan penelitian post test only control group designdilaksanakan bulan Februari-April 2014 di Laboratorium Teknik Kimia Universitas Sriwijaya, Animal House Fakultas Kedokteran Unsri dan Laboratorium Patologi RSUP dr.Mohammad Hoesin Palembang. Sampel yang digunakan adalah tikus putih sebanyak 30 sampel dibagi menjadi 5 kelompok perlakuan yaitu kontrol negatif diberikan vaselin, ekstrak daun binahong 10%, 20%, 40% dan kontrol positif diberikan salep madecassol). Data dianalisis menggunakan program SPSS versi 19 dengan uji homogenitas, independent t-test, uji OneWay Anova dilanjutkan uji post hoc multiple comparisons. Hasil penelitian didapatkan pada pemberian ekstrak daun binahong dosis 10% (p=0.001) dan 20% (p=0.002) dibandingkan dengan salep Madecassol menunjukkan ada perbedaan bermakna rerata ketebalan jaringan granulasi dan jarak tepi luka sedangkan ekstrak daun binahong 40% dibandingkan dengan salep Madecassol pada luka sayat tikus putih menunjukkan tidak ada perbedaan bermakna rerata ketebalan jaringan granulasi dan jarak tepi luka (p=0.563). Kesimpulan penelitian ekstrak daun binahong mempunyai efek yang sama dengan salep Madecassol terhadap ketebalan jaringan granulasi dan jarak tepi luka pada luka sayat tikus putih. Dosis yang paling efektif terdapat pada ekstrak daun binahong 40%.Diperlukan penelitian lanjutan untuk membuktikan efek ekstrak daun binahong (anredera cordifolia) terhadap enzim-enzim pada saat proses inflamasi (seperti TGF, PDGF, KGF, VEGF) serta toksisitas dari daun binahong.","author":[{"dropping-particle":"","family":"Pariyana","given":"","non-dropping-particle":"","parse-names":false,"suffix":""},{"dropping-particle":"","family":"Saleh","given":"I","non-dropping-particle":"","parse-names":false,"suffix":""},{"dropping-particle":"","family":"Tjekyan","given":"S","non-dropping-particle":"","parse-names":false,"suffix":""},{"dropping-particle":"","family":"Hermansyah","given":"","non-dropping-particle":"","parse-names":false,"suffix":""}],"container-title":"Jurnal Kedokteran dan Kesehatan","id":"ITEM-1","issue":"3","issued":{"date-parts":[["2016"]]},"page":"161","title":"Efektivitas Pemberian Ekstrak Daun Binahong (Anredera Cordifolia) Terhadap Ketebalan Jaringan Granulasi dan Jarak Tepi Luka pada Penyembuhan Luka Sayat Tikus Putih (Rattus Norvegicus)","type":"article-journal","volume":"3"},"uris":["http://www.mendeley.com/documents/?uuid=8a0793a0-69cc-4734-ad89-ac47b4fd0164"]}],"mendeley":{"formattedCitation":"&lt;sup&gt;2&lt;/sup&gt;","plainTextFormattedCitation":"2","previouslyFormattedCitation":"&lt;sup&gt;2&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Terpenoid</w:t>
            </w:r>
            <w:proofErr w:type="spellEnd"/>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 yang </w:t>
            </w:r>
            <w:proofErr w:type="spellStart"/>
            <w:r w:rsidRPr="00E96C31">
              <w:rPr>
                <w:rFonts w:ascii="Times New Roman" w:hAnsi="Times New Roman" w:cs="Times New Roman"/>
              </w:rPr>
              <w:t>telah</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destilasi</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Triterpenoid</w:t>
            </w:r>
            <w:proofErr w:type="spellEnd"/>
            <w:r w:rsidRPr="00E96C31">
              <w:rPr>
                <w:rFonts w:ascii="Times New Roman" w:hAnsi="Times New Roman" w:cs="Times New Roman"/>
              </w:rPr>
              <w:t xml:space="preserve">, steroid, </w:t>
            </w:r>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diffusa</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Batang</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90%</w:t>
            </w:r>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Asam</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oleanolat</w:t>
            </w:r>
            <w:proofErr w:type="spellEnd"/>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{"citationItems":[{"id":"ITEM-1","itemData":{"DOI":"10.1021/np0601152","ISSN":"01633864","PMID":"16792424","abstract":"Anredera diffusa is used as a wound-healing agent in traditional Peruvian medicine. Acid hydrolysis of the bioactive ethanolic extract, followed by in vivo activity-guided fractionation, yielded oleanolic acid, with a wound-healing activity equivalent to 42.9% (p &lt; 0.01) above the control. The highest cicatrizant activity in mice was obtained by applying 40 μg of oleanolic acid per gram of body weight. © 2006 American Chemical Society and American Society of Pharmacognosy.","author":[{"dropping-particle":"","family":"Moura-Letts","given":"Gustavo","non-dropping-particle":"","parse-names":false,"suffix":""},{"dropping-particle":"","family":"Villegas","given":"Leon F.","non-dropping-particle":"","parse-names":false,"suffix":""},{"dropping-particle":"","family":"Marçalo","given":"Ana","non-dropping-particle":"","parse-names":false,"suffix":""},{"dropping-particle":"","family":"Vaisberg","given":"Abraham J.","non-dropping-particle":"","parse-names":false,"suffix":""},{"dropping-particle":"","family":"Hammond","given":"Gerald B.","non-dropping-particle":"","parse-names":false,"suffix":""}],"container-title":"Journal of Natural Products","id":"ITEM-1","issue":"6","issued":{"date-parts":[["2006"]]},"page":"978-979","publisher":"American Chemical Society and American Society of Pharmacognosy","title":"In vivo wound-healing activity of oleanolic acid derived from the acid hydrolysis of Anredera diffusa","type":"article-journal","volume":"69"},"uris":["http://www.mendeley.com/documents/?uuid=7ff80c6f-27f1-3b6e-8e22-b5fd5333525a"]}],"mendeley":{"formattedCitation":"&lt;sup&gt;27&lt;/sup&gt;","plainTextFormattedCitation":"27","previouslyFormattedCitation":"&lt;sup&gt;27&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27</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alkaloid</w:t>
            </w: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 yang </w:t>
            </w:r>
            <w:proofErr w:type="spellStart"/>
            <w:r w:rsidRPr="00E96C31">
              <w:rPr>
                <w:rFonts w:ascii="Times New Roman" w:hAnsi="Times New Roman" w:cs="Times New Roman"/>
              </w:rPr>
              <w:t>telah</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destilasi</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Alkaloid</w:t>
            </w:r>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Saponin</w:t>
            </w:r>
            <w:proofErr w:type="spellEnd"/>
            <w:r w:rsidRPr="00E96C31">
              <w:rPr>
                <w:rFonts w:ascii="Times New Roman" w:hAnsi="Times New Roman" w:cs="Times New Roman"/>
              </w:rPr>
              <w:t xml:space="preserve"> </w:t>
            </w: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t>-</w:t>
            </w:r>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Saponin</w:t>
            </w:r>
            <w:proofErr w:type="spellEnd"/>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{"citationItems":[{"id":"ITEM-1","itemData":{"abstract":"Luka merupakan kondisi hilangnya kontinuitas struktur jaringan. Salah satu tanaman obat yang ikut berperan dalam membantu proses penyembuhan luka adalah tanaman binahong (Anredera cordifolia). Tujuan penelitian ini untuk mengetahui efektifitas pemberian ekstrak daun binahong terhadap ketebalan jaringan granulasi dan jarak tepi luka pada penyembuhan luka sayat tikus putih (Rattus norvegicus).Studi eksperimental yang menggunakan rancangan penelitian post test only control group designdilaksanakan bulan Februari-April 2014 di Laboratorium Teknik Kimia Universitas Sriwijaya, Animal House Fakultas Kedokteran Unsri dan Laboratorium Patologi RSUP dr.Mohammad Hoesin Palembang. Sampel yang digunakan adalah tikus putih sebanyak 30 sampel dibagi menjadi 5 kelompok perlakuan yaitu kontrol negatif diberikan vaselin, ekstrak daun binahong 10%, 20%, 40% dan kontrol positif diberikan salep madecassol). Data dianalisis menggunakan program SPSS versi 19 dengan uji homogenitas, independent t-test, uji OneWay Anova dilanjutkan uji post hoc multiple comparisons. Hasil penelitian didapatkan pada pemberian ekstrak daun binahong dosis 10% (p=0.001) dan 20% (p=0.002) dibandingkan dengan salep Madecassol menunjukkan ada perbedaan bermakna rerata ketebalan jaringan granulasi dan jarak tepi luka sedangkan ekstrak daun binahong 40% dibandingkan dengan salep Madecassol pada luka sayat tikus putih menunjukkan tidak ada perbedaan bermakna rerata ketebalan jaringan granulasi dan jarak tepi luka (p=0.563). Kesimpulan penelitian ekstrak daun binahong mempunyai efek yang sama dengan salep Madecassol terhadap ketebalan jaringan granulasi dan jarak tepi luka pada luka sayat tikus putih. Dosis yang paling efektif terdapat pada ekstrak daun binahong 40%.Diperlukan penelitian lanjutan untuk membuktikan efek ekstrak daun binahong (anredera cordifolia) terhadap enzim-enzim pada saat proses inflamasi (seperti TGF, PDGF, KGF, VEGF) serta toksisitas dari daun binahong.","author":[{"dropping-particle":"","family":"Pariyana","given":"","non-dropping-particle":"","parse-names":false,"suffix":""},{"dropping-particle":"","family":"Saleh","given":"I","non-dropping-particle":"","parse-names":false,"suffix":""},{"dropping-particle":"","family":"Tjekyan","given":"S","non-dropping-particle":"","parse-names":false,"suffix":""},{"dropping-particle":"","family":"Hermansyah","given":"","non-dropping-particle":"","parse-names":false,"suffix":""}],"container-title":"Jurnal Kedokteran dan Kesehatan","id":"ITEM-1","issue":"3","issued":{"date-parts":[["2016"]]},"page":"161","title":"Efektivitas Pemberian Ekstrak Daun Binahong (Anredera Cordifolia) Terhadap Ketebalan Jaringan Granulasi dan Jarak Tepi Luka pada Penyembuhan Luka Sayat Tikus Putih (Rattus Norvegicus)","type":"article-journal","volume":"3"},"uris":["http://www.mendeley.com/documents/?uuid=8a0793a0-69cc-4734-ad89-ac47b4fd0164"]}],"mendeley":{"formattedCitation":"&lt;sup&gt;2&lt;/sup&gt;","plainTextFormattedCitation":"2","previouslyFormattedCitation":"&lt;sup&gt;2&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 yang </w:t>
            </w:r>
            <w:proofErr w:type="spellStart"/>
            <w:r w:rsidRPr="00E96C31">
              <w:rPr>
                <w:rFonts w:ascii="Times New Roman" w:hAnsi="Times New Roman" w:cs="Times New Roman"/>
              </w:rPr>
              <w:t>telah</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destilasi</w:t>
            </w:r>
            <w:proofErr w:type="spellEnd"/>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saponin</w:t>
            </w:r>
            <w:proofErr w:type="spellEnd"/>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r w:rsidR="00C4225E" w:rsidRPr="00E96C31" w:rsidTr="005D37C6">
        <w:tc>
          <w:tcPr>
            <w:tcW w:w="1135"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
        </w:tc>
        <w:tc>
          <w:tcPr>
            <w:tcW w:w="155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diffusa</w:t>
            </w:r>
            <w:proofErr w:type="spellEnd"/>
          </w:p>
        </w:tc>
        <w:tc>
          <w:tcPr>
            <w:tcW w:w="999"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Batang</w:t>
            </w:r>
            <w:proofErr w:type="spellEnd"/>
          </w:p>
        </w:tc>
        <w:tc>
          <w:tcPr>
            <w:tcW w:w="112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90%</w:t>
            </w:r>
          </w:p>
        </w:tc>
        <w:tc>
          <w:tcPr>
            <w:tcW w:w="141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Saponin</w:t>
            </w:r>
            <w:proofErr w:type="spellEnd"/>
            <w:r w:rsidRPr="00E96C31">
              <w:rPr>
                <w:rFonts w:ascii="Times New Roman" w:hAnsi="Times New Roman" w:cs="Times New Roman"/>
              </w:rPr>
              <w:t xml:space="preserve"> </w:t>
            </w:r>
          </w:p>
        </w:tc>
        <w:tc>
          <w:tcPr>
            <w:tcW w:w="567" w:type="dxa"/>
            <w:tcBorders>
              <w:top w:val="nil"/>
              <w:left w:val="nil"/>
              <w:bottom w:val="nil"/>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{"citationItems":[{"id":"ITEM-1","itemData":{"DOI":"10.1021/np0601152","ISSN":"01633864","PMID":"16792424","abstract":"Anredera diffusa is used as a wound-healing agent in traditional Peruvian medicine. Acid hydrolysis of the bioactive ethanolic extract, followed by in vivo activity-guided fractionation, yielded oleanolic acid, with a wound-healing activity equivalent to 42.9% (p &lt; 0.01) above the control. The highest cicatrizant activity in mice was obtained by applying 40 μg of oleanolic acid per gram of body weight. © 2006 American Chemical Society and American Society of Pharmacognosy.","author":[{"dropping-particle":"","family":"Moura-Letts","given":"Gustavo","non-dropping-particle":"","parse-names":false,"suffix":""},{"dropping-particle":"","family":"Villegas","given":"Leon F.","non-dropping-particle":"","parse-names":false,"suffix":""},{"dropping-particle":"","family":"Marçalo","given":"Ana","non-dropping-particle":"","parse-names":false,"suffix":""},{"dropping-particle":"","family":"Vaisberg","given":"Abraham J.","non-dropping-particle":"","parse-names":false,"suffix":""},{"dropping-particle":"","family":"Hammond","given":"Gerald B.","non-dropping-particle":"","parse-names":false,"suffix":""}],"container-title":"Journal of Natural Products","id":"ITEM-1","issue":"6","issued":{"date-parts":[["2006"]]},"page":"978-979","publisher":"American Chemical Society and American Society of Pharmacognosy","title":"In vivo wound-healing activity of oleanolic acid derived from the acid hydrolysis of Anredera diffusa","type":"article-journal","volume":"69"},"uris":["http://www.mendeley.com/documents/?uuid=7ff80c6f-27f1-3b6e-8e22-b5fd5333525a"]}],"mendeley":{"formattedCitation":"&lt;sup&gt;27&lt;/sup&gt;","plainTextFormattedCitation":"27","previouslyFormattedCitation":"&lt;sup&gt;27&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27</w:t>
            </w:r>
            <w:r w:rsidRPr="00E96C31">
              <w:rPr>
                <w:rFonts w:ascii="Times New Roman" w:hAnsi="Times New Roman" w:cs="Times New Roman"/>
              </w:rPr>
              <w:fldChar w:fldCharType="end"/>
            </w:r>
          </w:p>
        </w:tc>
      </w:tr>
      <w:tr w:rsidR="00C4225E" w:rsidRPr="00E96C31" w:rsidTr="005D37C6">
        <w:tc>
          <w:tcPr>
            <w:tcW w:w="1135"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Glikosida</w:t>
            </w:r>
            <w:proofErr w:type="spellEnd"/>
            <w:r w:rsidRPr="00E96C31">
              <w:rPr>
                <w:rFonts w:ascii="Times New Roman" w:hAnsi="Times New Roman" w:cs="Times New Roman"/>
              </w:rPr>
              <w:t xml:space="preserve"> </w:t>
            </w:r>
          </w:p>
        </w:tc>
        <w:tc>
          <w:tcPr>
            <w:tcW w:w="1559"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rPr>
              <w:t xml:space="preserve"> (Ten.) </w:t>
            </w:r>
            <w:proofErr w:type="spellStart"/>
            <w:r w:rsidRPr="00E96C31">
              <w:rPr>
                <w:rFonts w:ascii="Times New Roman" w:hAnsi="Times New Roman" w:cs="Times New Roman"/>
              </w:rPr>
              <w:t>Steenis</w:t>
            </w:r>
            <w:proofErr w:type="spellEnd"/>
          </w:p>
        </w:tc>
        <w:tc>
          <w:tcPr>
            <w:tcW w:w="999"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1127"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Maserasi</w:t>
            </w:r>
            <w:proofErr w:type="spellEnd"/>
          </w:p>
        </w:tc>
        <w:tc>
          <w:tcPr>
            <w:tcW w:w="1418"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 yang </w:t>
            </w:r>
            <w:proofErr w:type="spellStart"/>
            <w:r w:rsidRPr="00E96C31">
              <w:rPr>
                <w:rFonts w:ascii="Times New Roman" w:hAnsi="Times New Roman" w:cs="Times New Roman"/>
              </w:rPr>
              <w:t>telah</w:t>
            </w:r>
            <w:proofErr w:type="spellEnd"/>
            <w:r w:rsidRPr="00E96C31">
              <w:rPr>
                <w:rFonts w:ascii="Times New Roman" w:hAnsi="Times New Roman" w:cs="Times New Roman"/>
              </w:rPr>
              <w:t xml:space="preserve"> di </w:t>
            </w:r>
            <w:proofErr w:type="spellStart"/>
            <w:r w:rsidRPr="00E96C31">
              <w:rPr>
                <w:rFonts w:ascii="Times New Roman" w:hAnsi="Times New Roman" w:cs="Times New Roman"/>
              </w:rPr>
              <w:t>destilasi</w:t>
            </w:r>
            <w:proofErr w:type="spellEnd"/>
          </w:p>
        </w:tc>
        <w:tc>
          <w:tcPr>
            <w:tcW w:w="1417"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Glikosida</w:t>
            </w:r>
            <w:proofErr w:type="spellEnd"/>
            <w:r w:rsidRPr="00E96C31">
              <w:rPr>
                <w:rFonts w:ascii="Times New Roman" w:hAnsi="Times New Roman" w:cs="Times New Roman"/>
              </w:rPr>
              <w:t xml:space="preserve"> </w:t>
            </w:r>
          </w:p>
        </w:tc>
        <w:tc>
          <w:tcPr>
            <w:tcW w:w="567" w:type="dxa"/>
            <w:tcBorders>
              <w:top w:val="nil"/>
              <w:left w:val="nil"/>
              <w:bottom w:val="single" w:sz="4" w:space="0" w:color="auto"/>
              <w:right w:val="nil"/>
            </w:tcBorders>
            <w:shd w:val="clear" w:color="auto" w:fill="auto"/>
          </w:tcPr>
          <w:p w:rsidR="00C4225E" w:rsidRPr="00E96C31" w:rsidRDefault="00C4225E"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bl>
    <w:p w:rsidR="00C4225E" w:rsidRPr="00C4225E" w:rsidRDefault="00C4225E" w:rsidP="00C4225E">
      <w:pPr>
        <w:rPr>
          <w:rFonts w:ascii="Times New Roman" w:hAnsi="Times New Roman" w:cs="Times New Roman"/>
          <w:b/>
          <w:sz w:val="24"/>
          <w:szCs w:val="24"/>
        </w:rPr>
      </w:pPr>
    </w:p>
    <w:p w:rsidR="00C90202" w:rsidRDefault="00C90202" w:rsidP="00C4225E">
      <w:pPr>
        <w:jc w:val="both"/>
        <w:sectPr w:rsidR="00C90202" w:rsidSect="00C4225E">
          <w:pgSz w:w="12240" w:h="15840"/>
          <w:pgMar w:top="2268" w:right="1701" w:bottom="1701" w:left="2268" w:header="708" w:footer="708" w:gutter="0"/>
          <w:cols w:space="708"/>
          <w:docGrid w:linePitch="360"/>
        </w:sectPr>
      </w:pPr>
    </w:p>
    <w:p w:rsidR="00C4225E" w:rsidRDefault="00C4225E" w:rsidP="00C4225E">
      <w:pPr>
        <w:jc w:val="both"/>
        <w:rPr>
          <w:rFonts w:ascii="Times New Roman" w:hAnsi="Times New Roman" w:cs="Times New Roman"/>
          <w:i/>
          <w:sz w:val="24"/>
        </w:rPr>
      </w:pPr>
      <w:proofErr w:type="spellStart"/>
      <w:r w:rsidRPr="00C4225E">
        <w:rPr>
          <w:rFonts w:ascii="Times New Roman" w:hAnsi="Times New Roman" w:cs="Times New Roman"/>
          <w:b/>
          <w:sz w:val="24"/>
        </w:rPr>
        <w:lastRenderedPageBreak/>
        <w:t>Lampiran</w:t>
      </w:r>
      <w:proofErr w:type="spellEnd"/>
      <w:r w:rsidRPr="00C4225E">
        <w:rPr>
          <w:rFonts w:ascii="Times New Roman" w:hAnsi="Times New Roman" w:cs="Times New Roman"/>
          <w:b/>
          <w:sz w:val="24"/>
        </w:rPr>
        <w:t xml:space="preserve"> 4. </w:t>
      </w:r>
      <w:proofErr w:type="spellStart"/>
      <w:r w:rsidRPr="00E96C31">
        <w:rPr>
          <w:rFonts w:ascii="Times New Roman" w:hAnsi="Times New Roman" w:cs="Times New Roman"/>
          <w:sz w:val="24"/>
        </w:rPr>
        <w:t>Aktivitas</w:t>
      </w:r>
      <w:proofErr w:type="spellEnd"/>
      <w:r w:rsidRPr="00E96C31">
        <w:rPr>
          <w:rFonts w:ascii="Times New Roman" w:hAnsi="Times New Roman" w:cs="Times New Roman"/>
          <w:sz w:val="24"/>
        </w:rPr>
        <w:t xml:space="preserve"> </w:t>
      </w:r>
      <w:proofErr w:type="spellStart"/>
      <w:r w:rsidRPr="00E96C31">
        <w:rPr>
          <w:rFonts w:ascii="Times New Roman" w:hAnsi="Times New Roman" w:cs="Times New Roman"/>
          <w:sz w:val="24"/>
        </w:rPr>
        <w:t>penyembuhan</w:t>
      </w:r>
      <w:proofErr w:type="spellEnd"/>
      <w:r w:rsidRPr="00E96C31">
        <w:rPr>
          <w:rFonts w:ascii="Times New Roman" w:hAnsi="Times New Roman" w:cs="Times New Roman"/>
          <w:sz w:val="24"/>
        </w:rPr>
        <w:t xml:space="preserve"> </w:t>
      </w:r>
      <w:proofErr w:type="spellStart"/>
      <w:r w:rsidRPr="00E96C31">
        <w:rPr>
          <w:rFonts w:ascii="Times New Roman" w:hAnsi="Times New Roman" w:cs="Times New Roman"/>
          <w:sz w:val="24"/>
        </w:rPr>
        <w:t>luka</w:t>
      </w:r>
      <w:proofErr w:type="spellEnd"/>
      <w:r w:rsidRPr="00E96C31">
        <w:rPr>
          <w:rFonts w:ascii="Times New Roman" w:hAnsi="Times New Roman" w:cs="Times New Roman"/>
          <w:sz w:val="24"/>
        </w:rPr>
        <w:t xml:space="preserve"> </w:t>
      </w:r>
      <w:r w:rsidRPr="00C4225E">
        <w:rPr>
          <w:rFonts w:ascii="Times New Roman" w:hAnsi="Times New Roman" w:cs="Times New Roman"/>
          <w:i/>
          <w:sz w:val="24"/>
        </w:rPr>
        <w:t>family</w:t>
      </w:r>
      <w:r w:rsidRPr="00E96C31">
        <w:rPr>
          <w:rFonts w:ascii="Times New Roman" w:hAnsi="Times New Roman" w:cs="Times New Roman"/>
          <w:sz w:val="24"/>
        </w:rPr>
        <w:t xml:space="preserve"> </w:t>
      </w:r>
      <w:proofErr w:type="spellStart"/>
      <w:r w:rsidRPr="00E96C31">
        <w:rPr>
          <w:rFonts w:ascii="Times New Roman" w:hAnsi="Times New Roman" w:cs="Times New Roman"/>
          <w:sz w:val="24"/>
        </w:rPr>
        <w:t>Basellaceae</w:t>
      </w:r>
      <w:proofErr w:type="spellEnd"/>
      <w:r w:rsidRPr="00E96C31">
        <w:rPr>
          <w:rFonts w:ascii="Times New Roman" w:hAnsi="Times New Roman" w:cs="Times New Roman"/>
          <w:sz w:val="24"/>
        </w:rPr>
        <w:t xml:space="preserve"> </w:t>
      </w:r>
      <w:proofErr w:type="spellStart"/>
      <w:r w:rsidRPr="00E96C31">
        <w:rPr>
          <w:rFonts w:ascii="Times New Roman" w:hAnsi="Times New Roman" w:cs="Times New Roman"/>
          <w:sz w:val="24"/>
        </w:rPr>
        <w:t>secara</w:t>
      </w:r>
      <w:proofErr w:type="spellEnd"/>
      <w:r w:rsidRPr="00E96C31">
        <w:rPr>
          <w:rFonts w:ascii="Times New Roman" w:hAnsi="Times New Roman" w:cs="Times New Roman"/>
          <w:sz w:val="24"/>
        </w:rPr>
        <w:t xml:space="preserve"> </w:t>
      </w:r>
      <w:r w:rsidRPr="00C4225E">
        <w:rPr>
          <w:rFonts w:ascii="Times New Roman" w:hAnsi="Times New Roman" w:cs="Times New Roman"/>
          <w:i/>
          <w:sz w:val="24"/>
        </w:rPr>
        <w:t>in vitro</w:t>
      </w:r>
      <w:r w:rsidRPr="00E96C31">
        <w:rPr>
          <w:rFonts w:ascii="Times New Roman" w:hAnsi="Times New Roman" w:cs="Times New Roman"/>
          <w:sz w:val="24"/>
        </w:rPr>
        <w:t xml:space="preserve"> </w:t>
      </w:r>
      <w:proofErr w:type="spellStart"/>
      <w:r w:rsidRPr="00E96C31">
        <w:rPr>
          <w:rFonts w:ascii="Times New Roman" w:hAnsi="Times New Roman" w:cs="Times New Roman"/>
          <w:sz w:val="24"/>
        </w:rPr>
        <w:t>dan</w:t>
      </w:r>
      <w:proofErr w:type="spellEnd"/>
      <w:r w:rsidRPr="00E96C31">
        <w:rPr>
          <w:rFonts w:ascii="Times New Roman" w:hAnsi="Times New Roman" w:cs="Times New Roman"/>
          <w:sz w:val="24"/>
        </w:rPr>
        <w:t xml:space="preserve"> </w:t>
      </w:r>
      <w:r w:rsidRPr="00C4225E">
        <w:rPr>
          <w:rFonts w:ascii="Times New Roman" w:hAnsi="Times New Roman" w:cs="Times New Roman"/>
          <w:i/>
          <w:sz w:val="24"/>
        </w:rPr>
        <w:t>in vivo</w:t>
      </w:r>
    </w:p>
    <w:tbl>
      <w:tblPr>
        <w:tblStyle w:val="TableGrid"/>
        <w:tblW w:w="13183" w:type="dxa"/>
        <w:tblLayout w:type="fixed"/>
        <w:tblLook w:val="04A0" w:firstRow="1" w:lastRow="0" w:firstColumn="1" w:lastColumn="0" w:noHBand="0" w:noVBand="1"/>
      </w:tblPr>
      <w:tblGrid>
        <w:gridCol w:w="1418"/>
        <w:gridCol w:w="2835"/>
        <w:gridCol w:w="1417"/>
        <w:gridCol w:w="2552"/>
        <w:gridCol w:w="1843"/>
        <w:gridCol w:w="2551"/>
        <w:gridCol w:w="567"/>
      </w:tblGrid>
      <w:tr w:rsidR="00C90202" w:rsidRPr="00E96C31" w:rsidTr="005D37C6">
        <w:tc>
          <w:tcPr>
            <w:tcW w:w="1418"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Spesies</w:t>
            </w:r>
            <w:proofErr w:type="spellEnd"/>
          </w:p>
        </w:tc>
        <w:tc>
          <w:tcPr>
            <w:tcW w:w="2835"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Subjek</w:t>
            </w:r>
            <w:proofErr w:type="spellEnd"/>
          </w:p>
        </w:tc>
        <w:tc>
          <w:tcPr>
            <w:tcW w:w="1417"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Bagian</w:t>
            </w:r>
            <w:proofErr w:type="spellEnd"/>
            <w:r w:rsidRPr="00E96C31">
              <w:rPr>
                <w:rFonts w:ascii="Times New Roman" w:hAnsi="Times New Roman" w:cs="Times New Roman"/>
              </w:rPr>
              <w:t xml:space="preserve"> yang </w:t>
            </w:r>
            <w:proofErr w:type="spellStart"/>
            <w:r w:rsidRPr="00E96C31">
              <w:rPr>
                <w:rFonts w:ascii="Times New Roman" w:hAnsi="Times New Roman" w:cs="Times New Roman"/>
              </w:rPr>
              <w:t>digunakan</w:t>
            </w:r>
            <w:proofErr w:type="spellEnd"/>
          </w:p>
        </w:tc>
        <w:tc>
          <w:tcPr>
            <w:tcW w:w="2552"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Isolasi</w:t>
            </w:r>
            <w:proofErr w:type="spellEnd"/>
          </w:p>
        </w:tc>
        <w:tc>
          <w:tcPr>
            <w:tcW w:w="1843"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Dosis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atau</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konsentrasi</w:t>
            </w:r>
            <w:proofErr w:type="spellEnd"/>
          </w:p>
        </w:tc>
        <w:tc>
          <w:tcPr>
            <w:tcW w:w="2551"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proofErr w:type="spellStart"/>
            <w:r w:rsidRPr="00E96C31">
              <w:rPr>
                <w:rFonts w:ascii="Times New Roman" w:hAnsi="Times New Roman" w:cs="Times New Roman"/>
              </w:rPr>
              <w:t>Mekanisme</w:t>
            </w:r>
            <w:proofErr w:type="spellEnd"/>
          </w:p>
        </w:tc>
        <w:tc>
          <w:tcPr>
            <w:tcW w:w="567" w:type="dxa"/>
            <w:tcBorders>
              <w:top w:val="nil"/>
              <w:left w:val="nil"/>
              <w:bottom w:val="single" w:sz="4" w:space="0" w:color="auto"/>
              <w:right w:val="nil"/>
            </w:tcBorders>
            <w:shd w:val="clear" w:color="auto" w:fill="E7E6E6" w:themeFill="background2"/>
          </w:tcPr>
          <w:p w:rsidR="00C90202" w:rsidRPr="00E96C31" w:rsidRDefault="00C90202" w:rsidP="005D37C6">
            <w:pPr>
              <w:pStyle w:val="ListParagraph"/>
              <w:tabs>
                <w:tab w:val="left" w:pos="1134"/>
              </w:tabs>
              <w:spacing w:line="360" w:lineRule="auto"/>
              <w:ind w:left="0"/>
              <w:jc w:val="center"/>
              <w:rPr>
                <w:rFonts w:ascii="Times New Roman" w:hAnsi="Times New Roman" w:cs="Times New Roman"/>
              </w:rPr>
            </w:pPr>
            <w:r w:rsidRPr="00E96C31">
              <w:rPr>
                <w:rFonts w:ascii="Times New Roman" w:hAnsi="Times New Roman" w:cs="Times New Roman"/>
              </w:rPr>
              <w:t>Ref</w:t>
            </w:r>
          </w:p>
        </w:tc>
      </w:tr>
      <w:tr w:rsidR="00C90202" w:rsidRPr="00E96C31" w:rsidTr="005D37C6">
        <w:tc>
          <w:tcPr>
            <w:tcW w:w="13183" w:type="dxa"/>
            <w:gridSpan w:val="7"/>
            <w:tcBorders>
              <w:top w:val="single" w:sz="4" w:space="0" w:color="auto"/>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Studi</w:t>
            </w:r>
            <w:proofErr w:type="spellEnd"/>
            <w:r w:rsidRPr="00E96C31">
              <w:rPr>
                <w:rFonts w:ascii="Times New Roman" w:hAnsi="Times New Roman" w:cs="Times New Roman"/>
              </w:rPr>
              <w:t xml:space="preserve"> </w:t>
            </w:r>
            <w:r w:rsidRPr="00E96C31">
              <w:rPr>
                <w:rFonts w:ascii="Times New Roman" w:hAnsi="Times New Roman" w:cs="Times New Roman"/>
                <w:i/>
              </w:rPr>
              <w:t>in vivo</w:t>
            </w:r>
          </w:p>
        </w:tc>
      </w:tr>
      <w:tr w:rsidR="00C90202" w:rsidRPr="00E96C31" w:rsidTr="005D37C6">
        <w:tc>
          <w:tcPr>
            <w:tcW w:w="1418"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diffusa</w:t>
            </w:r>
            <w:proofErr w:type="spellEnd"/>
          </w:p>
        </w:tc>
        <w:tc>
          <w:tcPr>
            <w:tcW w:w="2835"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Style w:val="Emphasis"/>
                <w:rFonts w:ascii="Times New Roman" w:hAnsi="Times New Roman" w:cs="Times New Roman"/>
                <w:bCs/>
                <w:shd w:val="clear" w:color="auto" w:fill="FFFFFF"/>
              </w:rPr>
              <w:t>Hewan</w:t>
            </w:r>
            <w:proofErr w:type="spellEnd"/>
            <w:r w:rsidRPr="00E96C31">
              <w:rPr>
                <w:rStyle w:val="Emphasis"/>
                <w:rFonts w:ascii="Times New Roman" w:hAnsi="Times New Roman" w:cs="Times New Roman"/>
                <w:bCs/>
                <w:shd w:val="clear" w:color="auto" w:fill="FFFFFF"/>
              </w:rPr>
              <w:t xml:space="preserve"> </w:t>
            </w:r>
            <w:proofErr w:type="spellStart"/>
            <w:r w:rsidRPr="00E96C31">
              <w:rPr>
                <w:rStyle w:val="Emphasis"/>
                <w:rFonts w:ascii="Times New Roman" w:hAnsi="Times New Roman" w:cs="Times New Roman"/>
                <w:bCs/>
                <w:shd w:val="clear" w:color="auto" w:fill="FFFFFF"/>
              </w:rPr>
              <w:t>uji</w:t>
            </w:r>
            <w:proofErr w:type="spellEnd"/>
            <w:r w:rsidRPr="00E96C31">
              <w:rPr>
                <w:rStyle w:val="Emphasis"/>
                <w:rFonts w:ascii="Times New Roman" w:hAnsi="Times New Roman" w:cs="Times New Roman"/>
                <w:bCs/>
                <w:shd w:val="clear" w:color="auto" w:fill="FFFFFF"/>
              </w:rPr>
              <w:t xml:space="preserve"> </w:t>
            </w:r>
            <w:proofErr w:type="spellStart"/>
            <w:r w:rsidRPr="00E96C31">
              <w:rPr>
                <w:rStyle w:val="Emphasis"/>
                <w:rFonts w:ascii="Times New Roman" w:hAnsi="Times New Roman" w:cs="Times New Roman"/>
                <w:bCs/>
                <w:shd w:val="clear" w:color="auto" w:fill="FFFFFF"/>
              </w:rPr>
              <w:t>mencit</w:t>
            </w:r>
            <w:proofErr w:type="spellEnd"/>
            <w:r w:rsidRPr="00E96C31">
              <w:rPr>
                <w:rStyle w:val="Emphasis"/>
                <w:rFonts w:ascii="Times New Roman" w:hAnsi="Times New Roman" w:cs="Times New Roman"/>
                <w:bCs/>
                <w:shd w:val="clear" w:color="auto" w:fill="FFFFFF"/>
              </w:rPr>
              <w:t xml:space="preserve"> </w:t>
            </w:r>
            <w:proofErr w:type="spellStart"/>
            <w:r w:rsidRPr="00E96C31">
              <w:rPr>
                <w:rStyle w:val="Emphasis"/>
                <w:rFonts w:ascii="Times New Roman" w:hAnsi="Times New Roman" w:cs="Times New Roman"/>
                <w:bCs/>
                <w:shd w:val="clear" w:color="auto" w:fill="FFFFFF"/>
              </w:rPr>
              <w:t>jantan</w:t>
            </w:r>
            <w:proofErr w:type="spellEnd"/>
            <w:r w:rsidRPr="00E96C31">
              <w:rPr>
                <w:rStyle w:val="Emphasis"/>
                <w:rFonts w:ascii="Times New Roman" w:hAnsi="Times New Roman" w:cs="Times New Roman"/>
                <w:bCs/>
                <w:shd w:val="clear" w:color="auto" w:fill="FFFFFF"/>
              </w:rPr>
              <w:t xml:space="preserve"> (strain A)</w:t>
            </w:r>
          </w:p>
        </w:tc>
        <w:tc>
          <w:tcPr>
            <w:tcW w:w="1417"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batang</w:t>
            </w:r>
            <w:proofErr w:type="spellEnd"/>
          </w:p>
        </w:tc>
        <w:tc>
          <w:tcPr>
            <w:tcW w:w="2552"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maserasi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refluks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sokhletasi</w:t>
            </w:r>
            <w:proofErr w:type="spellEnd"/>
            <w:r w:rsidRPr="00E96C31">
              <w:rPr>
                <w:rFonts w:ascii="Times New Roman" w:hAnsi="Times New Roman" w:cs="Times New Roman"/>
              </w:rPr>
              <w:br/>
            </w: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90%</w:t>
            </w:r>
          </w:p>
        </w:tc>
        <w:tc>
          <w:tcPr>
            <w:tcW w:w="1843"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asam</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oleanolat</w:t>
            </w:r>
            <w:proofErr w:type="spellEnd"/>
            <w:r w:rsidRPr="00E96C31">
              <w:rPr>
                <w:rFonts w:ascii="Times New Roman" w:hAnsi="Times New Roman" w:cs="Times New Roman"/>
              </w:rPr>
              <w:t xml:space="preserve"> 40 µg/g</w:t>
            </w:r>
          </w:p>
        </w:tc>
        <w:tc>
          <w:tcPr>
            <w:tcW w:w="2551"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Meningkatkan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aktivitas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cicatrizant</w:t>
            </w:r>
            <w:proofErr w:type="spellEnd"/>
          </w:p>
        </w:tc>
        <w:tc>
          <w:tcPr>
            <w:tcW w:w="567"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{"citationItems":[{"id":"ITEM-1","itemData":{"DOI":"10.1021/np0601152","ISSN":"01633864","PMID":"16792424","abstract":"Anredera diffusa is used as a wound-healing agent in traditional Peruvian medicine. Acid hydrolysis of the bioactive ethanolic extract, followed by in vivo activity-guided fractionation, yielded oleanolic acid, with a wound-healing activity equivalent to 42.9% (p &lt; 0.01) above the control. The highest cicatrizant activity in mice was obtained by applying 40 μg of oleanolic acid per gram of body weight. © 2006 American Chemical Society and American Society of Pharmacognosy.","author":[{"dropping-particle":"","family":"Moura-Letts","given":"Gustavo","non-dropping-particle":"","parse-names":false,"suffix":""},{"dropping-particle":"","family":"Villegas","given":"Leon F.","non-dropping-particle":"","parse-names":false,"suffix":""},{"dropping-particle":"","family":"Marçalo","given":"Ana","non-dropping-particle":"","parse-names":false,"suffix":""},{"dropping-particle":"","family":"Vaisberg","given":"Abraham J.","non-dropping-particle":"","parse-names":false,"suffix":""},{"dropping-particle":"","family":"Hammond","given":"Gerald B.","non-dropping-particle":"","parse-names":false,"suffix":""}],"container-title":"Journal of Natural Products","id":"ITEM-1","issue":"6","issued":{"date-parts":[["2006"]]},"page":"978-979","publisher":"American Chemical Society and American Society of Pharmacognosy","title":"In vivo wound-healing activity of oleanolic acid derived from the acid hydrolysis of Anredera diffusa","type":"article-journal","volume":"69"},"uris":["http://www.mendeley.com/documents/?uuid=7ff80c6f-27f1-3b6e-8e22-b5fd5333525a"]}],"mendeley":{"formattedCitation":"&lt;sup&gt;27&lt;/sup&gt;","plainTextFormattedCitation":"27","previouslyFormattedCitation":"&lt;sup&gt;27&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27</w:t>
            </w:r>
            <w:r w:rsidRPr="00E96C31">
              <w:rPr>
                <w:rFonts w:ascii="Times New Roman" w:hAnsi="Times New Roman" w:cs="Times New Roman"/>
              </w:rPr>
              <w:fldChar w:fldCharType="end"/>
            </w:r>
          </w:p>
        </w:tc>
      </w:tr>
      <w:tr w:rsidR="00C90202" w:rsidRPr="00E96C31" w:rsidTr="005D37C6">
        <w:tc>
          <w:tcPr>
            <w:tcW w:w="1418"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i/>
              </w:rPr>
              <w:t xml:space="preserve"> </w:t>
            </w:r>
            <w:r w:rsidRPr="00E96C31">
              <w:rPr>
                <w:rFonts w:ascii="Times New Roman" w:hAnsi="Times New Roman" w:cs="Times New Roman"/>
              </w:rPr>
              <w:t>(Ten.)</w:t>
            </w:r>
          </w:p>
        </w:tc>
        <w:tc>
          <w:tcPr>
            <w:tcW w:w="2835"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Style w:val="Emphasis"/>
                <w:rFonts w:ascii="Times New Roman" w:hAnsi="Times New Roman" w:cs="Times New Roman"/>
                <w:bCs/>
                <w:i w:val="0"/>
                <w:shd w:val="clear" w:color="auto" w:fill="FFFFFF"/>
              </w:rPr>
            </w:pPr>
            <w:proofErr w:type="spellStart"/>
            <w:r w:rsidRPr="00E96C31">
              <w:rPr>
                <w:rFonts w:ascii="Times New Roman" w:hAnsi="Times New Roman" w:cs="Times New Roman"/>
              </w:rPr>
              <w:t>Hewan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uji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tikus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wistar</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jantan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Rattus</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norvegicus</w:t>
            </w:r>
            <w:proofErr w:type="spellEnd"/>
            <w:r w:rsidRPr="00E96C31">
              <w:rPr>
                <w:rFonts w:ascii="Times New Roman" w:hAnsi="Times New Roman" w:cs="Times New Roman"/>
              </w:rPr>
              <w:t xml:space="preserve">) </w:t>
            </w:r>
          </w:p>
        </w:tc>
        <w:tc>
          <w:tcPr>
            <w:tcW w:w="141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2552"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w:t>
            </w:r>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etanol</w:t>
            </w:r>
            <w:proofErr w:type="spellEnd"/>
          </w:p>
        </w:tc>
        <w:tc>
          <w:tcPr>
            <w:tcW w:w="1843"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40% </w:t>
            </w:r>
          </w:p>
        </w:tc>
        <w:tc>
          <w:tcPr>
            <w:tcW w:w="2551"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Menurunkan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jarak</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tepi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luka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jaringan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granulasi</w:t>
            </w:r>
            <w:proofErr w:type="spellEnd"/>
          </w:p>
        </w:tc>
        <w:tc>
          <w:tcPr>
            <w:tcW w:w="56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{"citationItems":[{"id":"ITEM-1","itemData":{"abstract":"Luka merupakan kondisi hilangnya kontinuitas struktur jaringan. Salah satu tanaman obat yang ikut berperan dalam membantu proses penyembuhan luka adalah tanaman binahong (Anredera cordifolia). Tujuan penelitian ini untuk mengetahui efektifitas pemberian ekstrak daun binahong terhadap ketebalan jaringan granulasi dan jarak tepi luka pada penyembuhan luka sayat tikus putih (Rattus norvegicus).Studi eksperimental yang menggunakan rancangan penelitian post test only control group designdilaksanakan bulan Februari-April 2014 di Laboratorium Teknik Kimia Universitas Sriwijaya, Animal House Fakultas Kedokteran Unsri dan Laboratorium Patologi RSUP dr.Mohammad Hoesin Palembang. Sampel yang digunakan adalah tikus putih sebanyak 30 sampel dibagi menjadi 5 kelompok perlakuan yaitu kontrol negatif diberikan vaselin, ekstrak daun binahong 10%, 20%, 40% dan kontrol positif diberikan salep madecassol). Data dianalisis menggunakan program SPSS versi 19 dengan uji homogenitas, independent t-test, uji OneWay Anova dilanjutkan uji post hoc multiple comparisons. Hasil penelitian didapatkan pada pemberian ekstrak daun binahong dosis 10% (p=0.001) dan 20% (p=0.002) dibandingkan dengan salep Madecassol menunjukkan ada perbedaan bermakna rerata ketebalan jaringan granulasi dan jarak tepi luka sedangkan ekstrak daun binahong 40% dibandingkan dengan salep Madecassol pada luka sayat tikus putih menunjukkan tidak ada perbedaan bermakna rerata ketebalan jaringan granulasi dan jarak tepi luka (p=0.563). Kesimpulan penelitian ekstrak daun binahong mempunyai efek yang sama dengan salep Madecassol terhadap ketebalan jaringan granulasi dan jarak tepi luka pada luka sayat tikus putih. Dosis yang paling efektif terdapat pada ekstrak daun binahong 40%.Diperlukan penelitian lanjutan untuk membuktikan efek ekstrak daun binahong (anredera cordifolia) terhadap enzim-enzim pada saat proses inflamasi (seperti TGF, PDGF, KGF, VEGF) serta toksisitas dari daun binahong.","author":[{"dropping-particle":"","family":"Pariyana","given":"","non-dropping-particle":"","parse-names":false,"suffix":""},{"dropping-particle":"","family":"Saleh","given":"I","non-dropping-particle":"","parse-names":false,"suffix":""},{"dropping-particle":"","family":"Tjekyan","given":"S","non-dropping-particle":"","parse-names":false,"suffix":""},{"dropping-particle":"","family":"Hermansyah","given":"","non-dropping-particle":"","parse-names":false,"suffix":""}],"container-title":"Jurnal Kedokteran dan Kesehatan","id":"ITEM-1","issue":"3","issued":{"date-parts":[["2016"]]},"page":"161","title":"Efektivitas Pemberian Ekstrak Daun Binahong (Anredera Cordifolia) Terhadap Ketebalan Jaringan Granulasi dan Jarak Tepi Luka pada Penyembuhan Luka Sayat Tikus Putih (Rattus Norvegicus)","type":"article-journal","volume":"3"},"uris":["http://www.mendeley.com/documents/?uuid=8a0793a0-69cc-4734-ad89-ac47b4fd0164"]}],"mendeley":{"formattedCitation":"&lt;sup&gt;2&lt;/sup&gt;","plainTextFormattedCitation":"2","previouslyFormattedCitation":"&lt;sup&gt;2&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w:t>
            </w:r>
            <w:r w:rsidRPr="00E96C31">
              <w:rPr>
                <w:rFonts w:ascii="Times New Roman" w:hAnsi="Times New Roman" w:cs="Times New Roman"/>
              </w:rPr>
              <w:fldChar w:fldCharType="end"/>
            </w:r>
          </w:p>
        </w:tc>
      </w:tr>
      <w:tr w:rsidR="00C90202" w:rsidRPr="00E96C31" w:rsidTr="005D37C6">
        <w:tc>
          <w:tcPr>
            <w:tcW w:w="1418"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
        </w:tc>
        <w:tc>
          <w:tcPr>
            <w:tcW w:w="2835"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Hewan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uji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mencit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i/>
              </w:rPr>
              <w:t>Mus</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musculus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jantan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penderita</w:t>
            </w:r>
            <w:proofErr w:type="spellEnd"/>
            <w:r w:rsidRPr="00E96C31">
              <w:rPr>
                <w:rFonts w:ascii="Times New Roman" w:hAnsi="Times New Roman" w:cs="Times New Roman"/>
              </w:rPr>
              <w:t xml:space="preserve"> diabetes</w:t>
            </w:r>
          </w:p>
        </w:tc>
        <w:tc>
          <w:tcPr>
            <w:tcW w:w="141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2552"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w:t>
            </w:r>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w:t>
            </w:r>
          </w:p>
        </w:tc>
        <w:tc>
          <w:tcPr>
            <w:tcW w:w="1843"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35%</w:t>
            </w:r>
          </w:p>
        </w:tc>
        <w:tc>
          <w:tcPr>
            <w:tcW w:w="2551"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Meningkatkan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kepadatan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kolagen</w:t>
            </w:r>
            <w:proofErr w:type="spellEnd"/>
            <w:r w:rsidRPr="00E96C31">
              <w:rPr>
                <w:rFonts w:ascii="Times New Roman" w:hAnsi="Times New Roman" w:cs="Times New Roman"/>
              </w:rPr>
              <w:t xml:space="preserve"> </w:t>
            </w:r>
          </w:p>
        </w:tc>
        <w:tc>
          <w:tcPr>
            <w:tcW w:w="56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{"citationItems":[{"id":"ITEM-1","itemData":{"DOI":"10.19087/imv.2019.8.4.456","abstract":"Tanaman obat berkembang pesat dikalangan masyarakat karena tanaman obat berkhasiat untuk menyembuhkan berbagai penyakit. Salah satu tanaman obat yang berkembang adalah tanaman binahong (Anredera cordifolia) yang terbukti mampu mempercepat luka. Penelitian ini bertujuan untuk mengetahui efektivitas pemberian ekstrak daun binahong terhadap proses penyembuhan luka insisi pada kulit mencit (Mus musculus) penderita diabetes melitus. Hewan coba yang digunakan adalah mencit berjumlah 24 ekor, berjenis kelamin jantan, dengan berat badan 30-40 gram. Luka insisi sepanjang 1-1,5 cm dibuat pada punggung mencit menggunakan scaple. Penelitian ini menggunakan Rancangan Acak lengkap (RAL) dengan empat perlakuan dan setiap perlakuan terdiri dari enam ulangan. Penanganan dilakukan satu kali dalam sehari selama lima hari yaitu P1 diberi gel placebo (kontrol, tanpa ekstrak daun binahong), P2 (ekstrak daun binahong 25%), P3 (ekstrak daun binahong 30%), P4 (ekstrak daun binahong 35%). Parameter proses penyembuhan 7luka yang diamati adalah kepadatan kolagen, diamati secara mikroskopis. Terbentuknya kolagen yang semakin padat menunjukkan proses kesembuhan luka yang semakin baik. Hasil penelitian menunjukkan bahwa ekstrak daun binahong dengan konsentrasi 35% menunjukkan hasil kesembuhan yang lebih cepat pada luka insisi mencit diabetes dibandingkan dengan gel placebo (kontrol), ekstrak daun binahong konsentrasi 25% dan 30%, yang dilihat dari gambaran mikroskopis histopatologi. Kepadatan kolagen yang paling padat ditemukan pada perlakuan gel ekstrak daun binahong konsentrasi 35%. Pemberian gel ekstrak daun binahong dapat meningkatkan kepadatan kolagen dan mempercepat proses penyembuhan luka insisi mencit dengan komplikasi diabetes dimana konsentrasi 35% lebih efektif dibandingkan dengan konsentrasi 30% dan 25%.","author":[{"dropping-particle":"","family":"Sihotang","given":"Tanti Fitri","non-dropping-particle":"","parse-names":false,"suffix":""},{"dropping-particle":"","family":"Jayawardhita","given":"Anak Agung Gde","non-dropping-particle":"","parse-names":false,"suffix":""},{"dropping-particle":"","family":"Berata","given":"I Ketut","non-dropping-particle":"","parse-names":false,"suffix":""}],"container-title":"Indonesia Medicus Veterinus","id":"ITEM-1","issue":"4","issued":{"date-parts":[["2019"]]},"page":"456-463","title":"Efektivitas Pemberian Gel Ekstrak Daun Binahong Terhadap Kepadatan Kolagen Pada Penyembuhan Luka Insisi Mencit Diabetes","type":"article-journal","volume":"8"},"uris":["http://www.mendeley.com/documents/?uuid=294d5d6f-79b8-49a5-9b01-8b9b7938867a"]}],"mendeley":{"formattedCitation":"&lt;sup&gt;23&lt;/sup&gt;","plainTextFormattedCitation":"23","previouslyFormattedCitation":"&lt;sup&gt;23&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23</w:t>
            </w:r>
            <w:r w:rsidRPr="00E96C31">
              <w:rPr>
                <w:rFonts w:ascii="Times New Roman" w:hAnsi="Times New Roman" w:cs="Times New Roman"/>
              </w:rPr>
              <w:fldChar w:fldCharType="end"/>
            </w:r>
          </w:p>
        </w:tc>
      </w:tr>
      <w:tr w:rsidR="00C90202" w:rsidRPr="00E96C31" w:rsidTr="005D37C6">
        <w:tc>
          <w:tcPr>
            <w:tcW w:w="1418"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
        </w:tc>
        <w:tc>
          <w:tcPr>
            <w:tcW w:w="2835"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Hewan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uji</w:t>
            </w:r>
            <w:proofErr w:type="spellEnd"/>
            <w:r w:rsidRPr="00E96C31">
              <w:rPr>
                <w:rFonts w:ascii="Times New Roman" w:hAnsi="Times New Roman" w:cs="Times New Roman"/>
              </w:rPr>
              <w:t xml:space="preserve"> marmot</w:t>
            </w:r>
          </w:p>
        </w:tc>
        <w:tc>
          <w:tcPr>
            <w:tcW w:w="141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2552"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maserasi</w:t>
            </w:r>
            <w:proofErr w:type="spellEnd"/>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etanol</w:t>
            </w:r>
            <w:proofErr w:type="spellEnd"/>
          </w:p>
        </w:tc>
        <w:tc>
          <w:tcPr>
            <w:tcW w:w="1843"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40%</w:t>
            </w:r>
          </w:p>
        </w:tc>
        <w:tc>
          <w:tcPr>
            <w:tcW w:w="2551"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Meningkatkan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persentase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penyembuhan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luka</w:t>
            </w:r>
            <w:proofErr w:type="spellEnd"/>
          </w:p>
        </w:tc>
        <w:tc>
          <w:tcPr>
            <w:tcW w:w="567" w:type="dxa"/>
            <w:tcBorders>
              <w:top w:val="nil"/>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{"citationItems":[{"id":"ITEM-1","itemData":{"ISSN":"1907-3062","abstract":"BACKGROUND Wound healing is a normal biological process in response to skin Injury. Anredera cordifolia(Ten.) Steen is is used traditionally to treat various diseases, including skin disease, hypertension, inflammation and gout. The aim of this study was to evaluate the wound healing activity of the leaves of binahong or Anredera cordifolia (Ten.) Steen is in guinea pigs. METHODS Thirty guinea pigs (1.5-2 kg, 3-4 months old) were randomly divided into 5 groups. Group I was given distilled water (negative control), group II was treated with povidone iodine 10% (positive control), while groups III-V were treated with ethanolic extract of binahong leaves at concentrations of 10%, 20%, and 40%, respectively. Before treatment, a 2 ern long excision wound was made on each animal. All interventions were given by the topical route, twice daily for 15 days. At the end of l S","author":[{"dropping-particle":"","family":"Miladiyah","given":"Isnatin","non-dropping-particle":"","parse-names":false,"suffix":""},{"dropping-particle":"","family":"Prabowo","given":"Bayu Rizky","non-dropping-particle":"","parse-names":false,"suffix":""}],"container-title":"Universa Medicina","id":"ITEM-1","issue":"1","issued":{"date-parts":[["2012"]]},"page":"4-11","title":"Ethanolic Extract of Anredera cordifolia (Ten.) Steenis Leaves Improved Wound Healing in Guinea Pigs","type":"article-journal","volume":"31"},"uris":["http://www.mendeley.com/documents/?uuid=923993b5-0f9f-4bf3-99bf-7c65419072b2"]}],"mendeley":{"formattedCitation":"&lt;sup&gt;25&lt;/sup&gt;","plainTextFormattedCitation":"25","previouslyFormattedCitation":"&lt;sup&gt;25&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25</w:t>
            </w:r>
            <w:r w:rsidRPr="00E96C31">
              <w:rPr>
                <w:rFonts w:ascii="Times New Roman" w:hAnsi="Times New Roman" w:cs="Times New Roman"/>
              </w:rPr>
              <w:fldChar w:fldCharType="end"/>
            </w:r>
          </w:p>
        </w:tc>
      </w:tr>
      <w:tr w:rsidR="00C90202" w:rsidRPr="00E96C31" w:rsidTr="005D37C6">
        <w:tc>
          <w:tcPr>
            <w:tcW w:w="1418"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i/>
              </w:rPr>
            </w:pPr>
          </w:p>
        </w:tc>
        <w:tc>
          <w:tcPr>
            <w:tcW w:w="2835"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hewan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uji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tikus</w:t>
            </w:r>
            <w:proofErr w:type="spellEnd"/>
            <w:r w:rsidRPr="00E96C31">
              <w:rPr>
                <w:rFonts w:ascii="Times New Roman" w:hAnsi="Times New Roman" w:cs="Times New Roman"/>
              </w:rPr>
              <w:t xml:space="preserve"> yang </w:t>
            </w:r>
            <w:proofErr w:type="spellStart"/>
            <w:r w:rsidRPr="00E96C31">
              <w:rPr>
                <w:rFonts w:ascii="Times New Roman" w:hAnsi="Times New Roman" w:cs="Times New Roman"/>
              </w:rPr>
              <w:t>diinduksi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alloxan</w:t>
            </w:r>
            <w:proofErr w:type="spellEnd"/>
          </w:p>
        </w:tc>
        <w:tc>
          <w:tcPr>
            <w:tcW w:w="1417"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2552"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maserasi</w:t>
            </w:r>
            <w:proofErr w:type="spellEnd"/>
          </w:p>
          <w:p w:rsidR="00C90202" w:rsidRDefault="00C90202" w:rsidP="00C90202">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96%</w:t>
            </w:r>
          </w:p>
          <w:p w:rsidR="00C90202" w:rsidRDefault="00C90202" w:rsidP="00C90202">
            <w:pPr>
              <w:pStyle w:val="ListParagraph"/>
              <w:tabs>
                <w:tab w:val="left" w:pos="1134"/>
              </w:tabs>
              <w:spacing w:line="360" w:lineRule="auto"/>
              <w:ind w:left="0"/>
              <w:jc w:val="both"/>
              <w:rPr>
                <w:rFonts w:ascii="Times New Roman" w:hAnsi="Times New Roman" w:cs="Times New Roman"/>
              </w:rPr>
            </w:pPr>
          </w:p>
          <w:p w:rsidR="00C90202" w:rsidRDefault="00C90202" w:rsidP="00C90202">
            <w:pPr>
              <w:pStyle w:val="ListParagraph"/>
              <w:tabs>
                <w:tab w:val="left" w:pos="1134"/>
              </w:tabs>
              <w:spacing w:line="360" w:lineRule="auto"/>
              <w:ind w:left="0"/>
              <w:jc w:val="both"/>
              <w:rPr>
                <w:rFonts w:ascii="Times New Roman" w:hAnsi="Times New Roman" w:cs="Times New Roman"/>
              </w:rPr>
            </w:pPr>
          </w:p>
          <w:p w:rsidR="00C90202" w:rsidRDefault="00C90202" w:rsidP="00C90202">
            <w:pPr>
              <w:pStyle w:val="ListParagraph"/>
              <w:tabs>
                <w:tab w:val="left" w:pos="1134"/>
              </w:tabs>
              <w:spacing w:line="360" w:lineRule="auto"/>
              <w:ind w:left="0"/>
              <w:jc w:val="both"/>
              <w:rPr>
                <w:rFonts w:ascii="Times New Roman" w:hAnsi="Times New Roman" w:cs="Times New Roman"/>
              </w:rPr>
            </w:pPr>
          </w:p>
          <w:p w:rsidR="00C90202" w:rsidRPr="00C90202" w:rsidRDefault="00C90202" w:rsidP="00C90202">
            <w:pPr>
              <w:pStyle w:val="ListParagraph"/>
              <w:tabs>
                <w:tab w:val="left" w:pos="1134"/>
              </w:tabs>
              <w:spacing w:line="360" w:lineRule="auto"/>
              <w:ind w:left="0"/>
              <w:jc w:val="both"/>
              <w:rPr>
                <w:rFonts w:ascii="Times New Roman" w:hAnsi="Times New Roman" w:cs="Times New Roman"/>
              </w:rPr>
            </w:pPr>
          </w:p>
        </w:tc>
        <w:tc>
          <w:tcPr>
            <w:tcW w:w="1843"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gel 35%</w:t>
            </w:r>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
        </w:tc>
        <w:tc>
          <w:tcPr>
            <w:tcW w:w="2551"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Menurunkan</w:t>
            </w:r>
            <w:proofErr w:type="spellEnd"/>
            <w:r w:rsidRPr="00E96C31">
              <w:rPr>
                <w:rFonts w:ascii="Times New Roman" w:hAnsi="Times New Roman" w:cs="Times New Roman"/>
              </w:rPr>
              <w:t xml:space="preserve"> diameter </w:t>
            </w:r>
            <w:proofErr w:type="spellStart"/>
            <w:r w:rsidRPr="00E96C31">
              <w:rPr>
                <w:rFonts w:ascii="Times New Roman" w:hAnsi="Times New Roman" w:cs="Times New Roman"/>
              </w:rPr>
              <w:t>luka</w:t>
            </w:r>
            <w:proofErr w:type="spellEnd"/>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
        </w:tc>
        <w:tc>
          <w:tcPr>
            <w:tcW w:w="567"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{"citationItems":[{"id":"ITEM-1","itemData":{"ISBN":"1755-4535 VO - 5","abstract":"Among the mature multilevel converter topologies, cascaded multilevel H-bridge inverter is promising one which is an alternative for grid-connected photovoltaic/wind-power generator, flexible alternating current systems and motor drive applications. In this study, a cascaded multilevel inverter with low-frequency three-phase transformers and a single dc power source is proposed. This new topology aims to reduce the number of components and so reduce the complexity of the circuit. As three-phase transformer is employed harmonic components of the output voltage and switching losses can be diminished considerably. To evaluate its relative performance it is compared with the conventional converters. Computer aided simulations are performed through Matlab/Simulink and simulation results are presented to verify the performance of proposed cascaded multilevel inverter. Further it is validated with prototype experiments.","author":[{"dropping-particle":"","family":"Kintoko","given":"","non-dropping-particle":"","parse-names":false,"suffix":""},{"dropping-particle":"","family":"Desmayanti","given":"Astri","non-dropping-particle":"","parse-names":false,"suffix":""}],"container-title":"Jurnal Kedokteran dan Kesehatan Indonesia","id":"ITEM-1","issue":"5","issued":{"date-parts":[["2016"]]},"page":"227-236","title":"The effectivity of ethanolic extract of binahong leaves (anredera cordifolia (tenore) steen) gel in the management of diabetic wound healing in aloxan-induced rat models","type":"article-journal","volume":"7"},"uris":["http://www.mendeley.com/documents/?uuid=5e929624-0b15-42dd-9262-d9bd7b983f9e"]}],"mendeley":{"formattedCitation":"&lt;sup&gt;24&lt;/sup&gt;","plainTextFormattedCitation":"24","previouslyFormattedCitation":"&lt;sup&gt;24&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24</w:t>
            </w:r>
            <w:r w:rsidRPr="00E96C31">
              <w:rPr>
                <w:rFonts w:ascii="Times New Roman" w:hAnsi="Times New Roman" w:cs="Times New Roman"/>
              </w:rPr>
              <w:fldChar w:fldCharType="end"/>
            </w:r>
          </w:p>
        </w:tc>
      </w:tr>
      <w:tr w:rsidR="00C90202" w:rsidRPr="00E96C31" w:rsidTr="005D37C6">
        <w:tc>
          <w:tcPr>
            <w:tcW w:w="13183" w:type="dxa"/>
            <w:gridSpan w:val="7"/>
            <w:tcBorders>
              <w:top w:val="single" w:sz="4" w:space="0" w:color="auto"/>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lastRenderedPageBreak/>
              <w:t>Studi</w:t>
            </w:r>
            <w:proofErr w:type="spellEnd"/>
            <w:r w:rsidRPr="00E96C31">
              <w:rPr>
                <w:rFonts w:ascii="Times New Roman" w:hAnsi="Times New Roman" w:cs="Times New Roman"/>
              </w:rPr>
              <w:t xml:space="preserve"> in vitro</w:t>
            </w:r>
          </w:p>
        </w:tc>
      </w:tr>
      <w:tr w:rsidR="00C90202" w:rsidRPr="00E96C31" w:rsidTr="005D37C6">
        <w:tc>
          <w:tcPr>
            <w:tcW w:w="1418" w:type="dxa"/>
            <w:tcBorders>
              <w:top w:val="single" w:sz="4" w:space="0" w:color="auto"/>
              <w:left w:val="nil"/>
              <w:bottom w:val="nil"/>
              <w:right w:val="nil"/>
            </w:tcBorders>
          </w:tcPr>
          <w:p w:rsidR="00C90202" w:rsidRPr="00E96C31" w:rsidRDefault="00C90202" w:rsidP="005D37C6">
            <w:pPr>
              <w:tabs>
                <w:tab w:val="left" w:pos="1134"/>
              </w:tabs>
              <w:spacing w:line="360" w:lineRule="auto"/>
              <w:jc w:val="both"/>
              <w:rPr>
                <w:rFonts w:ascii="Times New Roman" w:hAnsi="Times New Roman" w:cs="Times New Roman"/>
              </w:rPr>
            </w:pPr>
            <w:proofErr w:type="spellStart"/>
            <w:r w:rsidRPr="00E96C31">
              <w:rPr>
                <w:rFonts w:ascii="Times New Roman" w:hAnsi="Times New Roman" w:cs="Times New Roman"/>
                <w:i/>
              </w:rPr>
              <w:t>Anredera</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cordifolia</w:t>
            </w:r>
            <w:proofErr w:type="spellEnd"/>
            <w:r w:rsidRPr="00E96C31">
              <w:rPr>
                <w:rFonts w:ascii="Times New Roman" w:hAnsi="Times New Roman" w:cs="Times New Roman"/>
                <w:i/>
              </w:rPr>
              <w:t xml:space="preserve"> </w:t>
            </w:r>
            <w:r w:rsidRPr="00E96C31">
              <w:rPr>
                <w:rFonts w:ascii="Times New Roman" w:hAnsi="Times New Roman" w:cs="Times New Roman"/>
              </w:rPr>
              <w:t>(Ten.)</w:t>
            </w:r>
          </w:p>
          <w:p w:rsidR="00C90202" w:rsidRPr="00E96C31" w:rsidRDefault="00C90202" w:rsidP="005D37C6">
            <w:pPr>
              <w:tabs>
                <w:tab w:val="left" w:pos="1134"/>
              </w:tabs>
              <w:spacing w:line="360" w:lineRule="auto"/>
              <w:jc w:val="both"/>
              <w:rPr>
                <w:rFonts w:ascii="Times New Roman" w:hAnsi="Times New Roman" w:cs="Times New Roman"/>
                <w:i/>
              </w:rPr>
            </w:pPr>
          </w:p>
        </w:tc>
        <w:tc>
          <w:tcPr>
            <w:tcW w:w="2835" w:type="dxa"/>
            <w:tcBorders>
              <w:top w:val="single" w:sz="4" w:space="0" w:color="auto"/>
              <w:left w:val="nil"/>
              <w:bottom w:val="nil"/>
              <w:right w:val="nil"/>
            </w:tcBorders>
          </w:tcPr>
          <w:p w:rsidR="00C90202" w:rsidRPr="00E96C31" w:rsidRDefault="00C90202" w:rsidP="005D37C6">
            <w:pPr>
              <w:tabs>
                <w:tab w:val="left" w:pos="1134"/>
              </w:tabs>
              <w:spacing w:line="360" w:lineRule="auto"/>
              <w:jc w:val="both"/>
              <w:rPr>
                <w:rStyle w:val="Emphasis"/>
                <w:rFonts w:ascii="Times New Roman" w:hAnsi="Times New Roman" w:cs="Times New Roman"/>
                <w:bCs/>
                <w:i w:val="0"/>
                <w:iCs w:val="0"/>
                <w:shd w:val="clear" w:color="auto" w:fill="FFFFFF"/>
              </w:rPr>
            </w:pPr>
            <w:proofErr w:type="spellStart"/>
            <w:r w:rsidRPr="00E96C31">
              <w:rPr>
                <w:rStyle w:val="Emphasis"/>
                <w:rFonts w:ascii="Times New Roman" w:hAnsi="Times New Roman" w:cs="Times New Roman"/>
                <w:bCs/>
                <w:shd w:val="clear" w:color="auto" w:fill="FFFFFF"/>
              </w:rPr>
              <w:t>Sel</w:t>
            </w:r>
            <w:proofErr w:type="spellEnd"/>
            <w:r w:rsidRPr="00E96C31">
              <w:rPr>
                <w:rStyle w:val="Emphasis"/>
                <w:rFonts w:ascii="Times New Roman" w:hAnsi="Times New Roman" w:cs="Times New Roman"/>
                <w:bCs/>
                <w:shd w:val="clear" w:color="auto" w:fill="FFFFFF"/>
              </w:rPr>
              <w:t xml:space="preserve"> NIH-3T3</w:t>
            </w:r>
          </w:p>
        </w:tc>
        <w:tc>
          <w:tcPr>
            <w:tcW w:w="1417"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Daun</w:t>
            </w:r>
            <w:proofErr w:type="spellEnd"/>
          </w:p>
        </w:tc>
        <w:tc>
          <w:tcPr>
            <w:tcW w:w="2552"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maserasi</w:t>
            </w:r>
            <w:proofErr w:type="spellEnd"/>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etanol</w:t>
            </w:r>
            <w:proofErr w:type="spellEnd"/>
            <w:r w:rsidRPr="00E96C31">
              <w:rPr>
                <w:rFonts w:ascii="Times New Roman" w:hAnsi="Times New Roman" w:cs="Times New Roman"/>
              </w:rPr>
              <w:t xml:space="preserve"> 70%</w:t>
            </w:r>
          </w:p>
        </w:tc>
        <w:tc>
          <w:tcPr>
            <w:tcW w:w="1843"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62,5 µg/mL</w:t>
            </w:r>
          </w:p>
        </w:tc>
        <w:tc>
          <w:tcPr>
            <w:tcW w:w="2551"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Meningkatkan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laju</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proliferasi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sel</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fibroblas</w:t>
            </w:r>
            <w:proofErr w:type="spellEnd"/>
            <w:r w:rsidRPr="00E96C31">
              <w:rPr>
                <w:rFonts w:ascii="Times New Roman" w:hAnsi="Times New Roman" w:cs="Times New Roman"/>
              </w:rPr>
              <w:t xml:space="preserve"> 3T3.</w:t>
            </w:r>
          </w:p>
        </w:tc>
        <w:tc>
          <w:tcPr>
            <w:tcW w:w="567" w:type="dxa"/>
            <w:tcBorders>
              <w:top w:val="single" w:sz="4" w:space="0" w:color="auto"/>
              <w:left w:val="nil"/>
              <w:bottom w:val="nil"/>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{"citationItems":[{"id":"ITEM-1","itemData":{"abstract":"Anredera cordifolia (Ten.) Steenis, also known as Binahong, is a family of Basellaceae, a medicinal plant that had been growing well for many years. Binahong leaf extract can stimulate fibroblast and collagen formation which will accelerate the process of wound healing. This study was carried out to observe the proliferation kinetics and migratory activity of 3T3 fibroblast cell lines induced by Anredera cordifolia (Ten.) Steenis ethanol extract. Anredera cordifolia (Ten.) Steenis powder was extracted by maceration with 70% ethanol. Proliferation activity was assessed by using the MTT assay. Cell migration activity was determined using scratch assay. The data obtained were analyzed statistically with data analysis, descriptive analysis, and continued with the bivariate analysis of correlation between case groups. The results of phytochemical analysis test on the content of Binahong leaf extract’s secondary metabolites confirmed the presence of saponins, tannins, alkaloids, triterpenoid, flavonoid, phenolics, steroids, and glycosides. Fibroblast cell proliferation was increased from 0 h until 72 h with the highest proliferation rate at the concentration of 62.5 µg/mL (127.89 ± 16.12). The results showed that there was a significant difference in the mean proliferation rate of fibroblast cells between the Binahong leaf extract, Aloclair® and the control group (p value = 0.0001). Anredera cordifolia (Ten.) Steenis leaf extract has chemical compounds, such as saponins, tannins, alkaloids, triterpenoid, flavonoid, phenolics, steroids, and glycosides. It is potentially effective as a wound healing agent which stimulates proliferation of fibroblast cells.","author":[{"dropping-particle":"al","family":"Hanafiah","given":"Olivia Avriyanti et","non-dropping-particle":"","parse-names":false,"suffix":""}],"container-title":"Journal of International Dental and Medical Research","id":"ITEM-1","issue":"3","issued":{"date-parts":[["2019"]]},"page":"854-858","title":"Wound Healing Activity of Binahong (Anredera cordifolia (Ten.) Steenis) Leaves Extract towards NIH-3T3 Fibroblast Cells","type":"article-journal","volume":"12"},"uris":["http://www.mendeley.com/documents/?uuid=d3aaa4c9-dc2a-498a-a196-8760b7166bef"]}],"mendeley":{"formattedCitation":"&lt;sup&gt;26&lt;/sup&gt;","plainTextFormattedCitation":"26","previouslyFormattedCitation":"&lt;sup&gt;26&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26</w:t>
            </w:r>
            <w:r w:rsidRPr="00E96C31">
              <w:rPr>
                <w:rFonts w:ascii="Times New Roman" w:hAnsi="Times New Roman" w:cs="Times New Roman"/>
              </w:rPr>
              <w:fldChar w:fldCharType="end"/>
            </w:r>
          </w:p>
        </w:tc>
      </w:tr>
      <w:tr w:rsidR="00C90202" w:rsidRPr="00E96C31" w:rsidTr="005D37C6">
        <w:tc>
          <w:tcPr>
            <w:tcW w:w="1418" w:type="dxa"/>
            <w:tcBorders>
              <w:top w:val="nil"/>
              <w:left w:val="nil"/>
              <w:bottom w:val="single" w:sz="4" w:space="0" w:color="auto"/>
              <w:right w:val="nil"/>
            </w:tcBorders>
          </w:tcPr>
          <w:p w:rsidR="00C90202" w:rsidRPr="00E96C31" w:rsidRDefault="00C90202" w:rsidP="005D37C6">
            <w:pPr>
              <w:tabs>
                <w:tab w:val="left" w:pos="1134"/>
              </w:tabs>
              <w:spacing w:line="360" w:lineRule="auto"/>
              <w:jc w:val="both"/>
              <w:rPr>
                <w:rFonts w:ascii="Times New Roman" w:hAnsi="Times New Roman" w:cs="Times New Roman"/>
                <w:i/>
              </w:rPr>
            </w:pPr>
            <w:proofErr w:type="spellStart"/>
            <w:r w:rsidRPr="00E96C31">
              <w:rPr>
                <w:rFonts w:ascii="Times New Roman" w:hAnsi="Times New Roman" w:cs="Times New Roman"/>
                <w:i/>
              </w:rPr>
              <w:t>Ullucus</w:t>
            </w:r>
            <w:proofErr w:type="spellEnd"/>
            <w:r w:rsidRPr="00E96C31">
              <w:rPr>
                <w:rFonts w:ascii="Times New Roman" w:hAnsi="Times New Roman" w:cs="Times New Roman"/>
                <w:i/>
              </w:rPr>
              <w:t xml:space="preserve"> </w:t>
            </w:r>
            <w:proofErr w:type="spellStart"/>
            <w:r w:rsidRPr="00E96C31">
              <w:rPr>
                <w:rFonts w:ascii="Times New Roman" w:hAnsi="Times New Roman" w:cs="Times New Roman"/>
                <w:i/>
              </w:rPr>
              <w:t>tuberosus</w:t>
            </w:r>
            <w:proofErr w:type="spellEnd"/>
            <w:r w:rsidRPr="00E96C31">
              <w:rPr>
                <w:rFonts w:ascii="Times New Roman" w:hAnsi="Times New Roman" w:cs="Times New Roman"/>
              </w:rPr>
              <w:t xml:space="preserve"> Caldas</w:t>
            </w:r>
          </w:p>
        </w:tc>
        <w:tc>
          <w:tcPr>
            <w:tcW w:w="2835" w:type="dxa"/>
            <w:tcBorders>
              <w:top w:val="nil"/>
              <w:left w:val="nil"/>
              <w:bottom w:val="single" w:sz="4" w:space="0" w:color="auto"/>
              <w:right w:val="nil"/>
            </w:tcBorders>
          </w:tcPr>
          <w:p w:rsidR="00C90202" w:rsidRPr="00E96C31" w:rsidRDefault="00C90202" w:rsidP="005D37C6">
            <w:pPr>
              <w:tabs>
                <w:tab w:val="left" w:pos="1134"/>
              </w:tabs>
              <w:spacing w:line="360" w:lineRule="auto"/>
              <w:jc w:val="both"/>
              <w:rPr>
                <w:rStyle w:val="Emphasis"/>
                <w:rFonts w:ascii="Times New Roman" w:hAnsi="Times New Roman" w:cs="Times New Roman"/>
                <w:bCs/>
                <w:i w:val="0"/>
                <w:iCs w:val="0"/>
                <w:shd w:val="clear" w:color="auto" w:fill="FFFFFF"/>
              </w:rPr>
            </w:pPr>
            <w:proofErr w:type="spellStart"/>
            <w:r w:rsidRPr="00E96C31">
              <w:rPr>
                <w:rFonts w:ascii="Times New Roman" w:hAnsi="Times New Roman" w:cs="Times New Roman"/>
              </w:rPr>
              <w:t>EnzCheck</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Gelatinase</w:t>
            </w:r>
            <w:proofErr w:type="spellEnd"/>
            <w:r w:rsidRPr="00E96C31">
              <w:rPr>
                <w:rFonts w:ascii="Times New Roman" w:hAnsi="Times New Roman" w:cs="Times New Roman"/>
              </w:rPr>
              <w:t xml:space="preserve">/Collagenase assay kit, WST-8 assay, </w:t>
            </w:r>
            <w:r w:rsidRPr="00E96C31">
              <w:rPr>
                <w:rFonts w:ascii="Times New Roman" w:hAnsi="Times New Roman" w:cs="Times New Roman"/>
                <w:i/>
              </w:rPr>
              <w:t xml:space="preserve">scratch assay, </w:t>
            </w:r>
            <w:r w:rsidRPr="00E96C31">
              <w:rPr>
                <w:rFonts w:ascii="Times New Roman" w:hAnsi="Times New Roman" w:cs="Times New Roman"/>
              </w:rPr>
              <w:t xml:space="preserve">kit </w:t>
            </w:r>
            <w:proofErr w:type="spellStart"/>
            <w:r w:rsidRPr="00E96C31">
              <w:rPr>
                <w:rFonts w:ascii="Times New Roman" w:hAnsi="Times New Roman" w:cs="Times New Roman"/>
              </w:rPr>
              <w:t>uji</w:t>
            </w:r>
            <w:proofErr w:type="spellEnd"/>
            <w:r w:rsidRPr="00E96C31">
              <w:rPr>
                <w:rFonts w:ascii="Times New Roman" w:hAnsi="Times New Roman" w:cs="Times New Roman"/>
              </w:rPr>
              <w:t xml:space="preserve"> </w:t>
            </w:r>
            <w:r w:rsidRPr="00E96C31">
              <w:rPr>
                <w:rFonts w:ascii="Times New Roman" w:hAnsi="Times New Roman" w:cs="Times New Roman"/>
                <w:i/>
              </w:rPr>
              <w:t>Pro-Collagen Type I C-Peptide</w:t>
            </w:r>
            <w:r w:rsidRPr="00E96C31">
              <w:rPr>
                <w:rFonts w:ascii="Times New Roman" w:hAnsi="Times New Roman" w:cs="Times New Roman"/>
              </w:rPr>
              <w:t xml:space="preserve"> (PIP), </w:t>
            </w:r>
            <w:r w:rsidRPr="00E96C31">
              <w:rPr>
                <w:rFonts w:ascii="Times New Roman" w:hAnsi="Times New Roman" w:cs="Times New Roman"/>
                <w:i/>
              </w:rPr>
              <w:t xml:space="preserve">Solid Phase Sandwich </w:t>
            </w:r>
            <w:r w:rsidRPr="00E96C31">
              <w:rPr>
                <w:rFonts w:ascii="Times New Roman" w:hAnsi="Times New Roman" w:cs="Times New Roman"/>
              </w:rPr>
              <w:t>ELISA</w:t>
            </w:r>
          </w:p>
        </w:tc>
        <w:tc>
          <w:tcPr>
            <w:tcW w:w="1417"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Umbi</w:t>
            </w:r>
            <w:proofErr w:type="spellEnd"/>
          </w:p>
        </w:tc>
        <w:tc>
          <w:tcPr>
            <w:tcW w:w="2552"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Metode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sonikasi</w:t>
            </w:r>
            <w:proofErr w:type="spellEnd"/>
          </w:p>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Pelarut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aseton</w:t>
            </w:r>
            <w:proofErr w:type="spellEnd"/>
            <w:r w:rsidRPr="00E96C31">
              <w:rPr>
                <w:rFonts w:ascii="Times New Roman" w:hAnsi="Times New Roman" w:cs="Times New Roman"/>
              </w:rPr>
              <w:t>: air (75:25)</w:t>
            </w:r>
          </w:p>
        </w:tc>
        <w:tc>
          <w:tcPr>
            <w:tcW w:w="1843"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Konsentrasi</w:t>
            </w:r>
            <w:proofErr w:type="spellEnd"/>
            <w:r w:rsidRPr="00E96C31">
              <w:rPr>
                <w:rFonts w:ascii="Times New Roman" w:hAnsi="Times New Roman" w:cs="Times New Roman"/>
              </w:rPr>
              <w:t xml:space="preserve"> 200 mg/mL</w:t>
            </w:r>
          </w:p>
        </w:tc>
        <w:tc>
          <w:tcPr>
            <w:tcW w:w="2551"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proofErr w:type="spellStart"/>
            <w:r w:rsidRPr="00E96C31">
              <w:rPr>
                <w:rFonts w:ascii="Times New Roman" w:hAnsi="Times New Roman" w:cs="Times New Roman"/>
              </w:rPr>
              <w:t>Meningkatkan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aktivitas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kolagenase</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proliferasi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migrasi</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fibroblas</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kulit</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manusia</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produksi</w:t>
            </w:r>
            <w:proofErr w:type="spellEnd"/>
            <w:r w:rsidRPr="00E96C31">
              <w:rPr>
                <w:rFonts w:ascii="Times New Roman" w:hAnsi="Times New Roman" w:cs="Times New Roman"/>
              </w:rPr>
              <w:t xml:space="preserve"> pro-</w:t>
            </w:r>
            <w:proofErr w:type="spellStart"/>
            <w:r w:rsidRPr="00E96C31">
              <w:rPr>
                <w:rFonts w:ascii="Times New Roman" w:hAnsi="Times New Roman" w:cs="Times New Roman"/>
              </w:rPr>
              <w:t>kolagen</w:t>
            </w:r>
            <w:proofErr w:type="spellEnd"/>
            <w:r w:rsidRPr="00E96C31">
              <w:rPr>
                <w:rFonts w:ascii="Times New Roman" w:hAnsi="Times New Roman" w:cs="Times New Roman"/>
              </w:rPr>
              <w:t xml:space="preserve"> </w:t>
            </w:r>
            <w:proofErr w:type="spellStart"/>
            <w:r w:rsidRPr="00E96C31">
              <w:rPr>
                <w:rFonts w:ascii="Times New Roman" w:hAnsi="Times New Roman" w:cs="Times New Roman"/>
              </w:rPr>
              <w:t>dan</w:t>
            </w:r>
            <w:proofErr w:type="spellEnd"/>
            <w:r w:rsidRPr="00E96C31">
              <w:rPr>
                <w:rFonts w:ascii="Times New Roman" w:hAnsi="Times New Roman" w:cs="Times New Roman"/>
              </w:rPr>
              <w:t xml:space="preserve"> MMP-1.</w:t>
            </w:r>
          </w:p>
        </w:tc>
        <w:tc>
          <w:tcPr>
            <w:tcW w:w="567" w:type="dxa"/>
            <w:tcBorders>
              <w:top w:val="nil"/>
              <w:left w:val="nil"/>
              <w:bottom w:val="single" w:sz="4" w:space="0" w:color="auto"/>
              <w:right w:val="nil"/>
            </w:tcBorders>
          </w:tcPr>
          <w:p w:rsidR="00C90202" w:rsidRPr="00E96C31" w:rsidRDefault="00C90202" w:rsidP="005D37C6">
            <w:pPr>
              <w:pStyle w:val="ListParagraph"/>
              <w:tabs>
                <w:tab w:val="left" w:pos="1134"/>
              </w:tabs>
              <w:spacing w:line="360" w:lineRule="auto"/>
              <w:ind w:left="0"/>
              <w:jc w:val="both"/>
              <w:rPr>
                <w:rFonts w:ascii="Times New Roman" w:hAnsi="Times New Roman" w:cs="Times New Roman"/>
              </w:rPr>
            </w:pPr>
            <w:r w:rsidRPr="00E96C31">
              <w:rPr>
                <w:rFonts w:ascii="Times New Roman" w:hAnsi="Times New Roman" w:cs="Times New Roman"/>
              </w:rPr>
              <w:fldChar w:fldCharType="begin" w:fldLock="1"/>
            </w:r>
            <w:r w:rsidRPr="00E96C31">
              <w:rPr>
                <w:rFonts w:ascii="Times New Roman" w:hAnsi="Times New Roman" w:cs="Times New Roman"/>
              </w:rPr>
              <w:instrText>ADDIN CSL_CITATION {"citationItems":[{"id":"ITEM-1","itemData":{"DOI":"10.1016/j.apjtb.2017.05.007","ISSN":"22211691","abstract":"Objective This study was designed to investigate the wound healing activity of aqueous extracts of Ullucus tuberosus (U. tuberosus) using in vitro models. Methods Lyophilized pulp and acetone extracts of U. tuberosus were produced using ultrasound extraction. The capacity for collagenase activation was evaluated using fluorescence detection of the enzymatic activity. Then, the influence of U. tuberosus extracts on cell proliferation, cell migration and synthesis of the extracellular matrix (ECM) proteins, metalloproteinase (MMP-1) and pro-collagen was analyzed using human dermal fibroblasts in culture. Results An increase in collagenase activity of 12% supports the utility of U. tuberosus as an agent for scar treatment. In addition, the extracts showed an increase in the proliferation and migration of human dermal fibroblasts and the production of pro-collagen and MMP-1 after treatment with U. tuberosus extracts. The increase in proliferation, migration and pro-collagen levels positively influenced the regeneration of scarless tissue during the proliferation phase, whereas the increase in MMP-1 may have favored the wound healing process during the remodeling and cellular differentiation phases. Conclusion The results of this study show for first time that U. tuberosus is a promising candidate to support scarless tissue regeneration.","author":[{"dropping-particle":"","family":"Heil","given":"Nathalie","non-dropping-particle":"","parse-names":false,"suffix":""},{"dropping-particle":"","family":"Bravo","given":"Karent","non-dropping-particle":"","parse-names":false,"suffix":""},{"dropping-particle":"","family":"Montoya","given":"Andrés","non-dropping-particle":"","parse-names":false,"suffix":""},{"dropping-particle":"","family":"Robledo","given":"Sara","non-dropping-particle":"","parse-names":false,"suffix":""},{"dropping-particle":"","family":"Osorio","given":"Edison","non-dropping-particle":"","parse-names":false,"suffix":""}],"container-title":"Asian Pacific Journal of Tropical Biomedicine","id":"ITEM-1","issue":"6","issued":{"date-parts":[["2017"]]},"page":"538-543","title":"Wound healing activity of Ullucus tuberosus, an Andean tuber crop","type":"article-journal","volume":"7"},"uris":["http://www.mendeley.com/documents/?uuid=e5289317-8cab-4f24-a7a2-2bcd332ee7bc"]}],"mendeley":{"formattedCitation":"&lt;sup&gt;28&lt;/sup&gt;","plainTextFormattedCitation":"28","previouslyFormattedCitation":"&lt;sup&gt;28&lt;/sup&gt;"},"properties":{"noteIndex":0},"schema":"https://github.com/citation-style-language/schema/raw/master/csl-citation.json"}</w:instrText>
            </w:r>
            <w:r w:rsidRPr="00E96C31">
              <w:rPr>
                <w:rFonts w:ascii="Times New Roman" w:hAnsi="Times New Roman" w:cs="Times New Roman"/>
              </w:rPr>
              <w:fldChar w:fldCharType="separate"/>
            </w:r>
            <w:r w:rsidRPr="00E96C31">
              <w:rPr>
                <w:rFonts w:ascii="Times New Roman" w:hAnsi="Times New Roman" w:cs="Times New Roman"/>
                <w:noProof/>
                <w:vertAlign w:val="superscript"/>
              </w:rPr>
              <w:t>28</w:t>
            </w:r>
            <w:r w:rsidRPr="00E96C31">
              <w:rPr>
                <w:rFonts w:ascii="Times New Roman" w:hAnsi="Times New Roman" w:cs="Times New Roman"/>
              </w:rPr>
              <w:fldChar w:fldCharType="end"/>
            </w:r>
          </w:p>
        </w:tc>
      </w:tr>
    </w:tbl>
    <w:p w:rsidR="00BD14FA" w:rsidRDefault="00BD14FA" w:rsidP="00C4225E">
      <w:pPr>
        <w:jc w:val="both"/>
      </w:pPr>
    </w:p>
    <w:p w:rsidR="00BD14FA" w:rsidRDefault="00BD14FA" w:rsidP="00BD14FA">
      <w:pPr>
        <w:tabs>
          <w:tab w:val="left" w:pos="4560"/>
        </w:tabs>
      </w:pPr>
    </w:p>
    <w:p w:rsidR="00BD14FA" w:rsidRPr="00BD14FA" w:rsidRDefault="00BD14FA" w:rsidP="00BD14FA">
      <w:pPr>
        <w:tabs>
          <w:tab w:val="left" w:pos="4560"/>
        </w:tabs>
        <w:sectPr w:rsidR="00BD14FA" w:rsidRPr="00BD14FA" w:rsidSect="00C90202">
          <w:pgSz w:w="15840" w:h="12240" w:orient="landscape"/>
          <w:pgMar w:top="2268" w:right="2268" w:bottom="1701" w:left="1701" w:header="708" w:footer="708" w:gutter="0"/>
          <w:cols w:space="708"/>
          <w:docGrid w:linePitch="360"/>
        </w:sectPr>
      </w:pPr>
      <w:r>
        <w:tab/>
      </w:r>
    </w:p>
    <w:p w:rsidR="00C90202" w:rsidRPr="00C4225E" w:rsidRDefault="00C90202" w:rsidP="00BD14FA">
      <w:pPr>
        <w:tabs>
          <w:tab w:val="left" w:pos="1134"/>
        </w:tabs>
        <w:spacing w:line="480" w:lineRule="auto"/>
        <w:jc w:val="both"/>
      </w:pPr>
    </w:p>
    <w:sectPr w:rsidR="00C90202" w:rsidRPr="00C4225E" w:rsidSect="00BD14FA">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5E0" w:rsidRDefault="00F175E0" w:rsidP="00BD14FA">
      <w:pPr>
        <w:spacing w:after="0" w:line="240" w:lineRule="auto"/>
      </w:pPr>
      <w:r>
        <w:separator/>
      </w:r>
    </w:p>
  </w:endnote>
  <w:endnote w:type="continuationSeparator" w:id="0">
    <w:p w:rsidR="00F175E0" w:rsidRDefault="00F175E0" w:rsidP="00BD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5E0" w:rsidRDefault="00F175E0" w:rsidP="00BD14FA">
      <w:pPr>
        <w:spacing w:after="0" w:line="240" w:lineRule="auto"/>
      </w:pPr>
      <w:r>
        <w:separator/>
      </w:r>
    </w:p>
  </w:footnote>
  <w:footnote w:type="continuationSeparator" w:id="0">
    <w:p w:rsidR="00F175E0" w:rsidRDefault="00F175E0" w:rsidP="00BD14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F629C"/>
    <w:multiLevelType w:val="multilevel"/>
    <w:tmpl w:val="58DA1C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5E"/>
    <w:rsid w:val="000729FE"/>
    <w:rsid w:val="003B13BD"/>
    <w:rsid w:val="00475C8B"/>
    <w:rsid w:val="00583748"/>
    <w:rsid w:val="00AF182F"/>
    <w:rsid w:val="00BD14FA"/>
    <w:rsid w:val="00C4225E"/>
    <w:rsid w:val="00C90202"/>
    <w:rsid w:val="00F1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E44FF-5168-48FF-988F-C9ADB7CE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25E"/>
    <w:pPr>
      <w:ind w:left="720"/>
      <w:contextualSpacing/>
    </w:pPr>
  </w:style>
  <w:style w:type="table" w:styleId="TableGrid">
    <w:name w:val="Table Grid"/>
    <w:basedOn w:val="TableNormal"/>
    <w:uiPriority w:val="39"/>
    <w:rsid w:val="00C42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4225E"/>
    <w:pPr>
      <w:spacing w:after="200" w:line="240" w:lineRule="auto"/>
    </w:pPr>
    <w:rPr>
      <w:i/>
      <w:iCs/>
      <w:color w:val="44546A" w:themeColor="text2"/>
      <w:sz w:val="18"/>
      <w:szCs w:val="18"/>
    </w:rPr>
  </w:style>
  <w:style w:type="character" w:styleId="Emphasis">
    <w:name w:val="Emphasis"/>
    <w:basedOn w:val="DefaultParagraphFont"/>
    <w:uiPriority w:val="20"/>
    <w:qFormat/>
    <w:rsid w:val="00C90202"/>
    <w:rPr>
      <w:i/>
      <w:iCs/>
    </w:rPr>
  </w:style>
  <w:style w:type="character" w:styleId="Hyperlink">
    <w:name w:val="Hyperlink"/>
    <w:basedOn w:val="DefaultParagraphFont"/>
    <w:uiPriority w:val="99"/>
    <w:unhideWhenUsed/>
    <w:rsid w:val="00BD14FA"/>
    <w:rPr>
      <w:color w:val="0563C1" w:themeColor="hyperlink"/>
      <w:u w:val="single"/>
    </w:rPr>
  </w:style>
  <w:style w:type="paragraph" w:styleId="Header">
    <w:name w:val="header"/>
    <w:basedOn w:val="Normal"/>
    <w:link w:val="HeaderChar"/>
    <w:uiPriority w:val="99"/>
    <w:unhideWhenUsed/>
    <w:rsid w:val="00BD1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4FA"/>
  </w:style>
  <w:style w:type="paragraph" w:styleId="Footer">
    <w:name w:val="footer"/>
    <w:basedOn w:val="Normal"/>
    <w:link w:val="FooterChar"/>
    <w:uiPriority w:val="99"/>
    <w:unhideWhenUsed/>
    <w:rsid w:val="00BD1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7138</Words>
  <Characters>40689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cindyana akhmadi</dc:creator>
  <cp:keywords/>
  <dc:description/>
  <cp:lastModifiedBy>cindyana akhmadi</cp:lastModifiedBy>
  <cp:revision>1</cp:revision>
  <dcterms:created xsi:type="dcterms:W3CDTF">2022-03-20T04:38:00Z</dcterms:created>
  <dcterms:modified xsi:type="dcterms:W3CDTF">2022-03-20T05:30:00Z</dcterms:modified>
</cp:coreProperties>
</file>