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3051" w:rsidRDefault="007E3051" w:rsidP="007E3051">
      <w:pPr>
        <w:spacing w:line="360" w:lineRule="auto"/>
        <w:jc w:val="center"/>
        <w:rPr>
          <w:b/>
          <w:sz w:val="22"/>
          <w:szCs w:val="22"/>
          <w:lang w:val="id-ID"/>
        </w:rPr>
      </w:pPr>
      <w:r w:rsidRPr="00072F8C">
        <w:rPr>
          <w:b/>
          <w:sz w:val="22"/>
          <w:szCs w:val="22"/>
        </w:rPr>
        <w:t>MAKALAH LENGKAP</w:t>
      </w:r>
    </w:p>
    <w:p w:rsidR="007E3051" w:rsidRPr="007E3051" w:rsidRDefault="007E3051" w:rsidP="007E3051">
      <w:pPr>
        <w:spacing w:line="360" w:lineRule="auto"/>
        <w:jc w:val="center"/>
        <w:rPr>
          <w:b/>
          <w:sz w:val="26"/>
          <w:szCs w:val="22"/>
          <w:lang w:val="id-ID"/>
        </w:rPr>
      </w:pPr>
    </w:p>
    <w:p w:rsidR="007E3051" w:rsidRPr="007E3051" w:rsidRDefault="007E3051" w:rsidP="007E3051">
      <w:pPr>
        <w:jc w:val="center"/>
        <w:rPr>
          <w:b/>
          <w:sz w:val="28"/>
        </w:rPr>
      </w:pPr>
      <w:r w:rsidRPr="007E3051">
        <w:rPr>
          <w:b/>
          <w:sz w:val="28"/>
        </w:rPr>
        <w:t xml:space="preserve">EFIKASI TERAPI VITAMIN B1 B6 B12 FORTE PADA PASIEN NEUROPATI PERIFER </w:t>
      </w:r>
    </w:p>
    <w:p w:rsidR="007E3051" w:rsidRPr="007E3051" w:rsidRDefault="007E3051" w:rsidP="007E3051">
      <w:pPr>
        <w:spacing w:line="360" w:lineRule="auto"/>
        <w:rPr>
          <w:b/>
          <w:sz w:val="26"/>
          <w:szCs w:val="22"/>
          <w:lang w:val="id-ID"/>
        </w:rPr>
      </w:pPr>
    </w:p>
    <w:p w:rsidR="007E3051" w:rsidRPr="00072F8C" w:rsidRDefault="007E3051" w:rsidP="007E3051">
      <w:pPr>
        <w:spacing w:line="360" w:lineRule="auto"/>
        <w:rPr>
          <w:b/>
          <w:sz w:val="22"/>
          <w:szCs w:val="22"/>
          <w:lang w:val="id-ID"/>
        </w:rPr>
      </w:pPr>
    </w:p>
    <w:p w:rsidR="007E3051" w:rsidRPr="00072F8C" w:rsidRDefault="007E3051" w:rsidP="007E3051">
      <w:pPr>
        <w:spacing w:line="360" w:lineRule="auto"/>
        <w:jc w:val="center"/>
        <w:rPr>
          <w:b/>
          <w:sz w:val="22"/>
          <w:szCs w:val="22"/>
        </w:rPr>
      </w:pPr>
      <w:r w:rsidRPr="00072F8C">
        <w:rPr>
          <w:b/>
          <w:noProof/>
          <w:sz w:val="22"/>
          <w:szCs w:val="22"/>
          <w:lang w:eastAsia="en-US"/>
        </w:rPr>
        <w:drawing>
          <wp:inline distT="0" distB="0" distL="0" distR="0" wp14:anchorId="45AFCDE0" wp14:editId="0479D96E">
            <wp:extent cx="1528549" cy="207521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34493" cy="2083284"/>
                    </a:xfrm>
                    <a:prstGeom prst="rect">
                      <a:avLst/>
                    </a:prstGeom>
                    <a:noFill/>
                    <a:ln>
                      <a:noFill/>
                    </a:ln>
                  </pic:spPr>
                </pic:pic>
              </a:graphicData>
            </a:graphic>
          </wp:inline>
        </w:drawing>
      </w:r>
    </w:p>
    <w:p w:rsidR="007E3051" w:rsidRPr="00072F8C" w:rsidRDefault="007E3051" w:rsidP="007E3051">
      <w:pPr>
        <w:spacing w:line="360" w:lineRule="auto"/>
        <w:rPr>
          <w:b/>
          <w:sz w:val="22"/>
          <w:szCs w:val="22"/>
          <w:lang w:val="id-ID"/>
        </w:rPr>
      </w:pPr>
    </w:p>
    <w:p w:rsidR="007E3051" w:rsidRPr="00072F8C" w:rsidRDefault="007E3051" w:rsidP="007E3051">
      <w:pPr>
        <w:spacing w:line="360" w:lineRule="auto"/>
        <w:jc w:val="center"/>
        <w:rPr>
          <w:b/>
          <w:sz w:val="22"/>
          <w:szCs w:val="22"/>
          <w:lang w:val="id-ID"/>
        </w:rPr>
      </w:pPr>
      <w:r w:rsidRPr="00072F8C">
        <w:rPr>
          <w:b/>
          <w:sz w:val="22"/>
          <w:szCs w:val="22"/>
          <w:lang w:val="id-ID"/>
        </w:rPr>
        <w:t>Oleh :</w:t>
      </w:r>
    </w:p>
    <w:p w:rsidR="007E3051" w:rsidRPr="00072F8C" w:rsidRDefault="007E3051" w:rsidP="007E3051">
      <w:pPr>
        <w:spacing w:line="360" w:lineRule="auto"/>
        <w:jc w:val="center"/>
        <w:rPr>
          <w:b/>
          <w:sz w:val="22"/>
          <w:szCs w:val="22"/>
          <w:lang w:val="id-ID"/>
        </w:rPr>
      </w:pPr>
      <w:r w:rsidRPr="00072F8C">
        <w:rPr>
          <w:b/>
          <w:sz w:val="22"/>
          <w:szCs w:val="22"/>
          <w:lang w:val="id-ID"/>
        </w:rPr>
        <w:t xml:space="preserve">dr. </w:t>
      </w:r>
      <w:r>
        <w:rPr>
          <w:b/>
          <w:sz w:val="22"/>
          <w:szCs w:val="22"/>
          <w:lang w:val="id-ID"/>
        </w:rPr>
        <w:t>Meyvita Silviana</w:t>
      </w:r>
    </w:p>
    <w:p w:rsidR="007E3051" w:rsidRPr="00072F8C" w:rsidRDefault="007E3051" w:rsidP="007E3051">
      <w:pPr>
        <w:spacing w:line="360" w:lineRule="auto"/>
        <w:jc w:val="center"/>
        <w:rPr>
          <w:b/>
          <w:sz w:val="22"/>
          <w:szCs w:val="22"/>
          <w:lang w:val="id-ID"/>
        </w:rPr>
      </w:pPr>
    </w:p>
    <w:p w:rsidR="007E3051" w:rsidRPr="00072F8C" w:rsidRDefault="007E3051" w:rsidP="007E3051">
      <w:pPr>
        <w:spacing w:line="360" w:lineRule="auto"/>
        <w:jc w:val="center"/>
        <w:rPr>
          <w:b/>
          <w:sz w:val="22"/>
          <w:szCs w:val="22"/>
          <w:lang w:val="id-ID"/>
        </w:rPr>
      </w:pPr>
      <w:r w:rsidRPr="00072F8C">
        <w:rPr>
          <w:b/>
          <w:sz w:val="22"/>
          <w:szCs w:val="22"/>
          <w:lang w:val="id-ID"/>
        </w:rPr>
        <w:t>P</w:t>
      </w:r>
      <w:r w:rsidRPr="00072F8C">
        <w:rPr>
          <w:b/>
          <w:sz w:val="22"/>
          <w:szCs w:val="22"/>
        </w:rPr>
        <w:t>e</w:t>
      </w:r>
      <w:r w:rsidRPr="00072F8C">
        <w:rPr>
          <w:b/>
          <w:sz w:val="22"/>
          <w:szCs w:val="22"/>
          <w:lang w:val="id-ID"/>
        </w:rPr>
        <w:t>mbimbing:</w:t>
      </w:r>
    </w:p>
    <w:p w:rsidR="007E3051" w:rsidRDefault="007E3051" w:rsidP="007E3051">
      <w:pPr>
        <w:spacing w:line="360" w:lineRule="auto"/>
        <w:jc w:val="center"/>
        <w:rPr>
          <w:b/>
          <w:sz w:val="22"/>
          <w:szCs w:val="22"/>
          <w:lang w:val="id-ID"/>
        </w:rPr>
      </w:pPr>
      <w:r w:rsidRPr="00072F8C">
        <w:rPr>
          <w:b/>
          <w:sz w:val="22"/>
          <w:szCs w:val="22"/>
          <w:lang w:val="id-ID"/>
        </w:rPr>
        <w:t>dr.</w:t>
      </w:r>
      <w:r>
        <w:rPr>
          <w:b/>
          <w:sz w:val="22"/>
          <w:szCs w:val="22"/>
          <w:lang w:val="id-ID"/>
        </w:rPr>
        <w:t xml:space="preserve"> Maria Belladonna</w:t>
      </w:r>
      <w:r w:rsidRPr="00072F8C">
        <w:rPr>
          <w:b/>
          <w:sz w:val="22"/>
          <w:szCs w:val="22"/>
          <w:lang w:val="id-ID"/>
        </w:rPr>
        <w:t>, Sp.S</w:t>
      </w:r>
      <w:r>
        <w:rPr>
          <w:b/>
          <w:sz w:val="22"/>
          <w:szCs w:val="22"/>
          <w:lang w:val="id-ID"/>
        </w:rPr>
        <w:t>, MsiMed</w:t>
      </w:r>
    </w:p>
    <w:p w:rsidR="00B77618" w:rsidRPr="00072F8C" w:rsidRDefault="00B77618" w:rsidP="007E3051">
      <w:pPr>
        <w:spacing w:line="360" w:lineRule="auto"/>
        <w:jc w:val="center"/>
        <w:rPr>
          <w:b/>
          <w:sz w:val="22"/>
          <w:szCs w:val="22"/>
          <w:lang w:val="id-ID"/>
        </w:rPr>
      </w:pPr>
      <w:r>
        <w:rPr>
          <w:b/>
          <w:sz w:val="22"/>
          <w:szCs w:val="22"/>
          <w:lang w:val="id-ID"/>
        </w:rPr>
        <w:t>Dr. dr. Dodik Tugasworo, SpS(K)</w:t>
      </w:r>
    </w:p>
    <w:p w:rsidR="007E3051" w:rsidRPr="00072F8C" w:rsidRDefault="007E3051" w:rsidP="007E3051">
      <w:pPr>
        <w:spacing w:line="360" w:lineRule="auto"/>
        <w:jc w:val="center"/>
        <w:rPr>
          <w:b/>
          <w:sz w:val="22"/>
          <w:szCs w:val="22"/>
          <w:lang w:val="id-ID"/>
        </w:rPr>
      </w:pPr>
    </w:p>
    <w:p w:rsidR="007E3051" w:rsidRPr="00072F8C" w:rsidRDefault="007E3051" w:rsidP="007E3051">
      <w:pPr>
        <w:spacing w:line="360" w:lineRule="auto"/>
        <w:jc w:val="center"/>
        <w:rPr>
          <w:b/>
          <w:bCs/>
          <w:sz w:val="22"/>
          <w:szCs w:val="22"/>
          <w:lang w:val="id-ID"/>
        </w:rPr>
      </w:pPr>
    </w:p>
    <w:p w:rsidR="007E3051" w:rsidRPr="00072F8C" w:rsidRDefault="007E3051" w:rsidP="007E3051">
      <w:pPr>
        <w:spacing w:line="360" w:lineRule="auto"/>
        <w:jc w:val="center"/>
        <w:rPr>
          <w:b/>
          <w:bCs/>
          <w:sz w:val="22"/>
          <w:szCs w:val="22"/>
          <w:lang w:val="id-ID"/>
        </w:rPr>
      </w:pPr>
    </w:p>
    <w:p w:rsidR="007E3051" w:rsidRPr="00072F8C" w:rsidRDefault="007E3051" w:rsidP="007E3051">
      <w:pPr>
        <w:jc w:val="center"/>
        <w:rPr>
          <w:b/>
          <w:sz w:val="22"/>
          <w:szCs w:val="22"/>
          <w:lang w:val="it-IT"/>
        </w:rPr>
      </w:pPr>
      <w:r w:rsidRPr="00072F8C">
        <w:rPr>
          <w:b/>
          <w:sz w:val="22"/>
          <w:szCs w:val="22"/>
          <w:lang w:val="it-IT"/>
        </w:rPr>
        <w:t>diajukan pada :</w:t>
      </w:r>
    </w:p>
    <w:p w:rsidR="007E3051" w:rsidRPr="00072F8C" w:rsidRDefault="007E3051" w:rsidP="007E3051">
      <w:pPr>
        <w:jc w:val="center"/>
        <w:rPr>
          <w:b/>
          <w:sz w:val="22"/>
          <w:szCs w:val="22"/>
          <w:lang w:val="it-IT"/>
        </w:rPr>
      </w:pPr>
    </w:p>
    <w:p w:rsidR="007E3051" w:rsidRPr="00072F8C" w:rsidRDefault="007E3051" w:rsidP="007E3051">
      <w:pPr>
        <w:jc w:val="center"/>
        <w:rPr>
          <w:rStyle w:val="Strong"/>
          <w:sz w:val="22"/>
          <w:szCs w:val="22"/>
          <w:lang w:val="id-ID"/>
        </w:rPr>
      </w:pPr>
      <w:r>
        <w:rPr>
          <w:rStyle w:val="Strong"/>
          <w:sz w:val="22"/>
          <w:szCs w:val="22"/>
          <w:lang w:val="id-ID"/>
        </w:rPr>
        <w:t xml:space="preserve">MUSYAWARAH KERJA NASIONAL DAN PERTEMUAN ILMIAH PERDOSSI </w:t>
      </w:r>
    </w:p>
    <w:p w:rsidR="007E3051" w:rsidRPr="00072F8C" w:rsidRDefault="007E3051" w:rsidP="007E3051">
      <w:pPr>
        <w:tabs>
          <w:tab w:val="center" w:pos="3969"/>
          <w:tab w:val="left" w:pos="6280"/>
        </w:tabs>
        <w:rPr>
          <w:b/>
          <w:sz w:val="22"/>
          <w:szCs w:val="22"/>
          <w:lang w:val="id-ID"/>
        </w:rPr>
      </w:pPr>
      <w:r w:rsidRPr="00072F8C">
        <w:rPr>
          <w:rStyle w:val="Strong"/>
          <w:sz w:val="22"/>
          <w:szCs w:val="22"/>
          <w:lang w:val="id-ID"/>
        </w:rPr>
        <w:tab/>
        <w:t>Y</w:t>
      </w:r>
      <w:r>
        <w:rPr>
          <w:rStyle w:val="Strong"/>
          <w:sz w:val="22"/>
          <w:szCs w:val="22"/>
          <w:lang w:val="id-ID"/>
        </w:rPr>
        <w:t>OGYAKARTA</w:t>
      </w:r>
      <w:r w:rsidRPr="00072F8C">
        <w:rPr>
          <w:rStyle w:val="Strong"/>
          <w:sz w:val="22"/>
          <w:szCs w:val="22"/>
          <w:lang w:val="id-ID"/>
        </w:rPr>
        <w:t xml:space="preserve">, </w:t>
      </w:r>
      <w:r>
        <w:rPr>
          <w:rStyle w:val="Strong"/>
          <w:sz w:val="22"/>
          <w:szCs w:val="22"/>
          <w:lang w:val="id-ID"/>
        </w:rPr>
        <w:t xml:space="preserve">28-30 JULI </w:t>
      </w:r>
      <w:r w:rsidRPr="00072F8C">
        <w:rPr>
          <w:rStyle w:val="Strong"/>
          <w:sz w:val="22"/>
          <w:szCs w:val="22"/>
          <w:lang w:val="id-ID"/>
        </w:rPr>
        <w:t>2017</w:t>
      </w:r>
      <w:r w:rsidRPr="00072F8C">
        <w:rPr>
          <w:rStyle w:val="Strong"/>
          <w:sz w:val="22"/>
          <w:szCs w:val="22"/>
          <w:lang w:val="id-ID"/>
        </w:rPr>
        <w:tab/>
      </w:r>
    </w:p>
    <w:p w:rsidR="007E3051" w:rsidRDefault="007E3051" w:rsidP="007E3051">
      <w:pPr>
        <w:spacing w:line="360" w:lineRule="auto"/>
        <w:rPr>
          <w:b/>
          <w:sz w:val="22"/>
          <w:szCs w:val="22"/>
          <w:lang w:val="id-ID"/>
        </w:rPr>
      </w:pPr>
    </w:p>
    <w:p w:rsidR="007E3051" w:rsidRDefault="007E3051" w:rsidP="007E3051">
      <w:pPr>
        <w:spacing w:line="360" w:lineRule="auto"/>
        <w:rPr>
          <w:b/>
          <w:sz w:val="22"/>
          <w:szCs w:val="22"/>
          <w:lang w:val="id-ID"/>
        </w:rPr>
      </w:pPr>
    </w:p>
    <w:p w:rsidR="007E3051" w:rsidRDefault="007E3051" w:rsidP="007E3051">
      <w:pPr>
        <w:spacing w:line="360" w:lineRule="auto"/>
        <w:rPr>
          <w:b/>
          <w:sz w:val="22"/>
          <w:szCs w:val="22"/>
          <w:lang w:val="id-ID"/>
        </w:rPr>
      </w:pPr>
    </w:p>
    <w:p w:rsidR="007E3051" w:rsidRPr="00072F8C" w:rsidRDefault="007E3051" w:rsidP="007E3051">
      <w:pPr>
        <w:spacing w:line="360" w:lineRule="auto"/>
        <w:rPr>
          <w:b/>
          <w:sz w:val="22"/>
          <w:szCs w:val="22"/>
          <w:lang w:val="id-ID"/>
        </w:rPr>
      </w:pPr>
    </w:p>
    <w:p w:rsidR="007E3051" w:rsidRPr="00072F8C" w:rsidRDefault="007E3051" w:rsidP="007E3051">
      <w:pPr>
        <w:jc w:val="center"/>
        <w:rPr>
          <w:b/>
          <w:bCs/>
          <w:sz w:val="22"/>
          <w:szCs w:val="22"/>
        </w:rPr>
      </w:pPr>
      <w:r w:rsidRPr="00072F8C">
        <w:rPr>
          <w:b/>
          <w:bCs/>
          <w:sz w:val="22"/>
          <w:szCs w:val="22"/>
        </w:rPr>
        <w:t xml:space="preserve">BAGIAN / </w:t>
      </w:r>
      <w:r w:rsidRPr="00072F8C">
        <w:rPr>
          <w:b/>
          <w:bCs/>
          <w:sz w:val="22"/>
          <w:szCs w:val="22"/>
          <w:lang w:val="id-ID"/>
        </w:rPr>
        <w:t>KSM</w:t>
      </w:r>
      <w:r w:rsidRPr="00072F8C">
        <w:rPr>
          <w:b/>
          <w:bCs/>
          <w:sz w:val="22"/>
          <w:szCs w:val="22"/>
        </w:rPr>
        <w:t xml:space="preserve"> NEUROLOGI</w:t>
      </w:r>
    </w:p>
    <w:p w:rsidR="007E3051" w:rsidRPr="00072F8C" w:rsidRDefault="007E3051" w:rsidP="007E3051">
      <w:pPr>
        <w:jc w:val="center"/>
        <w:rPr>
          <w:b/>
          <w:bCs/>
          <w:sz w:val="22"/>
          <w:szCs w:val="22"/>
        </w:rPr>
      </w:pPr>
      <w:r w:rsidRPr="00072F8C">
        <w:rPr>
          <w:b/>
          <w:bCs/>
          <w:sz w:val="22"/>
          <w:szCs w:val="22"/>
        </w:rPr>
        <w:t>FAKULTAS KEDOKTERAN UNIVERSITAS DIPONEGORO</w:t>
      </w:r>
    </w:p>
    <w:p w:rsidR="007E3051" w:rsidRPr="00072F8C" w:rsidRDefault="007E3051" w:rsidP="007E3051">
      <w:pPr>
        <w:jc w:val="center"/>
        <w:rPr>
          <w:b/>
          <w:bCs/>
          <w:sz w:val="22"/>
          <w:szCs w:val="22"/>
        </w:rPr>
      </w:pPr>
      <w:r w:rsidRPr="00072F8C">
        <w:rPr>
          <w:b/>
          <w:bCs/>
          <w:sz w:val="22"/>
          <w:szCs w:val="22"/>
        </w:rPr>
        <w:t>RSUP DR. KARIADI SEMARANG</w:t>
      </w:r>
    </w:p>
    <w:p w:rsidR="007E3051" w:rsidRPr="00072F8C" w:rsidRDefault="007E3051" w:rsidP="007E3051">
      <w:pPr>
        <w:spacing w:line="360" w:lineRule="auto"/>
        <w:jc w:val="center"/>
        <w:rPr>
          <w:b/>
          <w:bCs/>
          <w:sz w:val="22"/>
          <w:szCs w:val="22"/>
          <w:lang w:val="id-ID"/>
        </w:rPr>
      </w:pPr>
      <w:r w:rsidRPr="00072F8C">
        <w:rPr>
          <w:b/>
          <w:bCs/>
          <w:sz w:val="22"/>
          <w:szCs w:val="22"/>
        </w:rPr>
        <w:t>201</w:t>
      </w:r>
      <w:r w:rsidRPr="00072F8C">
        <w:rPr>
          <w:b/>
          <w:bCs/>
          <w:sz w:val="22"/>
          <w:szCs w:val="22"/>
          <w:lang w:val="id-ID"/>
        </w:rPr>
        <w:t>7</w:t>
      </w:r>
    </w:p>
    <w:p w:rsidR="007E3051" w:rsidRDefault="007E3051">
      <w:pPr>
        <w:spacing w:after="200" w:line="276" w:lineRule="auto"/>
      </w:pPr>
      <w:r>
        <w:br w:type="page"/>
      </w:r>
    </w:p>
    <w:p w:rsidR="007E3051" w:rsidRPr="009C1460" w:rsidRDefault="007E3051" w:rsidP="007E3051">
      <w:pPr>
        <w:jc w:val="center"/>
        <w:rPr>
          <w:b/>
        </w:rPr>
      </w:pPr>
      <w:r w:rsidRPr="009C1460">
        <w:rPr>
          <w:b/>
        </w:rPr>
        <w:lastRenderedPageBreak/>
        <w:t xml:space="preserve">EFIKASI TERAPI VITAMIN B1 B6 B12 FORTE PADA PASIEN NEUROPATI PERIFER </w:t>
      </w:r>
    </w:p>
    <w:p w:rsidR="007E3051" w:rsidRPr="00B77618" w:rsidRDefault="007E3051" w:rsidP="007E3051">
      <w:pPr>
        <w:jc w:val="center"/>
        <w:rPr>
          <w:b/>
          <w:u w:val="single"/>
          <w:lang w:val="id-ID"/>
        </w:rPr>
      </w:pPr>
      <w:r w:rsidRPr="00B77618">
        <w:rPr>
          <w:b/>
          <w:u w:val="single"/>
        </w:rPr>
        <w:t>Meyvita Silviana*, Maria Belladonna**</w:t>
      </w:r>
      <w:r w:rsidR="00B77618">
        <w:rPr>
          <w:b/>
          <w:u w:val="single"/>
          <w:lang w:val="id-ID"/>
        </w:rPr>
        <w:t>, Dodik Tugasworo**</w:t>
      </w:r>
    </w:p>
    <w:p w:rsidR="007E3051" w:rsidRPr="004A7A46" w:rsidRDefault="007E3051" w:rsidP="007E3051">
      <w:pPr>
        <w:pBdr>
          <w:bottom w:val="single" w:sz="18" w:space="1" w:color="auto"/>
        </w:pBdr>
        <w:jc w:val="center"/>
      </w:pPr>
      <w:r w:rsidRPr="004A7A46">
        <w:t>*Residen Bagian Ilmu Penyakit Saraf FK UNDIP/ RSDK Semarang</w:t>
      </w:r>
      <w:r w:rsidRPr="004A7A46">
        <w:br/>
        <w:t>** Dosen Bagian Ilmu Penyakit Saraf FK UNDIP/RDSK Semarang</w:t>
      </w:r>
    </w:p>
    <w:p w:rsidR="007E3051" w:rsidRDefault="007E3051" w:rsidP="007E3051">
      <w:pPr>
        <w:rPr>
          <w:vertAlign w:val="superscript"/>
        </w:rPr>
      </w:pPr>
    </w:p>
    <w:p w:rsidR="007E3051" w:rsidRPr="009C1460" w:rsidRDefault="007E3051" w:rsidP="007E3051">
      <w:pPr>
        <w:jc w:val="center"/>
        <w:rPr>
          <w:b/>
        </w:rPr>
      </w:pPr>
      <w:r w:rsidRPr="009C1460">
        <w:rPr>
          <w:b/>
        </w:rPr>
        <w:t>ABSTRAK</w:t>
      </w:r>
    </w:p>
    <w:p w:rsidR="007E3051" w:rsidRPr="004D75FB" w:rsidRDefault="007E3051" w:rsidP="007E3051">
      <w:pPr>
        <w:jc w:val="both"/>
      </w:pPr>
      <w:r w:rsidRPr="004D75FB">
        <w:rPr>
          <w:b/>
        </w:rPr>
        <w:t xml:space="preserve">Latar Belakang : </w:t>
      </w:r>
      <w:r w:rsidRPr="004D75FB">
        <w:t xml:space="preserve">Neuropati perifer dapat disebabkan oleh beberapa etiologi, antara lain diabetes mellitus, defisiensi nutrisi, entrapment atau CTS, serta idiopatik. </w:t>
      </w:r>
    </w:p>
    <w:p w:rsidR="007E3051" w:rsidRPr="004D75FB" w:rsidRDefault="007E3051" w:rsidP="007E3051">
      <w:pPr>
        <w:jc w:val="both"/>
      </w:pPr>
      <w:r w:rsidRPr="004D75FB">
        <w:rPr>
          <w:b/>
        </w:rPr>
        <w:t>Tujuan :</w:t>
      </w:r>
      <w:r w:rsidRPr="004D75FB">
        <w:t xml:space="preserve"> Penelitian ini dilakukan untuk mengetahui efektivitas terapi Vitamin B1B6B12 </w:t>
      </w:r>
      <w:r w:rsidRPr="004D75FB">
        <w:rPr>
          <w:i/>
        </w:rPr>
        <w:t>forte</w:t>
      </w:r>
      <w:r w:rsidRPr="004D75FB">
        <w:t xml:space="preserve"> dalam meringankan gejala Neuropati Perifer. </w:t>
      </w:r>
    </w:p>
    <w:p w:rsidR="007E3051" w:rsidRPr="004D75FB" w:rsidRDefault="007E3051" w:rsidP="007E3051">
      <w:pPr>
        <w:jc w:val="both"/>
      </w:pPr>
      <w:r w:rsidRPr="004D75FB">
        <w:rPr>
          <w:b/>
        </w:rPr>
        <w:t xml:space="preserve">Metode : </w:t>
      </w:r>
      <w:r w:rsidRPr="004D75FB">
        <w:t xml:space="preserve">Studi </w:t>
      </w:r>
      <w:r w:rsidRPr="004D75FB">
        <w:rPr>
          <w:i/>
        </w:rPr>
        <w:t>pre</w:t>
      </w:r>
      <w:r w:rsidRPr="004D75FB">
        <w:t xml:space="preserve"> dan </w:t>
      </w:r>
      <w:r w:rsidRPr="004D75FB">
        <w:rPr>
          <w:i/>
        </w:rPr>
        <w:t>post experimental</w:t>
      </w:r>
      <w:r w:rsidRPr="004D75FB">
        <w:t xml:space="preserve"> ini melibatkan</w:t>
      </w:r>
      <w:r w:rsidRPr="004D75FB">
        <w:rPr>
          <w:b/>
        </w:rPr>
        <w:t xml:space="preserve"> </w:t>
      </w:r>
      <w:r w:rsidRPr="004D75FB">
        <w:t xml:space="preserve">Pasien neuropati perifer moderate </w:t>
      </w:r>
      <w:r w:rsidRPr="004D75FB">
        <w:br/>
        <w:t xml:space="preserve">( TCNS ≥6 dan MNSI ≥7 ) dengan berbagai etiologi dari poli saraf RSUP Dr. Kariadi. Pasien diresepkan Vit B1 100 mg, B6 100 mg,  B12 5000 mcg sekali sehari selama 2 bulan. Evaluasi </w:t>
      </w:r>
      <w:r w:rsidRPr="004D75FB">
        <w:rPr>
          <w:i/>
        </w:rPr>
        <w:t xml:space="preserve">numeric pain rating scale </w:t>
      </w:r>
      <w:r w:rsidRPr="004D75FB">
        <w:t xml:space="preserve">berupa VAS dan </w:t>
      </w:r>
      <w:r w:rsidRPr="004D75FB">
        <w:rPr>
          <w:i/>
        </w:rPr>
        <w:t>Total Symptom Score</w:t>
      </w:r>
      <w:r w:rsidRPr="004D75FB">
        <w:t xml:space="preserve"> (TSS) dinilai pada bulan pertama dan kedua. Uji beda skor VAS dengan uji Wilcoxon dan TSS dengan uji Post Hoc, bermakna jika p &lt; 0,05.</w:t>
      </w:r>
    </w:p>
    <w:p w:rsidR="007E3051" w:rsidRPr="004D75FB" w:rsidRDefault="007E3051" w:rsidP="007E3051">
      <w:pPr>
        <w:jc w:val="both"/>
        <w:rPr>
          <w:b/>
        </w:rPr>
      </w:pPr>
      <w:r w:rsidRPr="004D75FB">
        <w:rPr>
          <w:b/>
        </w:rPr>
        <w:t xml:space="preserve">Hasil : </w:t>
      </w:r>
      <w:r w:rsidRPr="004D75FB">
        <w:t>30 pasien usia 18 - 65 tahun, 70% wanita, 30% pria, dengan etiologi idiopatik (40%), CTS (26,7%), DM (23,3%), HNP (10%).</w:t>
      </w:r>
      <w:r w:rsidRPr="004D75FB">
        <w:rPr>
          <w:b/>
        </w:rPr>
        <w:t xml:space="preserve"> </w:t>
      </w:r>
      <w:r w:rsidRPr="004D75FB">
        <w:t>Didapatkan perbedaan bermakna dari awal hingga akhir penelitian pada nilai VAS (p &lt;0,05), serta pada nilai TSS (p &lt;0,05).</w:t>
      </w:r>
    </w:p>
    <w:p w:rsidR="007E3051" w:rsidRPr="004D75FB" w:rsidRDefault="007E3051" w:rsidP="007E3051">
      <w:pPr>
        <w:jc w:val="both"/>
        <w:rPr>
          <w:b/>
        </w:rPr>
      </w:pPr>
      <w:r w:rsidRPr="004D75FB">
        <w:rPr>
          <w:b/>
        </w:rPr>
        <w:t xml:space="preserve">Kesimpulan : </w:t>
      </w:r>
      <w:r w:rsidRPr="004D75FB">
        <w:t xml:space="preserve">pemberian VitB1B6B12 </w:t>
      </w:r>
      <w:r w:rsidRPr="004D75FB">
        <w:rPr>
          <w:i/>
        </w:rPr>
        <w:t xml:space="preserve">forte </w:t>
      </w:r>
      <w:r w:rsidRPr="004D75FB">
        <w:t xml:space="preserve">memperbaiki gejala neuropati perifer moderate dengan adanya perbaikan pada skor VAS dan TSS.   </w:t>
      </w:r>
    </w:p>
    <w:p w:rsidR="007E3051" w:rsidRPr="004D75FB" w:rsidRDefault="007E3051" w:rsidP="007E3051">
      <w:pPr>
        <w:jc w:val="both"/>
      </w:pPr>
      <w:r w:rsidRPr="004D75FB">
        <w:rPr>
          <w:b/>
        </w:rPr>
        <w:t xml:space="preserve">Kata kunci : </w:t>
      </w:r>
      <w:r w:rsidRPr="004D75FB">
        <w:t>Neuropati perifer, B1 B6 B12 forte, VAS, TSS</w:t>
      </w:r>
    </w:p>
    <w:p w:rsidR="007E3051" w:rsidRPr="004D75FB" w:rsidRDefault="007E3051" w:rsidP="007E3051">
      <w:pPr>
        <w:jc w:val="both"/>
      </w:pPr>
      <w:r w:rsidRPr="004D75FB">
        <w:t xml:space="preserve"> </w:t>
      </w:r>
    </w:p>
    <w:p w:rsidR="007E3051" w:rsidRPr="004D75FB" w:rsidRDefault="007E3051" w:rsidP="007E3051">
      <w:r w:rsidRPr="004D75FB">
        <w:br w:type="page"/>
      </w:r>
    </w:p>
    <w:p w:rsidR="007E3051" w:rsidRPr="009C1460" w:rsidRDefault="007E3051" w:rsidP="007E3051">
      <w:pPr>
        <w:jc w:val="center"/>
        <w:rPr>
          <w:b/>
        </w:rPr>
      </w:pPr>
      <w:r w:rsidRPr="009C1460">
        <w:rPr>
          <w:b/>
        </w:rPr>
        <w:lastRenderedPageBreak/>
        <w:t>EFFICACY OF VITAMIN B1 B6 B12 FORTE TREATMENT OF NEUROPATHIC PAIN</w:t>
      </w:r>
    </w:p>
    <w:p w:rsidR="007E3051" w:rsidRPr="009C1460" w:rsidRDefault="007E3051" w:rsidP="007E3051">
      <w:pPr>
        <w:jc w:val="center"/>
        <w:rPr>
          <w:b/>
        </w:rPr>
      </w:pPr>
      <w:r w:rsidRPr="009C1460">
        <w:rPr>
          <w:b/>
        </w:rPr>
        <w:t>Meyvita Silviana*, Maria Belladonna**</w:t>
      </w:r>
    </w:p>
    <w:p w:rsidR="007E3051" w:rsidRPr="004A7A46" w:rsidRDefault="007E3051" w:rsidP="007E3051">
      <w:pPr>
        <w:pBdr>
          <w:bottom w:val="single" w:sz="18" w:space="1" w:color="auto"/>
        </w:pBdr>
        <w:jc w:val="center"/>
      </w:pPr>
      <w:r w:rsidRPr="004A7A46">
        <w:t>*Residen Bagian Ilmu Penyakit Saraf FK UNDIP/ RSDK Semarang</w:t>
      </w:r>
      <w:r w:rsidRPr="004A7A46">
        <w:br/>
        <w:t>** Dosen Bagian Ilmu Penyakit Saraf FK UNDIP/RDSK Semarang</w:t>
      </w:r>
    </w:p>
    <w:p w:rsidR="007E3051" w:rsidRPr="009C1460" w:rsidRDefault="007E3051" w:rsidP="007E3051">
      <w:pPr>
        <w:rPr>
          <w:b/>
        </w:rPr>
      </w:pPr>
    </w:p>
    <w:p w:rsidR="007E3051" w:rsidRPr="009C1460" w:rsidRDefault="007E3051" w:rsidP="007E3051">
      <w:pPr>
        <w:jc w:val="center"/>
        <w:rPr>
          <w:b/>
        </w:rPr>
      </w:pPr>
      <w:r w:rsidRPr="009C1460">
        <w:rPr>
          <w:b/>
        </w:rPr>
        <w:t>ABSTRACT</w:t>
      </w:r>
    </w:p>
    <w:p w:rsidR="007E3051" w:rsidRPr="004D75FB" w:rsidRDefault="007E3051" w:rsidP="007E3051">
      <w:pPr>
        <w:jc w:val="both"/>
      </w:pPr>
      <w:r w:rsidRPr="004D75FB">
        <w:rPr>
          <w:b/>
        </w:rPr>
        <w:t xml:space="preserve">Background </w:t>
      </w:r>
      <w:r w:rsidRPr="004D75FB">
        <w:t>peripheral neuropathy may be caused by several etiologies, including diabetes mellitus, nutritional deficiency, entrapment or CTS, and idiopathic</w:t>
      </w:r>
    </w:p>
    <w:p w:rsidR="007E3051" w:rsidRPr="004D75FB" w:rsidRDefault="007E3051" w:rsidP="007E3051">
      <w:pPr>
        <w:jc w:val="both"/>
      </w:pPr>
      <w:r w:rsidRPr="004D75FB">
        <w:rPr>
          <w:b/>
        </w:rPr>
        <w:t xml:space="preserve">Aim </w:t>
      </w:r>
      <w:r w:rsidRPr="004D75FB">
        <w:t>this study was conducted to determine the effectiveness of Vitamin B1B6B12 forte in relieving the symptoms of Peripheral Neuropathy.</w:t>
      </w:r>
    </w:p>
    <w:p w:rsidR="007E3051" w:rsidRPr="004D75FB" w:rsidRDefault="007E3051" w:rsidP="007E3051">
      <w:pPr>
        <w:jc w:val="both"/>
      </w:pPr>
      <w:r w:rsidRPr="004D75FB">
        <w:rPr>
          <w:b/>
        </w:rPr>
        <w:t>Method</w:t>
      </w:r>
      <w:r w:rsidRPr="004D75FB">
        <w:t xml:space="preserve"> these pre and post experimental studies involved moderate peripheral neuropathic patients (TCNS ≥6 and MNSI ≥7) of neurology departement of RSUP Dr. Kariadi. Patients were prescribed Vit B1 100 mg, B6 100 mg, B12 5000 mcg once daily for 2 months. VAS and Total Symptom Score (TSS) was performed to evaluate patient’s numeric pain rating scale in the first and second months. SPSS was used to analyze the diffrence in VAS score (Wilcoxon Test) and TSS (Post Hoc test).</w:t>
      </w:r>
    </w:p>
    <w:p w:rsidR="007E3051" w:rsidRPr="004D75FB" w:rsidRDefault="007E3051" w:rsidP="007E3051">
      <w:pPr>
        <w:jc w:val="both"/>
      </w:pPr>
      <w:r w:rsidRPr="004D75FB">
        <w:rPr>
          <w:b/>
        </w:rPr>
        <w:t>Result</w:t>
      </w:r>
      <w:r w:rsidRPr="004D75FB">
        <w:t xml:space="preserve"> 30 patients ages 18-65, 70% women, 30% male, with idiopathic etiology (40%), CTS (26.7%), DM (23.3%), HNP (10%). There was significant difference from baseline to end of research on VAS (p &lt;0,05), and on TSS (p &lt;0,05).</w:t>
      </w:r>
    </w:p>
    <w:p w:rsidR="007E3051" w:rsidRDefault="007E3051" w:rsidP="007E3051">
      <w:pPr>
        <w:jc w:val="both"/>
      </w:pPr>
      <w:r w:rsidRPr="004D75FB">
        <w:rPr>
          <w:b/>
        </w:rPr>
        <w:t>Conclusion</w:t>
      </w:r>
      <w:r w:rsidRPr="004D75FB">
        <w:t xml:space="preserve"> administration of VitB1B6B12 forte improves the symptoms of peripheral neuropathy moderate with improvements in VAS and TSS scores.</w:t>
      </w:r>
    </w:p>
    <w:p w:rsidR="007E3051" w:rsidRDefault="007E3051" w:rsidP="007E3051">
      <w:pPr>
        <w:jc w:val="both"/>
      </w:pPr>
      <w:r>
        <w:rPr>
          <w:b/>
        </w:rPr>
        <w:t xml:space="preserve">Keywords </w:t>
      </w:r>
      <w:r>
        <w:t>Perypheral neuropathy</w:t>
      </w:r>
      <w:r w:rsidRPr="004D75FB">
        <w:t>, B1 B6 B12 forte, VAS, TSS</w:t>
      </w:r>
    </w:p>
    <w:p w:rsidR="007E3051" w:rsidRDefault="007E3051">
      <w:pPr>
        <w:spacing w:after="200" w:line="276" w:lineRule="auto"/>
      </w:pPr>
      <w:r>
        <w:br w:type="page"/>
      </w:r>
    </w:p>
    <w:p w:rsidR="007E3051" w:rsidRDefault="007E3051" w:rsidP="007E3051">
      <w:pPr>
        <w:rPr>
          <w:b/>
          <w:lang w:val="id-ID"/>
        </w:rPr>
      </w:pPr>
      <w:r w:rsidRPr="00B77618">
        <w:rPr>
          <w:b/>
        </w:rPr>
        <w:lastRenderedPageBreak/>
        <w:t>Pendahuluan</w:t>
      </w:r>
    </w:p>
    <w:p w:rsidR="00B77618" w:rsidRPr="00B77618" w:rsidRDefault="00B77618" w:rsidP="007E3051">
      <w:pPr>
        <w:rPr>
          <w:b/>
          <w:lang w:val="id-ID"/>
        </w:rPr>
      </w:pPr>
    </w:p>
    <w:p w:rsidR="007E3051" w:rsidRPr="00C92EB3" w:rsidRDefault="007E3051" w:rsidP="007E3051">
      <w:pPr>
        <w:ind w:firstLine="720"/>
        <w:jc w:val="both"/>
        <w:rPr>
          <w:vertAlign w:val="superscript"/>
        </w:rPr>
      </w:pPr>
      <w:r w:rsidRPr="00C92EB3">
        <w:t>Pengertian nyeri neuropatik menurut</w:t>
      </w:r>
      <w:r w:rsidRPr="00C92EB3">
        <w:rPr>
          <w:i/>
        </w:rPr>
        <w:t xml:space="preserve"> International Association for The</w:t>
      </w:r>
      <w:r w:rsidR="004D20AB">
        <w:rPr>
          <w:i/>
          <w:lang w:val="id-ID"/>
        </w:rPr>
        <w:t xml:space="preserve"> </w:t>
      </w:r>
      <w:r w:rsidRPr="00C92EB3">
        <w:rPr>
          <w:i/>
        </w:rPr>
        <w:t>Study of Pain (LASP)</w:t>
      </w:r>
      <w:r w:rsidRPr="00C92EB3">
        <w:t>adalah nyeri yang dipicu atau disebabkan oleh lesi primer atau disfungsi dari sistem saraf dan dapat disebabkan oleh kompresi atau infiltrasi dari nervus atau suatu tergantung dimana lesi atau disfungsi terjadi. Nyeri neuropati bisa didefinisikan sebagai nyeri abnormal baik yang terjadi akibat lesi pada sistem saraf perifer maupun sentral. Prevalensi nyeri neuropati adalah sekitar 1,5% dari seluruh populasi di Amerika Serikat. Beberapa penyakit dapat bermanifestasi nyeri neuropati,seperti trigeminal neuralgia, diabetic neuropathy, spinal cord injury, kanker, stroke dan degenerative neurological disease.</w:t>
      </w:r>
      <w:r w:rsidRPr="00C92EB3">
        <w:rPr>
          <w:vertAlign w:val="superscript"/>
        </w:rPr>
        <w:t>1</w:t>
      </w:r>
    </w:p>
    <w:p w:rsidR="007E3051" w:rsidRPr="00C92EB3" w:rsidRDefault="007E3051" w:rsidP="007E3051">
      <w:pPr>
        <w:ind w:firstLine="720"/>
        <w:jc w:val="both"/>
        <w:rPr>
          <w:vertAlign w:val="superscript"/>
        </w:rPr>
      </w:pPr>
      <w:r w:rsidRPr="00C92EB3">
        <w:t>Angka kejadian Nyeri Neuropati juga ditemukan cukup tinggi di Eropa yakni 7-8% dari populasi umum.</w:t>
      </w:r>
      <w:r w:rsidRPr="00C92EB3">
        <w:rPr>
          <w:vertAlign w:val="superscript"/>
        </w:rPr>
        <w:t>2</w:t>
      </w:r>
      <w:r w:rsidRPr="00C92EB3">
        <w:t xml:space="preserve"> Di Indonesia sendiri berdasarkan hasil penelitian multicenter rawat jalan 14 RS Pendidikan yang dilakukan Pokdi Nyeri PERDOSSI tahun 2002 didapatkan 4.456 kasus nyeri, 9,5% diantaranya adalah nyeri neuropatik. Angka ini meningkat pada tahun 2012 di 13 RS di Indonesia terhadap 8.160 subjek dengan instrumen penapis yang lebih sensitif, menjadi 21,8%. Mayoritas subyek adalah lelaki (62,1%) berusia 40-60 tahun dengan nyeri punggung bawah, CTS , Frozen shoulder, neuropati diabetika dan brcachialgia. </w:t>
      </w:r>
      <w:r w:rsidRPr="00C92EB3">
        <w:rPr>
          <w:vertAlign w:val="superscript"/>
        </w:rPr>
        <w:t>3</w:t>
      </w:r>
    </w:p>
    <w:p w:rsidR="007E3051" w:rsidRPr="00C92EB3" w:rsidRDefault="007E3051" w:rsidP="007E3051">
      <w:pPr>
        <w:ind w:firstLine="720"/>
        <w:jc w:val="both"/>
        <w:rPr>
          <w:vertAlign w:val="superscript"/>
        </w:rPr>
      </w:pPr>
      <w:r w:rsidRPr="00C92EB3">
        <w:t>Sensasi nyeri normalnya diawali oleh aktivitas pada saraf afferent unmyelinated (C-) dan thinly myelinated (Aδ-). Nosiseptor ini biasanya tidak akan tereksitasi tanpa adanya stimulasi dari luar. Akan tetapi, ketika terjadi lesi pada saraf perifer, neurons ini bisa menjadi sensitive yang abnormal dan mengembangkan aktivitas neurologi spontan yang patologis.</w:t>
      </w:r>
      <w:r>
        <w:rPr>
          <w:vertAlign w:val="superscript"/>
        </w:rPr>
        <w:t>4</w:t>
      </w:r>
    </w:p>
    <w:p w:rsidR="007E3051" w:rsidRPr="00FA0CBA" w:rsidRDefault="007E3051" w:rsidP="007E3051">
      <w:pPr>
        <w:ind w:firstLine="720"/>
        <w:jc w:val="both"/>
        <w:rPr>
          <w:vertAlign w:val="superscript"/>
        </w:rPr>
      </w:pPr>
      <w:r w:rsidRPr="00C92EB3">
        <w:t xml:space="preserve">Aktivitas ektopik spontan yang terjadi pada sel saraf yang rusak juga menunjukkan adanya peningkatan ekspresi m-RNA untuk </w:t>
      </w:r>
      <w:r w:rsidRPr="00C92EB3">
        <w:rPr>
          <w:i/>
        </w:rPr>
        <w:t>voltage-gated sodium channels</w:t>
      </w:r>
      <w:r w:rsidRPr="00C92EB3">
        <w:t xml:space="preserve">. Kelompok </w:t>
      </w:r>
      <w:r w:rsidRPr="00C92EB3">
        <w:rPr>
          <w:i/>
        </w:rPr>
        <w:t xml:space="preserve">sodium channel </w:t>
      </w:r>
      <w:r w:rsidRPr="00C92EB3">
        <w:t>ini pada situs ektopik ini bertanggung jawab atas rendahnya ambang batas dari aksi potensial dan hiperaktivitas. Rendahnya ambang batas dari potensial aksi ini dapat menyebabkan sensitivitas terhadap rangsangan sehingga ketika ada rangsangan yang normalnya belum menyebabkan nyeri, bisa langsung menyebabkan nyeri yang berlebihan.</w:t>
      </w:r>
      <w:r>
        <w:rPr>
          <w:vertAlign w:val="superscript"/>
        </w:rPr>
        <w:t>4</w:t>
      </w:r>
    </w:p>
    <w:p w:rsidR="007E3051" w:rsidRPr="00C92EB3" w:rsidRDefault="007E3051" w:rsidP="007E3051">
      <w:pPr>
        <w:ind w:firstLine="720"/>
        <w:jc w:val="both"/>
        <w:rPr>
          <w:vertAlign w:val="superscript"/>
        </w:rPr>
      </w:pPr>
      <w:r w:rsidRPr="00C92EB3">
        <w:t>Lesi pada sel saraf akan menyebabkan regenerasi sel saraf dan tumbuhnya neuroma pada bagian proksimal sel saraf. Eksitasi abnormal dan discharge abnormal bisa muncul pada neuroma ini. Hal ini dapat menyebabkan nyeri abnormal yang spontan pada pasien neuropati.</w:t>
      </w:r>
      <w:r>
        <w:rPr>
          <w:vertAlign w:val="superscript"/>
        </w:rPr>
        <w:t>1,4</w:t>
      </w:r>
    </w:p>
    <w:p w:rsidR="007E3051" w:rsidRPr="00C92EB3" w:rsidRDefault="007E3051" w:rsidP="007E3051">
      <w:pPr>
        <w:ind w:firstLine="720"/>
        <w:jc w:val="both"/>
        <w:rPr>
          <w:vertAlign w:val="superscript"/>
        </w:rPr>
      </w:pPr>
      <w:r w:rsidRPr="00C92EB3">
        <w:t>Setelah terjadi lesi pada sel saraf, makrofag yang telah aktif akan masuk dari endoneural bl</w:t>
      </w:r>
      <w:r w:rsidR="00535E0E">
        <w:t>ood vessel kedalam saraf</w:t>
      </w:r>
      <w:r w:rsidRPr="00C92EB3">
        <w:t xml:space="preserve"> dan mengeluarkan sitokin. Mediator inflamasi ini akan menginduksi aktivitas ektopik pada sel saraf yang terluka dan juga sel saraf normal didekatnya. Pada pasien yang dengan inflammatory neuropathies akan mengalami nyeri yang sangat dalam.</w:t>
      </w:r>
      <w:r>
        <w:rPr>
          <w:vertAlign w:val="superscript"/>
        </w:rPr>
        <w:t>4</w:t>
      </w:r>
    </w:p>
    <w:p w:rsidR="007E3051" w:rsidRPr="00FA0CBA" w:rsidRDefault="007E3051" w:rsidP="007E3051">
      <w:pPr>
        <w:ind w:firstLine="720"/>
        <w:jc w:val="both"/>
        <w:rPr>
          <w:vertAlign w:val="superscript"/>
        </w:rPr>
      </w:pPr>
      <w:r w:rsidRPr="00C92EB3">
        <w:t>Sebagai konsekuensi terhadap hiperaktivitas nosiseptor perifer, perubahan sekunder yang dramatis terjadi pada cornu dorsal dari medulla spinalis. Lesi pada saraf perifer akan meningkatkan kemampuan eksitasi pada multiresepsi pada neuron medulla spinalis (wide-dinamic-range neuron). Hipereksitasi ini bermanifestasi oleh karena meningkatnya aktivitas sel saraf sebagai respon terhadap stimulasi noxious, ekspansi lapangan neuronal receptive dan penyebaran hipereksitasi spinal ke segmen yang lain.</w:t>
      </w:r>
      <w:r>
        <w:rPr>
          <w:vertAlign w:val="superscript"/>
        </w:rPr>
        <w:t>4</w:t>
      </w:r>
    </w:p>
    <w:p w:rsidR="007E3051" w:rsidRPr="00C92EB3" w:rsidRDefault="007E3051" w:rsidP="007E3051">
      <w:pPr>
        <w:ind w:firstLine="720"/>
        <w:jc w:val="both"/>
        <w:rPr>
          <w:vertAlign w:val="superscript"/>
        </w:rPr>
      </w:pPr>
      <w:r w:rsidRPr="00C92EB3">
        <w:t>Pada keadaan normal, neuron pada cornu dorsal akan menerima inhibisi kuat yaitu GABA (gamma-aminobutyric acid). Pada hewan percobaan, partial nerve injury akan menginisasi apoptosis dari GABA pada bagian superficial neuron pada cornu dorsal. Hal ini menambah rangsangan nyeri yang akan diterima oleh pasien neuropati.</w:t>
      </w:r>
    </w:p>
    <w:p w:rsidR="007E3051" w:rsidRPr="00C92EB3" w:rsidRDefault="007E3051" w:rsidP="007E3051">
      <w:pPr>
        <w:ind w:firstLine="720"/>
        <w:jc w:val="both"/>
        <w:rPr>
          <w:vertAlign w:val="superscript"/>
        </w:rPr>
      </w:pPr>
      <w:r w:rsidRPr="00C92EB3">
        <w:t xml:space="preserve">Penurunan gejala neuropati dengan farmakoterapi yang dapat digunakan antara lain dengan antikonvulsan, antidepresan dan neurotropik yang termasuk didalamnya adalah vitamin B1, B6, dan B12. Vitamin neurotropik berfungsi menormalkan fungsi saraf dengan memperbaiki gangguan metabolisme saraf melalui pemberian asupan yang dibutuhkan (Perdossi, 2012). Pemberian vitamin B1 (100mg), B6 (100mg), dan B12 (200mcg) terbukti </w:t>
      </w:r>
      <w:r w:rsidRPr="00C92EB3">
        <w:lastRenderedPageBreak/>
        <w:t>efisien dal</w:t>
      </w:r>
      <w:r>
        <w:t>am penurunan gejala neuropati.</w:t>
      </w:r>
      <w:r>
        <w:rPr>
          <w:vertAlign w:val="superscript"/>
        </w:rPr>
        <w:t>5</w:t>
      </w:r>
      <w:r>
        <w:t xml:space="preserve"> </w:t>
      </w:r>
      <w:r w:rsidRPr="00C92EB3">
        <w:t>Kurangnya data yang tersedia mengenai vitamin B1, B6, dan B12 sebagai faktor determinan penurunan gejala neuropati perifer (nyeri, terbakar, kesemutan dan mati rasa), serta semakin meningkatnya angka kejadian neuropati perifer, sehingga peneliti ingin mengetahui lebih lanjut tentang pengaruh vitamin B1, B6, dan B12 terhadap gejala neuropati perifer (nyeri, rasa terbakar, kesemutan dan mati rasa).</w:t>
      </w:r>
    </w:p>
    <w:p w:rsidR="007E3051" w:rsidRPr="00C92EB3" w:rsidRDefault="007E3051" w:rsidP="007E3051">
      <w:pPr>
        <w:ind w:firstLine="720"/>
        <w:jc w:val="both"/>
        <w:rPr>
          <w:vertAlign w:val="superscript"/>
        </w:rPr>
      </w:pPr>
      <w:r w:rsidRPr="00C92EB3">
        <w:t xml:space="preserve">Penelitian ini menggunakan disain </w:t>
      </w:r>
      <w:r w:rsidRPr="00C92EB3">
        <w:rPr>
          <w:i/>
        </w:rPr>
        <w:t>pre</w:t>
      </w:r>
      <w:r w:rsidRPr="00C92EB3">
        <w:t xml:space="preserve"> dan </w:t>
      </w:r>
      <w:r w:rsidRPr="00C92EB3">
        <w:rPr>
          <w:i/>
        </w:rPr>
        <w:t>post test</w:t>
      </w:r>
      <w:r w:rsidRPr="00C92EB3">
        <w:t xml:space="preserve">. </w:t>
      </w:r>
      <w:r w:rsidRPr="005D2D90">
        <w:t xml:space="preserve">Peneliti akan melakukan pengamatan pada pasien neuropati perifer derajat sedang yang didiagnosis dengan metode skrining neuropati perifer yaitu Michigan Neuropathy Screening Instrument (MNSI) atau Toronto clinical neuropathy Score (TCNS). </w:t>
      </w:r>
      <w:r w:rsidRPr="00C92EB3">
        <w:t xml:space="preserve">Pasien yang memiliki score yang sesuai dengan kriteria diagnosis dan kriteria penelitian akan dijadikan sebagai subjek penelitian. </w:t>
      </w:r>
    </w:p>
    <w:p w:rsidR="007E3051" w:rsidRPr="00C92EB3" w:rsidRDefault="007E3051" w:rsidP="007E3051">
      <w:pPr>
        <w:jc w:val="both"/>
      </w:pPr>
      <w:r w:rsidRPr="00C92EB3">
        <w:t>Metode</w:t>
      </w:r>
    </w:p>
    <w:p w:rsidR="007E3051" w:rsidRPr="00C92EB3" w:rsidRDefault="007E3051" w:rsidP="007E3051">
      <w:pPr>
        <w:ind w:firstLine="720"/>
        <w:jc w:val="both"/>
      </w:pPr>
      <w:r w:rsidRPr="00C92EB3">
        <w:t xml:space="preserve">Penelitian ini dilaksanakan di poliklinik Rumah Sakit Umum Pusat </w:t>
      </w:r>
      <w:r w:rsidR="00535E0E">
        <w:rPr>
          <w:lang w:val="id-ID"/>
        </w:rPr>
        <w:t xml:space="preserve">Dr. Kariadi </w:t>
      </w:r>
      <w:r w:rsidRPr="00C92EB3">
        <w:t>de</w:t>
      </w:r>
      <w:r w:rsidR="00535E0E">
        <w:t>ngan menggunakan d</w:t>
      </w:r>
      <w:r w:rsidR="00535E0E">
        <w:rPr>
          <w:lang w:val="id-ID"/>
        </w:rPr>
        <w:t>e</w:t>
      </w:r>
      <w:r w:rsidRPr="00C92EB3">
        <w:t xml:space="preserve">sain </w:t>
      </w:r>
      <w:r w:rsidRPr="00C92EB3">
        <w:rPr>
          <w:i/>
        </w:rPr>
        <w:t xml:space="preserve">pre </w:t>
      </w:r>
      <w:r w:rsidRPr="00C92EB3">
        <w:t xml:space="preserve">dan </w:t>
      </w:r>
      <w:r w:rsidRPr="00C92EB3">
        <w:rPr>
          <w:i/>
        </w:rPr>
        <w:t>post test</w:t>
      </w:r>
      <w:r w:rsidRPr="00C92EB3">
        <w:t xml:space="preserve">. </w:t>
      </w:r>
      <w:r>
        <w:t>P</w:t>
      </w:r>
      <w:r w:rsidRPr="00805057">
        <w:t xml:space="preserve">emilihan subjek penelitian dilakukan dengan metode consecutive </w:t>
      </w:r>
      <w:r w:rsidRPr="00805057">
        <w:rPr>
          <w:i/>
        </w:rPr>
        <w:t>sampling</w:t>
      </w:r>
      <w:r>
        <w:t xml:space="preserve">. </w:t>
      </w:r>
      <w:r w:rsidRPr="00C92EB3">
        <w:t xml:space="preserve">Peneliti melakukan pengamatan pada subjek yang didiagnosis neuropati perifer serta dilakukan pengukuran derajatnya yang kemudian diberi vitamin B1, B6, B12 selama 2 bulan oleh peniliti. Skrining dan pengukuran derajat neuropati pada subjek dilakukan pada hari ke-0, ke-30, dan ke-60, setelah masuk dalam kriteria penelitian subjek diberikan terapi vitamin B1 (100mg), B6 (100mg), B12 (5000mcg) oleh peneliti. Penelitian dilakukan selama 60 hari pada setiap pasien. Kunjungan atau follow up pasien dilakukan pada hari ke-30 dan ke-60. Kriteria inklusi tersebut adalah usia diatas 18 </w:t>
      </w:r>
      <w:r w:rsidRPr="005D2D90">
        <w:t>tahun dan kurang dari 65 tahun; bersedia menjadi subjek penelitian; subjek menderita neuropati perifer derajat sedang yang didiagnosa dengan MNSI (MNSI Score&gt;=7) atau TCNS &gt;=6 yang dilakukan ol</w:t>
      </w:r>
      <w:r w:rsidR="00535E0E">
        <w:t>eh professional paramedis; ne</w:t>
      </w:r>
      <w:r w:rsidR="00535E0E">
        <w:rPr>
          <w:lang w:val="id-ID"/>
        </w:rPr>
        <w:t>uro</w:t>
      </w:r>
      <w:r w:rsidRPr="005D2D90">
        <w:t xml:space="preserve">pati perifer yang termasuk dalam macam etiologi antara lain ; diabetes </w:t>
      </w:r>
      <w:r w:rsidRPr="00C92EB3">
        <w:t>melitus, nutritional, CTS, idiopatik, dan lain2</w:t>
      </w:r>
      <w:r w:rsidR="00535E0E">
        <w:rPr>
          <w:lang w:val="id-ID"/>
        </w:rPr>
        <w:t xml:space="preserve"> </w:t>
      </w:r>
      <w:r w:rsidRPr="00C92EB3">
        <w:t>(seperti entrapment, HNP, dsb)</w:t>
      </w:r>
    </w:p>
    <w:p w:rsidR="007E3051" w:rsidRPr="00C92EB3" w:rsidRDefault="007E3051" w:rsidP="007E3051">
      <w:pPr>
        <w:ind w:firstLine="720"/>
        <w:jc w:val="both"/>
      </w:pPr>
      <w:r w:rsidRPr="00C92EB3">
        <w:t>Sementara apabila pasien diketahui memiliki klinis penyakit jantung, paru, gastrointestinal, hematologi, hepatik, renal maupun endokrin( kecuali diabetes melitus) pasien akan dieksklusikan, kemudian pasien yang menerima terapi methotrexate maupu obat sitostatik lainnya , hipersensitiv terhadap kandungan Vit B1B6B12 Forte, dicurigai mengarah pada neuropati genetik, dalam kehamilan maupun menyusui, menjalani operasi gastrointestinal setidaknya 6 bulan sebelum informed consent, dalam terapi psikiatri atau menurut peneliti akan mempengaruhi penilaian subjek, neuropati derajat berat (TCNS &gt;=12,VAS&gt;= 7)  yang pernah menerima NSAID, gabapentin, pregabalin, atau obat antiinflamasi lain semuanya akan dieksklusikan. Pasien yang pernah mengkonsumsi Vit B complex(Vit B1 100-300mg, B6 50-600mcg, B12 200-500</w:t>
      </w:r>
      <w:r w:rsidR="00535E0E">
        <w:rPr>
          <w:lang w:val="id-ID"/>
        </w:rPr>
        <w:t>0</w:t>
      </w:r>
      <w:r w:rsidRPr="00C92EB3">
        <w:t xml:space="preserve">mcg) oral maupun parenteral selama lebih dari 1 minggu dalam 3 bulan terakhir sebelum informed consent juga dieksklusikan dari penelitian ini. </w:t>
      </w:r>
    </w:p>
    <w:p w:rsidR="007E3051" w:rsidRDefault="007E3051" w:rsidP="007E3051">
      <w:pPr>
        <w:ind w:firstLine="720"/>
        <w:jc w:val="both"/>
        <w:rPr>
          <w:lang w:val="id-ID"/>
        </w:rPr>
      </w:pPr>
      <w:r w:rsidRPr="00811FBE">
        <w:t xml:space="preserve">Metode diagnosis dengan Michigan Neuropathy </w:t>
      </w:r>
      <w:r>
        <w:t>Screening Instrument (MNSI) dan</w:t>
      </w:r>
      <w:r w:rsidRPr="00811FBE">
        <w:t xml:space="preserve"> Toronto clinical neuropathy Score (TCNS)</w:t>
      </w:r>
      <w:r>
        <w:t>.</w:t>
      </w:r>
      <w:r>
        <w:rPr>
          <w:color w:val="FF0000"/>
        </w:rPr>
        <w:t xml:space="preserve"> </w:t>
      </w:r>
      <w:r w:rsidRPr="00C92EB3">
        <w:t xml:space="preserve">Perbaikan  gejala neuropati akan dinilai setiap kali kunjungan dengan metode VAS dan Total Symptom Score (TSS) dengan menilai gejala antara lain intensitas nyeri, sensasi terbakar, kesemutan, dan mati rasa. Data total symptoms score kemudian dibandingkan dengan pemberian terapi vitamin B1 (100mg), B6 (100mg), B12 (5000mcg) setiap kunjungan yang kemudian dilihat penurunan gejala neuropati yang bermakna pada setiap kunjungan setelah pemakaian terapi </w:t>
      </w:r>
      <w:r w:rsidRPr="005D2D90">
        <w:t>vitamin B1, B6 dan B12. Uji beda skor VAS dengan uji Wilcoxon dan TSS dengan uji Post Hoc, dan dikatakan bermakna jika p &lt; 0,05.</w:t>
      </w:r>
    </w:p>
    <w:p w:rsidR="00B77618" w:rsidRDefault="00B77618" w:rsidP="007E3051">
      <w:pPr>
        <w:ind w:firstLine="720"/>
        <w:jc w:val="both"/>
        <w:rPr>
          <w:lang w:val="id-ID"/>
        </w:rPr>
      </w:pPr>
    </w:p>
    <w:p w:rsidR="00B77618" w:rsidRDefault="00B77618" w:rsidP="007E3051">
      <w:pPr>
        <w:ind w:firstLine="720"/>
        <w:jc w:val="both"/>
        <w:rPr>
          <w:lang w:val="id-ID"/>
        </w:rPr>
      </w:pPr>
    </w:p>
    <w:p w:rsidR="00B77618" w:rsidRDefault="00B77618" w:rsidP="007E3051">
      <w:pPr>
        <w:ind w:firstLine="720"/>
        <w:jc w:val="both"/>
        <w:rPr>
          <w:lang w:val="id-ID"/>
        </w:rPr>
      </w:pPr>
    </w:p>
    <w:p w:rsidR="00B77618" w:rsidRPr="00B77618" w:rsidRDefault="00B77618" w:rsidP="007E3051">
      <w:pPr>
        <w:ind w:firstLine="720"/>
        <w:jc w:val="both"/>
        <w:rPr>
          <w:lang w:val="id-ID"/>
        </w:rPr>
      </w:pPr>
    </w:p>
    <w:p w:rsidR="007E3051" w:rsidRDefault="007E3051" w:rsidP="007E3051">
      <w:pPr>
        <w:jc w:val="both"/>
        <w:rPr>
          <w:b/>
          <w:lang w:val="id-ID"/>
        </w:rPr>
      </w:pPr>
      <w:r w:rsidRPr="00B77618">
        <w:rPr>
          <w:b/>
        </w:rPr>
        <w:t>Hasil</w:t>
      </w:r>
    </w:p>
    <w:p w:rsidR="00B77618" w:rsidRPr="00B77618" w:rsidRDefault="00B77618" w:rsidP="007E3051">
      <w:pPr>
        <w:jc w:val="both"/>
        <w:rPr>
          <w:b/>
          <w:lang w:val="id-ID"/>
        </w:rPr>
      </w:pPr>
    </w:p>
    <w:p w:rsidR="007E3051" w:rsidRPr="00A3016F" w:rsidRDefault="007E3051" w:rsidP="007E3051">
      <w:pPr>
        <w:ind w:firstLine="720"/>
        <w:jc w:val="both"/>
        <w:rPr>
          <w:color w:val="FF0000"/>
        </w:rPr>
      </w:pPr>
      <w:r>
        <w:lastRenderedPageBreak/>
        <w:t xml:space="preserve">Pada penelitian ini (tabel 1) didapatkan subjek didominasi jenis kelamin perempuan (70%) dan etiologi idiopatik (40%) dengan rerata usia pasien 52,9 tahun. Berturut – turut etiologi dari keseluruhan subjek yang ada yaitu terdiri dari </w:t>
      </w:r>
      <w:r>
        <w:rPr>
          <w:i/>
        </w:rPr>
        <w:t xml:space="preserve">Carpal tunnel syndrome </w:t>
      </w:r>
      <w:r>
        <w:t xml:space="preserve">(26,7%), diabetes mellitus (23%), dan </w:t>
      </w:r>
      <w:r>
        <w:rPr>
          <w:i/>
        </w:rPr>
        <w:t xml:space="preserve">Hernia nucleus pulposus </w:t>
      </w:r>
      <w:r>
        <w:t>(10%). Didapatkan pula pasien dengan faktor resiko yang dapat mempengaruhi luaran dari penelitian berupa hipertensi (60%), merokok (30%), alkohol (3,3%),serta konsumsi teh dan kopi (100%).</w:t>
      </w:r>
    </w:p>
    <w:p w:rsidR="007E3051" w:rsidRDefault="007E3051" w:rsidP="007E3051">
      <w:pPr>
        <w:rPr>
          <w:b/>
        </w:rPr>
      </w:pPr>
    </w:p>
    <w:p w:rsidR="007E3051" w:rsidRDefault="007E3051" w:rsidP="007E3051">
      <w:r w:rsidRPr="00C92EB3">
        <w:rPr>
          <w:b/>
        </w:rPr>
        <w:t xml:space="preserve">Tabel 1. </w:t>
      </w:r>
      <w:r w:rsidRPr="00C92EB3">
        <w:t>Karakteristik Data Pasien Neuropati Perifer</w:t>
      </w:r>
    </w:p>
    <w:tbl>
      <w:tblPr>
        <w:tblStyle w:val="TableGrid"/>
        <w:tblW w:w="0" w:type="auto"/>
        <w:tblBorders>
          <w:left w:val="none" w:sz="0" w:space="0" w:color="auto"/>
          <w:right w:val="none" w:sz="0" w:space="0" w:color="auto"/>
          <w:insideV w:val="none" w:sz="0" w:space="0" w:color="auto"/>
        </w:tblBorders>
        <w:tblLook w:val="04A0" w:firstRow="1" w:lastRow="0" w:firstColumn="1" w:lastColumn="0" w:noHBand="0" w:noVBand="1"/>
      </w:tblPr>
      <w:tblGrid>
        <w:gridCol w:w="2235"/>
        <w:gridCol w:w="689"/>
        <w:gridCol w:w="709"/>
        <w:gridCol w:w="1688"/>
        <w:gridCol w:w="2584"/>
      </w:tblGrid>
      <w:tr w:rsidR="007E3051" w:rsidRPr="0025171E" w:rsidTr="000F576F">
        <w:tc>
          <w:tcPr>
            <w:tcW w:w="2235" w:type="dxa"/>
            <w:tcBorders>
              <w:bottom w:val="single" w:sz="4" w:space="0" w:color="000000" w:themeColor="text1"/>
            </w:tcBorders>
            <w:vAlign w:val="center"/>
          </w:tcPr>
          <w:p w:rsidR="007E3051" w:rsidRPr="0025171E" w:rsidRDefault="007E3051" w:rsidP="000F576F">
            <w:pPr>
              <w:jc w:val="center"/>
              <w:rPr>
                <w:b/>
              </w:rPr>
            </w:pPr>
            <w:r w:rsidRPr="0025171E">
              <w:rPr>
                <w:b/>
              </w:rPr>
              <w:t>Variabel</w:t>
            </w:r>
          </w:p>
        </w:tc>
        <w:tc>
          <w:tcPr>
            <w:tcW w:w="689" w:type="dxa"/>
            <w:tcBorders>
              <w:bottom w:val="single" w:sz="4" w:space="0" w:color="000000" w:themeColor="text1"/>
            </w:tcBorders>
            <w:vAlign w:val="center"/>
          </w:tcPr>
          <w:p w:rsidR="007E3051" w:rsidRPr="0025171E" w:rsidRDefault="007E3051" w:rsidP="000F576F">
            <w:pPr>
              <w:jc w:val="center"/>
              <w:rPr>
                <w:b/>
              </w:rPr>
            </w:pPr>
            <w:r w:rsidRPr="0025171E">
              <w:rPr>
                <w:b/>
              </w:rPr>
              <w:t>F</w:t>
            </w:r>
          </w:p>
        </w:tc>
        <w:tc>
          <w:tcPr>
            <w:tcW w:w="709" w:type="dxa"/>
            <w:tcBorders>
              <w:bottom w:val="single" w:sz="4" w:space="0" w:color="000000" w:themeColor="text1"/>
            </w:tcBorders>
            <w:vAlign w:val="center"/>
          </w:tcPr>
          <w:p w:rsidR="007E3051" w:rsidRPr="0025171E" w:rsidRDefault="007E3051" w:rsidP="000F576F">
            <w:pPr>
              <w:jc w:val="center"/>
              <w:rPr>
                <w:b/>
              </w:rPr>
            </w:pPr>
            <w:r w:rsidRPr="0025171E">
              <w:rPr>
                <w:b/>
              </w:rPr>
              <w:t>%</w:t>
            </w:r>
          </w:p>
        </w:tc>
        <w:tc>
          <w:tcPr>
            <w:tcW w:w="1688" w:type="dxa"/>
            <w:tcBorders>
              <w:bottom w:val="single" w:sz="4" w:space="0" w:color="000000" w:themeColor="text1"/>
            </w:tcBorders>
            <w:vAlign w:val="center"/>
          </w:tcPr>
          <w:p w:rsidR="007E3051" w:rsidRPr="0025171E" w:rsidRDefault="007E3051" w:rsidP="000F576F">
            <w:pPr>
              <w:jc w:val="center"/>
              <w:rPr>
                <w:b/>
              </w:rPr>
            </w:pPr>
            <w:r w:rsidRPr="0025171E">
              <w:rPr>
                <w:b/>
              </w:rPr>
              <w:t>Mean ± SD</w:t>
            </w:r>
          </w:p>
        </w:tc>
        <w:tc>
          <w:tcPr>
            <w:tcW w:w="2584" w:type="dxa"/>
            <w:tcBorders>
              <w:bottom w:val="single" w:sz="4" w:space="0" w:color="000000" w:themeColor="text1"/>
            </w:tcBorders>
            <w:vAlign w:val="center"/>
          </w:tcPr>
          <w:p w:rsidR="007E3051" w:rsidRPr="0025171E" w:rsidRDefault="007E3051" w:rsidP="000F576F">
            <w:pPr>
              <w:jc w:val="center"/>
              <w:rPr>
                <w:b/>
              </w:rPr>
            </w:pPr>
            <w:r w:rsidRPr="0025171E">
              <w:rPr>
                <w:b/>
              </w:rPr>
              <w:t>Median (Range)</w:t>
            </w:r>
          </w:p>
        </w:tc>
      </w:tr>
      <w:tr w:rsidR="007E3051" w:rsidRPr="0025171E" w:rsidTr="000F576F">
        <w:tc>
          <w:tcPr>
            <w:tcW w:w="2235" w:type="dxa"/>
            <w:tcBorders>
              <w:bottom w:val="nil"/>
            </w:tcBorders>
            <w:vAlign w:val="center"/>
          </w:tcPr>
          <w:p w:rsidR="007E3051" w:rsidRPr="0025171E" w:rsidRDefault="007E3051" w:rsidP="000F576F">
            <w:pPr>
              <w:tabs>
                <w:tab w:val="left" w:pos="255"/>
              </w:tabs>
              <w:jc w:val="both"/>
            </w:pPr>
            <w:r w:rsidRPr="0025171E">
              <w:t>Jenis kelamin</w:t>
            </w:r>
          </w:p>
        </w:tc>
        <w:tc>
          <w:tcPr>
            <w:tcW w:w="689" w:type="dxa"/>
            <w:tcBorders>
              <w:bottom w:val="nil"/>
            </w:tcBorders>
            <w:vAlign w:val="center"/>
          </w:tcPr>
          <w:p w:rsidR="007E3051" w:rsidRPr="0025171E" w:rsidRDefault="007E3051" w:rsidP="000F576F">
            <w:pPr>
              <w:jc w:val="center"/>
            </w:pPr>
          </w:p>
        </w:tc>
        <w:tc>
          <w:tcPr>
            <w:tcW w:w="709" w:type="dxa"/>
            <w:tcBorders>
              <w:bottom w:val="nil"/>
            </w:tcBorders>
            <w:vAlign w:val="center"/>
          </w:tcPr>
          <w:p w:rsidR="007E3051" w:rsidRPr="0025171E" w:rsidRDefault="007E3051" w:rsidP="000F576F">
            <w:pPr>
              <w:jc w:val="center"/>
            </w:pPr>
          </w:p>
        </w:tc>
        <w:tc>
          <w:tcPr>
            <w:tcW w:w="1688" w:type="dxa"/>
            <w:tcBorders>
              <w:bottom w:val="nil"/>
            </w:tcBorders>
            <w:vAlign w:val="center"/>
          </w:tcPr>
          <w:p w:rsidR="007E3051" w:rsidRPr="0025171E" w:rsidRDefault="007E3051" w:rsidP="000F576F">
            <w:pPr>
              <w:jc w:val="center"/>
            </w:pPr>
          </w:p>
        </w:tc>
        <w:tc>
          <w:tcPr>
            <w:tcW w:w="2584" w:type="dxa"/>
            <w:tcBorders>
              <w:bottom w:val="nil"/>
            </w:tcBorders>
            <w:vAlign w:val="center"/>
          </w:tcPr>
          <w:p w:rsidR="007E3051" w:rsidRPr="0025171E" w:rsidRDefault="007E3051" w:rsidP="000F576F">
            <w:pPr>
              <w:jc w:val="center"/>
            </w:pPr>
          </w:p>
        </w:tc>
      </w:tr>
      <w:tr w:rsidR="007E3051" w:rsidRPr="0025171E" w:rsidTr="000F576F">
        <w:tc>
          <w:tcPr>
            <w:tcW w:w="2235" w:type="dxa"/>
            <w:tcBorders>
              <w:top w:val="nil"/>
              <w:bottom w:val="nil"/>
            </w:tcBorders>
            <w:vAlign w:val="center"/>
          </w:tcPr>
          <w:p w:rsidR="007E3051" w:rsidRPr="0025171E" w:rsidRDefault="007E3051" w:rsidP="000F576F">
            <w:pPr>
              <w:tabs>
                <w:tab w:val="left" w:pos="255"/>
              </w:tabs>
              <w:jc w:val="both"/>
            </w:pPr>
            <w:r w:rsidRPr="0025171E">
              <w:tab/>
              <w:t>Laki-laki</w:t>
            </w:r>
          </w:p>
        </w:tc>
        <w:tc>
          <w:tcPr>
            <w:tcW w:w="689" w:type="dxa"/>
            <w:tcBorders>
              <w:top w:val="nil"/>
              <w:bottom w:val="nil"/>
            </w:tcBorders>
            <w:vAlign w:val="center"/>
          </w:tcPr>
          <w:p w:rsidR="007E3051" w:rsidRPr="0025171E" w:rsidRDefault="007E3051" w:rsidP="000F576F">
            <w:pPr>
              <w:jc w:val="center"/>
            </w:pPr>
            <w:r w:rsidRPr="0025171E">
              <w:t>9</w:t>
            </w:r>
          </w:p>
        </w:tc>
        <w:tc>
          <w:tcPr>
            <w:tcW w:w="709" w:type="dxa"/>
            <w:tcBorders>
              <w:top w:val="nil"/>
              <w:bottom w:val="nil"/>
            </w:tcBorders>
            <w:vAlign w:val="center"/>
          </w:tcPr>
          <w:p w:rsidR="007E3051" w:rsidRPr="0025171E" w:rsidRDefault="007E3051" w:rsidP="000F576F">
            <w:pPr>
              <w:jc w:val="center"/>
            </w:pPr>
            <w:r w:rsidRPr="0025171E">
              <w:t>30</w:t>
            </w:r>
          </w:p>
        </w:tc>
        <w:tc>
          <w:tcPr>
            <w:tcW w:w="1688" w:type="dxa"/>
            <w:tcBorders>
              <w:top w:val="nil"/>
              <w:bottom w:val="nil"/>
            </w:tcBorders>
            <w:vAlign w:val="center"/>
          </w:tcPr>
          <w:p w:rsidR="007E3051" w:rsidRPr="0025171E" w:rsidRDefault="007E3051" w:rsidP="000F576F">
            <w:pPr>
              <w:jc w:val="center"/>
            </w:pPr>
          </w:p>
        </w:tc>
        <w:tc>
          <w:tcPr>
            <w:tcW w:w="2584" w:type="dxa"/>
            <w:tcBorders>
              <w:top w:val="nil"/>
              <w:bottom w:val="nil"/>
            </w:tcBorders>
            <w:vAlign w:val="center"/>
          </w:tcPr>
          <w:p w:rsidR="007E3051" w:rsidRPr="0025171E" w:rsidRDefault="007E3051" w:rsidP="000F576F">
            <w:pPr>
              <w:jc w:val="center"/>
            </w:pPr>
          </w:p>
        </w:tc>
      </w:tr>
      <w:tr w:rsidR="007E3051" w:rsidRPr="0025171E" w:rsidTr="000F576F">
        <w:tc>
          <w:tcPr>
            <w:tcW w:w="2235" w:type="dxa"/>
            <w:tcBorders>
              <w:top w:val="nil"/>
              <w:bottom w:val="nil"/>
            </w:tcBorders>
            <w:vAlign w:val="center"/>
          </w:tcPr>
          <w:p w:rsidR="007E3051" w:rsidRPr="0025171E" w:rsidRDefault="007E3051" w:rsidP="000F576F">
            <w:pPr>
              <w:tabs>
                <w:tab w:val="left" w:pos="255"/>
              </w:tabs>
              <w:jc w:val="both"/>
            </w:pPr>
            <w:r w:rsidRPr="0025171E">
              <w:tab/>
              <w:t>Perempuan</w:t>
            </w:r>
          </w:p>
        </w:tc>
        <w:tc>
          <w:tcPr>
            <w:tcW w:w="689" w:type="dxa"/>
            <w:tcBorders>
              <w:top w:val="nil"/>
              <w:bottom w:val="nil"/>
            </w:tcBorders>
            <w:vAlign w:val="center"/>
          </w:tcPr>
          <w:p w:rsidR="007E3051" w:rsidRPr="0025171E" w:rsidRDefault="007E3051" w:rsidP="000F576F">
            <w:pPr>
              <w:jc w:val="center"/>
            </w:pPr>
            <w:r w:rsidRPr="0025171E">
              <w:t>21</w:t>
            </w:r>
          </w:p>
        </w:tc>
        <w:tc>
          <w:tcPr>
            <w:tcW w:w="709" w:type="dxa"/>
            <w:tcBorders>
              <w:top w:val="nil"/>
              <w:bottom w:val="nil"/>
            </w:tcBorders>
            <w:vAlign w:val="center"/>
          </w:tcPr>
          <w:p w:rsidR="007E3051" w:rsidRPr="0025171E" w:rsidRDefault="007E3051" w:rsidP="000F576F">
            <w:pPr>
              <w:jc w:val="center"/>
            </w:pPr>
            <w:r w:rsidRPr="0025171E">
              <w:t>70</w:t>
            </w:r>
          </w:p>
        </w:tc>
        <w:tc>
          <w:tcPr>
            <w:tcW w:w="1688" w:type="dxa"/>
            <w:tcBorders>
              <w:top w:val="nil"/>
              <w:bottom w:val="nil"/>
            </w:tcBorders>
            <w:vAlign w:val="center"/>
          </w:tcPr>
          <w:p w:rsidR="007E3051" w:rsidRPr="0025171E" w:rsidRDefault="007E3051" w:rsidP="000F576F">
            <w:pPr>
              <w:jc w:val="center"/>
            </w:pPr>
          </w:p>
        </w:tc>
        <w:tc>
          <w:tcPr>
            <w:tcW w:w="2584" w:type="dxa"/>
            <w:tcBorders>
              <w:top w:val="nil"/>
              <w:bottom w:val="nil"/>
            </w:tcBorders>
            <w:vAlign w:val="center"/>
          </w:tcPr>
          <w:p w:rsidR="007E3051" w:rsidRPr="0025171E" w:rsidRDefault="007E3051" w:rsidP="000F576F">
            <w:pPr>
              <w:jc w:val="center"/>
            </w:pPr>
          </w:p>
        </w:tc>
      </w:tr>
      <w:tr w:rsidR="007E3051" w:rsidRPr="0025171E" w:rsidTr="000F576F">
        <w:tc>
          <w:tcPr>
            <w:tcW w:w="2235" w:type="dxa"/>
            <w:tcBorders>
              <w:top w:val="nil"/>
              <w:bottom w:val="nil"/>
            </w:tcBorders>
            <w:vAlign w:val="center"/>
          </w:tcPr>
          <w:p w:rsidR="007E3051" w:rsidRPr="0025171E" w:rsidRDefault="007E3051" w:rsidP="000F576F">
            <w:pPr>
              <w:tabs>
                <w:tab w:val="left" w:pos="255"/>
              </w:tabs>
              <w:jc w:val="both"/>
            </w:pPr>
            <w:r w:rsidRPr="0025171E">
              <w:t>Umur</w:t>
            </w:r>
          </w:p>
        </w:tc>
        <w:tc>
          <w:tcPr>
            <w:tcW w:w="689" w:type="dxa"/>
            <w:tcBorders>
              <w:top w:val="nil"/>
              <w:bottom w:val="nil"/>
            </w:tcBorders>
            <w:vAlign w:val="center"/>
          </w:tcPr>
          <w:p w:rsidR="007E3051" w:rsidRPr="0025171E" w:rsidRDefault="007E3051" w:rsidP="000F576F">
            <w:pPr>
              <w:jc w:val="center"/>
            </w:pPr>
          </w:p>
        </w:tc>
        <w:tc>
          <w:tcPr>
            <w:tcW w:w="709" w:type="dxa"/>
            <w:tcBorders>
              <w:top w:val="nil"/>
              <w:bottom w:val="nil"/>
            </w:tcBorders>
            <w:vAlign w:val="center"/>
          </w:tcPr>
          <w:p w:rsidR="007E3051" w:rsidRPr="0025171E" w:rsidRDefault="007E3051" w:rsidP="000F576F">
            <w:pPr>
              <w:jc w:val="center"/>
            </w:pPr>
          </w:p>
        </w:tc>
        <w:tc>
          <w:tcPr>
            <w:tcW w:w="1688" w:type="dxa"/>
            <w:tcBorders>
              <w:top w:val="nil"/>
              <w:bottom w:val="nil"/>
            </w:tcBorders>
            <w:vAlign w:val="center"/>
          </w:tcPr>
          <w:p w:rsidR="007E3051" w:rsidRPr="0025171E" w:rsidRDefault="007E3051" w:rsidP="000F576F">
            <w:pPr>
              <w:jc w:val="center"/>
            </w:pPr>
            <w:r w:rsidRPr="0025171E">
              <w:t>52,90 ± 5,79</w:t>
            </w:r>
          </w:p>
        </w:tc>
        <w:tc>
          <w:tcPr>
            <w:tcW w:w="2584" w:type="dxa"/>
            <w:tcBorders>
              <w:top w:val="nil"/>
              <w:bottom w:val="nil"/>
            </w:tcBorders>
            <w:vAlign w:val="center"/>
          </w:tcPr>
          <w:p w:rsidR="007E3051" w:rsidRPr="0025171E" w:rsidRDefault="007E3051" w:rsidP="000F576F">
            <w:pPr>
              <w:jc w:val="center"/>
            </w:pPr>
            <w:r w:rsidRPr="0025171E">
              <w:t>55 (36 – 61)</w:t>
            </w:r>
          </w:p>
        </w:tc>
      </w:tr>
      <w:tr w:rsidR="007E3051" w:rsidRPr="0025171E" w:rsidTr="000F576F">
        <w:tc>
          <w:tcPr>
            <w:tcW w:w="2235" w:type="dxa"/>
            <w:tcBorders>
              <w:top w:val="nil"/>
              <w:bottom w:val="nil"/>
            </w:tcBorders>
            <w:vAlign w:val="center"/>
          </w:tcPr>
          <w:p w:rsidR="007E3051" w:rsidRPr="0025171E" w:rsidRDefault="007E3051" w:rsidP="000F576F">
            <w:pPr>
              <w:tabs>
                <w:tab w:val="left" w:pos="255"/>
              </w:tabs>
              <w:jc w:val="both"/>
            </w:pPr>
            <w:r w:rsidRPr="0025171E">
              <w:t>Etiologi</w:t>
            </w:r>
          </w:p>
        </w:tc>
        <w:tc>
          <w:tcPr>
            <w:tcW w:w="689" w:type="dxa"/>
            <w:tcBorders>
              <w:top w:val="nil"/>
              <w:bottom w:val="nil"/>
            </w:tcBorders>
            <w:vAlign w:val="center"/>
          </w:tcPr>
          <w:p w:rsidR="007E3051" w:rsidRPr="0025171E" w:rsidRDefault="007E3051" w:rsidP="000F576F">
            <w:pPr>
              <w:jc w:val="center"/>
            </w:pPr>
          </w:p>
        </w:tc>
        <w:tc>
          <w:tcPr>
            <w:tcW w:w="709" w:type="dxa"/>
            <w:tcBorders>
              <w:top w:val="nil"/>
              <w:bottom w:val="nil"/>
            </w:tcBorders>
            <w:vAlign w:val="center"/>
          </w:tcPr>
          <w:p w:rsidR="007E3051" w:rsidRPr="0025171E" w:rsidRDefault="007E3051" w:rsidP="000F576F">
            <w:pPr>
              <w:jc w:val="center"/>
            </w:pPr>
          </w:p>
        </w:tc>
        <w:tc>
          <w:tcPr>
            <w:tcW w:w="1688" w:type="dxa"/>
            <w:tcBorders>
              <w:top w:val="nil"/>
              <w:bottom w:val="nil"/>
            </w:tcBorders>
            <w:vAlign w:val="center"/>
          </w:tcPr>
          <w:p w:rsidR="007E3051" w:rsidRPr="0025171E" w:rsidRDefault="007E3051" w:rsidP="000F576F">
            <w:pPr>
              <w:jc w:val="center"/>
            </w:pPr>
          </w:p>
        </w:tc>
        <w:tc>
          <w:tcPr>
            <w:tcW w:w="2584" w:type="dxa"/>
            <w:tcBorders>
              <w:top w:val="nil"/>
              <w:bottom w:val="nil"/>
            </w:tcBorders>
            <w:vAlign w:val="center"/>
          </w:tcPr>
          <w:p w:rsidR="007E3051" w:rsidRPr="0025171E" w:rsidRDefault="007E3051" w:rsidP="000F576F">
            <w:pPr>
              <w:jc w:val="center"/>
            </w:pPr>
          </w:p>
        </w:tc>
      </w:tr>
      <w:tr w:rsidR="007E3051" w:rsidRPr="0025171E" w:rsidTr="000F576F">
        <w:tc>
          <w:tcPr>
            <w:tcW w:w="2235" w:type="dxa"/>
            <w:tcBorders>
              <w:top w:val="nil"/>
              <w:bottom w:val="nil"/>
            </w:tcBorders>
            <w:vAlign w:val="center"/>
          </w:tcPr>
          <w:p w:rsidR="007E3051" w:rsidRPr="0025171E" w:rsidRDefault="007E3051" w:rsidP="000F576F">
            <w:pPr>
              <w:tabs>
                <w:tab w:val="left" w:pos="255"/>
              </w:tabs>
              <w:jc w:val="both"/>
            </w:pPr>
            <w:r w:rsidRPr="0025171E">
              <w:tab/>
              <w:t>DM</w:t>
            </w:r>
          </w:p>
        </w:tc>
        <w:tc>
          <w:tcPr>
            <w:tcW w:w="689" w:type="dxa"/>
            <w:tcBorders>
              <w:top w:val="nil"/>
              <w:bottom w:val="nil"/>
            </w:tcBorders>
            <w:vAlign w:val="center"/>
          </w:tcPr>
          <w:p w:rsidR="007E3051" w:rsidRPr="0025171E" w:rsidRDefault="007E3051" w:rsidP="000F576F">
            <w:pPr>
              <w:jc w:val="center"/>
            </w:pPr>
            <w:r w:rsidRPr="0025171E">
              <w:t>7</w:t>
            </w:r>
          </w:p>
        </w:tc>
        <w:tc>
          <w:tcPr>
            <w:tcW w:w="709" w:type="dxa"/>
            <w:tcBorders>
              <w:top w:val="nil"/>
              <w:bottom w:val="nil"/>
            </w:tcBorders>
            <w:vAlign w:val="center"/>
          </w:tcPr>
          <w:p w:rsidR="007E3051" w:rsidRPr="0025171E" w:rsidRDefault="007E3051" w:rsidP="000F576F">
            <w:pPr>
              <w:jc w:val="center"/>
            </w:pPr>
            <w:r w:rsidRPr="0025171E">
              <w:t>23,3</w:t>
            </w:r>
          </w:p>
        </w:tc>
        <w:tc>
          <w:tcPr>
            <w:tcW w:w="1688" w:type="dxa"/>
            <w:tcBorders>
              <w:top w:val="nil"/>
              <w:bottom w:val="nil"/>
            </w:tcBorders>
            <w:vAlign w:val="center"/>
          </w:tcPr>
          <w:p w:rsidR="007E3051" w:rsidRPr="0025171E" w:rsidRDefault="007E3051" w:rsidP="000F576F">
            <w:pPr>
              <w:jc w:val="center"/>
            </w:pPr>
          </w:p>
        </w:tc>
        <w:tc>
          <w:tcPr>
            <w:tcW w:w="2584" w:type="dxa"/>
            <w:tcBorders>
              <w:top w:val="nil"/>
              <w:bottom w:val="nil"/>
            </w:tcBorders>
            <w:vAlign w:val="center"/>
          </w:tcPr>
          <w:p w:rsidR="007E3051" w:rsidRPr="0025171E" w:rsidRDefault="007E3051" w:rsidP="000F576F">
            <w:pPr>
              <w:jc w:val="center"/>
            </w:pPr>
          </w:p>
        </w:tc>
      </w:tr>
      <w:tr w:rsidR="007E3051" w:rsidRPr="0025171E" w:rsidTr="000F576F">
        <w:tc>
          <w:tcPr>
            <w:tcW w:w="2235" w:type="dxa"/>
            <w:tcBorders>
              <w:top w:val="nil"/>
              <w:bottom w:val="nil"/>
            </w:tcBorders>
            <w:vAlign w:val="center"/>
          </w:tcPr>
          <w:p w:rsidR="007E3051" w:rsidRPr="0025171E" w:rsidRDefault="007E3051" w:rsidP="000F576F">
            <w:pPr>
              <w:tabs>
                <w:tab w:val="left" w:pos="255"/>
              </w:tabs>
              <w:jc w:val="both"/>
            </w:pPr>
            <w:r w:rsidRPr="0025171E">
              <w:tab/>
              <w:t>HNP</w:t>
            </w:r>
          </w:p>
        </w:tc>
        <w:tc>
          <w:tcPr>
            <w:tcW w:w="689" w:type="dxa"/>
            <w:tcBorders>
              <w:top w:val="nil"/>
              <w:bottom w:val="nil"/>
            </w:tcBorders>
            <w:vAlign w:val="center"/>
          </w:tcPr>
          <w:p w:rsidR="007E3051" w:rsidRPr="0025171E" w:rsidRDefault="007E3051" w:rsidP="000F576F">
            <w:pPr>
              <w:jc w:val="center"/>
            </w:pPr>
            <w:r w:rsidRPr="0025171E">
              <w:t>3</w:t>
            </w:r>
          </w:p>
        </w:tc>
        <w:tc>
          <w:tcPr>
            <w:tcW w:w="709" w:type="dxa"/>
            <w:tcBorders>
              <w:top w:val="nil"/>
              <w:bottom w:val="nil"/>
            </w:tcBorders>
            <w:vAlign w:val="center"/>
          </w:tcPr>
          <w:p w:rsidR="007E3051" w:rsidRPr="0025171E" w:rsidRDefault="007E3051" w:rsidP="000F576F">
            <w:pPr>
              <w:jc w:val="center"/>
            </w:pPr>
            <w:r w:rsidRPr="0025171E">
              <w:t>10</w:t>
            </w:r>
          </w:p>
        </w:tc>
        <w:tc>
          <w:tcPr>
            <w:tcW w:w="1688" w:type="dxa"/>
            <w:tcBorders>
              <w:top w:val="nil"/>
              <w:bottom w:val="nil"/>
            </w:tcBorders>
            <w:vAlign w:val="center"/>
          </w:tcPr>
          <w:p w:rsidR="007E3051" w:rsidRPr="0025171E" w:rsidRDefault="007E3051" w:rsidP="000F576F">
            <w:pPr>
              <w:jc w:val="center"/>
            </w:pPr>
          </w:p>
        </w:tc>
        <w:tc>
          <w:tcPr>
            <w:tcW w:w="2584" w:type="dxa"/>
            <w:tcBorders>
              <w:top w:val="nil"/>
              <w:bottom w:val="nil"/>
            </w:tcBorders>
            <w:vAlign w:val="center"/>
          </w:tcPr>
          <w:p w:rsidR="007E3051" w:rsidRPr="0025171E" w:rsidRDefault="007E3051" w:rsidP="000F576F">
            <w:pPr>
              <w:jc w:val="center"/>
            </w:pPr>
          </w:p>
        </w:tc>
      </w:tr>
      <w:tr w:rsidR="007E3051" w:rsidRPr="0025171E" w:rsidTr="000F576F">
        <w:tc>
          <w:tcPr>
            <w:tcW w:w="2235" w:type="dxa"/>
            <w:tcBorders>
              <w:top w:val="nil"/>
              <w:bottom w:val="nil"/>
            </w:tcBorders>
            <w:vAlign w:val="center"/>
          </w:tcPr>
          <w:p w:rsidR="007E3051" w:rsidRPr="0025171E" w:rsidRDefault="007E3051" w:rsidP="000F576F">
            <w:pPr>
              <w:tabs>
                <w:tab w:val="left" w:pos="255"/>
              </w:tabs>
              <w:jc w:val="both"/>
            </w:pPr>
            <w:r w:rsidRPr="0025171E">
              <w:tab/>
              <w:t>CTS</w:t>
            </w:r>
          </w:p>
        </w:tc>
        <w:tc>
          <w:tcPr>
            <w:tcW w:w="689" w:type="dxa"/>
            <w:tcBorders>
              <w:top w:val="nil"/>
              <w:bottom w:val="nil"/>
            </w:tcBorders>
            <w:vAlign w:val="center"/>
          </w:tcPr>
          <w:p w:rsidR="007E3051" w:rsidRPr="0025171E" w:rsidRDefault="007E3051" w:rsidP="000F576F">
            <w:pPr>
              <w:jc w:val="center"/>
            </w:pPr>
            <w:r w:rsidRPr="0025171E">
              <w:t>8</w:t>
            </w:r>
          </w:p>
        </w:tc>
        <w:tc>
          <w:tcPr>
            <w:tcW w:w="709" w:type="dxa"/>
            <w:tcBorders>
              <w:top w:val="nil"/>
              <w:bottom w:val="nil"/>
            </w:tcBorders>
            <w:vAlign w:val="center"/>
          </w:tcPr>
          <w:p w:rsidR="007E3051" w:rsidRPr="0025171E" w:rsidRDefault="007E3051" w:rsidP="000F576F">
            <w:pPr>
              <w:jc w:val="center"/>
            </w:pPr>
            <w:r w:rsidRPr="0025171E">
              <w:t>26,7</w:t>
            </w:r>
          </w:p>
        </w:tc>
        <w:tc>
          <w:tcPr>
            <w:tcW w:w="1688" w:type="dxa"/>
            <w:tcBorders>
              <w:top w:val="nil"/>
              <w:bottom w:val="nil"/>
            </w:tcBorders>
            <w:vAlign w:val="center"/>
          </w:tcPr>
          <w:p w:rsidR="007E3051" w:rsidRPr="0025171E" w:rsidRDefault="007E3051" w:rsidP="000F576F">
            <w:pPr>
              <w:jc w:val="center"/>
            </w:pPr>
          </w:p>
        </w:tc>
        <w:tc>
          <w:tcPr>
            <w:tcW w:w="2584" w:type="dxa"/>
            <w:tcBorders>
              <w:top w:val="nil"/>
              <w:bottom w:val="nil"/>
            </w:tcBorders>
            <w:vAlign w:val="center"/>
          </w:tcPr>
          <w:p w:rsidR="007E3051" w:rsidRPr="0025171E" w:rsidRDefault="007E3051" w:rsidP="000F576F">
            <w:pPr>
              <w:jc w:val="center"/>
            </w:pPr>
          </w:p>
        </w:tc>
      </w:tr>
      <w:tr w:rsidR="007E3051" w:rsidRPr="0025171E" w:rsidTr="000F576F">
        <w:tc>
          <w:tcPr>
            <w:tcW w:w="2235" w:type="dxa"/>
            <w:tcBorders>
              <w:top w:val="nil"/>
              <w:bottom w:val="nil"/>
            </w:tcBorders>
            <w:vAlign w:val="center"/>
          </w:tcPr>
          <w:p w:rsidR="007E3051" w:rsidRPr="0025171E" w:rsidRDefault="007E3051" w:rsidP="000F576F">
            <w:pPr>
              <w:tabs>
                <w:tab w:val="left" w:pos="255"/>
              </w:tabs>
              <w:jc w:val="both"/>
            </w:pPr>
            <w:r w:rsidRPr="0025171E">
              <w:tab/>
              <w:t>Idiopatik</w:t>
            </w:r>
          </w:p>
        </w:tc>
        <w:tc>
          <w:tcPr>
            <w:tcW w:w="689" w:type="dxa"/>
            <w:tcBorders>
              <w:top w:val="nil"/>
              <w:bottom w:val="nil"/>
            </w:tcBorders>
            <w:vAlign w:val="center"/>
          </w:tcPr>
          <w:p w:rsidR="007E3051" w:rsidRPr="0025171E" w:rsidRDefault="007E3051" w:rsidP="000F576F">
            <w:pPr>
              <w:jc w:val="center"/>
            </w:pPr>
            <w:r w:rsidRPr="0025171E">
              <w:t>12</w:t>
            </w:r>
          </w:p>
        </w:tc>
        <w:tc>
          <w:tcPr>
            <w:tcW w:w="709" w:type="dxa"/>
            <w:tcBorders>
              <w:top w:val="nil"/>
              <w:bottom w:val="nil"/>
            </w:tcBorders>
            <w:vAlign w:val="center"/>
          </w:tcPr>
          <w:p w:rsidR="007E3051" w:rsidRPr="0025171E" w:rsidRDefault="007E3051" w:rsidP="000F576F">
            <w:pPr>
              <w:jc w:val="center"/>
            </w:pPr>
            <w:r w:rsidRPr="0025171E">
              <w:t>40</w:t>
            </w:r>
          </w:p>
        </w:tc>
        <w:tc>
          <w:tcPr>
            <w:tcW w:w="1688" w:type="dxa"/>
            <w:tcBorders>
              <w:top w:val="nil"/>
              <w:bottom w:val="nil"/>
            </w:tcBorders>
            <w:vAlign w:val="center"/>
          </w:tcPr>
          <w:p w:rsidR="007E3051" w:rsidRPr="0025171E" w:rsidRDefault="007E3051" w:rsidP="000F576F">
            <w:pPr>
              <w:jc w:val="center"/>
            </w:pPr>
          </w:p>
        </w:tc>
        <w:tc>
          <w:tcPr>
            <w:tcW w:w="2584" w:type="dxa"/>
            <w:tcBorders>
              <w:top w:val="nil"/>
              <w:bottom w:val="nil"/>
            </w:tcBorders>
            <w:vAlign w:val="center"/>
          </w:tcPr>
          <w:p w:rsidR="007E3051" w:rsidRPr="0025171E" w:rsidRDefault="007E3051" w:rsidP="000F576F">
            <w:pPr>
              <w:jc w:val="center"/>
            </w:pPr>
          </w:p>
        </w:tc>
      </w:tr>
      <w:tr w:rsidR="007E3051" w:rsidRPr="0025171E" w:rsidTr="000F576F">
        <w:tc>
          <w:tcPr>
            <w:tcW w:w="2235" w:type="dxa"/>
            <w:tcBorders>
              <w:top w:val="nil"/>
              <w:bottom w:val="nil"/>
            </w:tcBorders>
            <w:vAlign w:val="center"/>
          </w:tcPr>
          <w:p w:rsidR="007E3051" w:rsidRPr="0025171E" w:rsidRDefault="007E3051" w:rsidP="000F576F">
            <w:pPr>
              <w:tabs>
                <w:tab w:val="left" w:pos="255"/>
              </w:tabs>
              <w:jc w:val="both"/>
            </w:pPr>
            <w:r w:rsidRPr="0025171E">
              <w:t>MNSI Subjektif</w:t>
            </w:r>
          </w:p>
        </w:tc>
        <w:tc>
          <w:tcPr>
            <w:tcW w:w="689" w:type="dxa"/>
            <w:tcBorders>
              <w:top w:val="nil"/>
              <w:bottom w:val="nil"/>
            </w:tcBorders>
            <w:vAlign w:val="center"/>
          </w:tcPr>
          <w:p w:rsidR="007E3051" w:rsidRPr="0025171E" w:rsidRDefault="007E3051" w:rsidP="000F576F">
            <w:pPr>
              <w:jc w:val="center"/>
            </w:pPr>
          </w:p>
        </w:tc>
        <w:tc>
          <w:tcPr>
            <w:tcW w:w="709" w:type="dxa"/>
            <w:tcBorders>
              <w:top w:val="nil"/>
              <w:bottom w:val="nil"/>
            </w:tcBorders>
            <w:vAlign w:val="center"/>
          </w:tcPr>
          <w:p w:rsidR="007E3051" w:rsidRPr="0025171E" w:rsidRDefault="007E3051" w:rsidP="000F576F">
            <w:pPr>
              <w:jc w:val="center"/>
            </w:pPr>
          </w:p>
        </w:tc>
        <w:tc>
          <w:tcPr>
            <w:tcW w:w="1688" w:type="dxa"/>
            <w:tcBorders>
              <w:top w:val="nil"/>
              <w:bottom w:val="nil"/>
            </w:tcBorders>
            <w:vAlign w:val="center"/>
          </w:tcPr>
          <w:p w:rsidR="007E3051" w:rsidRPr="0025171E" w:rsidRDefault="007E3051" w:rsidP="000F576F">
            <w:pPr>
              <w:jc w:val="center"/>
            </w:pPr>
            <w:r w:rsidRPr="0025171E">
              <w:t>7,90 ± 1,09</w:t>
            </w:r>
          </w:p>
        </w:tc>
        <w:tc>
          <w:tcPr>
            <w:tcW w:w="2584" w:type="dxa"/>
            <w:tcBorders>
              <w:top w:val="nil"/>
              <w:bottom w:val="nil"/>
            </w:tcBorders>
            <w:vAlign w:val="center"/>
          </w:tcPr>
          <w:p w:rsidR="007E3051" w:rsidRPr="0025171E" w:rsidRDefault="007E3051" w:rsidP="000F576F">
            <w:pPr>
              <w:jc w:val="center"/>
            </w:pPr>
            <w:r w:rsidRPr="0025171E">
              <w:t>8 (6 – 10)</w:t>
            </w:r>
          </w:p>
        </w:tc>
      </w:tr>
      <w:tr w:rsidR="007E3051" w:rsidRPr="0025171E" w:rsidTr="000F576F">
        <w:tc>
          <w:tcPr>
            <w:tcW w:w="2235" w:type="dxa"/>
            <w:tcBorders>
              <w:top w:val="nil"/>
              <w:bottom w:val="nil"/>
            </w:tcBorders>
            <w:vAlign w:val="center"/>
          </w:tcPr>
          <w:p w:rsidR="007E3051" w:rsidRPr="0025171E" w:rsidRDefault="007E3051" w:rsidP="000F576F">
            <w:pPr>
              <w:tabs>
                <w:tab w:val="left" w:pos="255"/>
              </w:tabs>
              <w:jc w:val="both"/>
            </w:pPr>
            <w:r w:rsidRPr="0025171E">
              <w:t>MNSI Objektif</w:t>
            </w:r>
          </w:p>
        </w:tc>
        <w:tc>
          <w:tcPr>
            <w:tcW w:w="689" w:type="dxa"/>
            <w:tcBorders>
              <w:top w:val="nil"/>
              <w:bottom w:val="nil"/>
            </w:tcBorders>
            <w:vAlign w:val="center"/>
          </w:tcPr>
          <w:p w:rsidR="007E3051" w:rsidRPr="0025171E" w:rsidRDefault="007E3051" w:rsidP="000F576F">
            <w:pPr>
              <w:jc w:val="center"/>
            </w:pPr>
          </w:p>
        </w:tc>
        <w:tc>
          <w:tcPr>
            <w:tcW w:w="709" w:type="dxa"/>
            <w:tcBorders>
              <w:top w:val="nil"/>
              <w:bottom w:val="nil"/>
            </w:tcBorders>
            <w:vAlign w:val="center"/>
          </w:tcPr>
          <w:p w:rsidR="007E3051" w:rsidRPr="0025171E" w:rsidRDefault="007E3051" w:rsidP="000F576F">
            <w:pPr>
              <w:jc w:val="center"/>
            </w:pPr>
          </w:p>
        </w:tc>
        <w:tc>
          <w:tcPr>
            <w:tcW w:w="1688" w:type="dxa"/>
            <w:tcBorders>
              <w:top w:val="nil"/>
              <w:bottom w:val="nil"/>
            </w:tcBorders>
            <w:vAlign w:val="center"/>
          </w:tcPr>
          <w:p w:rsidR="007E3051" w:rsidRPr="0025171E" w:rsidRDefault="007E3051" w:rsidP="000F576F">
            <w:pPr>
              <w:jc w:val="center"/>
            </w:pPr>
            <w:r w:rsidRPr="0025171E">
              <w:t>1,20 ± 6,66</w:t>
            </w:r>
          </w:p>
        </w:tc>
        <w:tc>
          <w:tcPr>
            <w:tcW w:w="2584" w:type="dxa"/>
            <w:tcBorders>
              <w:top w:val="nil"/>
              <w:bottom w:val="nil"/>
            </w:tcBorders>
            <w:vAlign w:val="center"/>
          </w:tcPr>
          <w:p w:rsidR="007E3051" w:rsidRPr="0025171E" w:rsidRDefault="007E3051" w:rsidP="000F576F">
            <w:pPr>
              <w:jc w:val="center"/>
            </w:pPr>
            <w:r w:rsidRPr="0025171E">
              <w:t>1 (0 – 3)</w:t>
            </w:r>
          </w:p>
        </w:tc>
      </w:tr>
      <w:tr w:rsidR="007E3051" w:rsidRPr="0025171E" w:rsidTr="000F576F">
        <w:tc>
          <w:tcPr>
            <w:tcW w:w="2235" w:type="dxa"/>
            <w:tcBorders>
              <w:top w:val="nil"/>
              <w:bottom w:val="nil"/>
            </w:tcBorders>
            <w:vAlign w:val="center"/>
          </w:tcPr>
          <w:p w:rsidR="007E3051" w:rsidRPr="0025171E" w:rsidRDefault="007E3051" w:rsidP="000F576F">
            <w:pPr>
              <w:tabs>
                <w:tab w:val="left" w:pos="255"/>
              </w:tabs>
              <w:jc w:val="both"/>
            </w:pPr>
            <w:r w:rsidRPr="0025171E">
              <w:t>TCNS</w:t>
            </w:r>
          </w:p>
        </w:tc>
        <w:tc>
          <w:tcPr>
            <w:tcW w:w="689" w:type="dxa"/>
            <w:tcBorders>
              <w:top w:val="nil"/>
              <w:bottom w:val="nil"/>
            </w:tcBorders>
            <w:vAlign w:val="center"/>
          </w:tcPr>
          <w:p w:rsidR="007E3051" w:rsidRPr="0025171E" w:rsidRDefault="007E3051" w:rsidP="000F576F">
            <w:pPr>
              <w:jc w:val="center"/>
            </w:pPr>
          </w:p>
        </w:tc>
        <w:tc>
          <w:tcPr>
            <w:tcW w:w="709" w:type="dxa"/>
            <w:tcBorders>
              <w:top w:val="nil"/>
              <w:bottom w:val="nil"/>
            </w:tcBorders>
            <w:vAlign w:val="center"/>
          </w:tcPr>
          <w:p w:rsidR="007E3051" w:rsidRPr="0025171E" w:rsidRDefault="007E3051" w:rsidP="000F576F">
            <w:pPr>
              <w:jc w:val="center"/>
            </w:pPr>
          </w:p>
        </w:tc>
        <w:tc>
          <w:tcPr>
            <w:tcW w:w="1688" w:type="dxa"/>
            <w:tcBorders>
              <w:top w:val="nil"/>
              <w:bottom w:val="nil"/>
            </w:tcBorders>
            <w:vAlign w:val="center"/>
          </w:tcPr>
          <w:p w:rsidR="007E3051" w:rsidRPr="0025171E" w:rsidRDefault="007E3051" w:rsidP="000F576F">
            <w:pPr>
              <w:jc w:val="center"/>
            </w:pPr>
            <w:r w:rsidRPr="0025171E">
              <w:t>7,83 ± 1,05</w:t>
            </w:r>
          </w:p>
        </w:tc>
        <w:tc>
          <w:tcPr>
            <w:tcW w:w="2584" w:type="dxa"/>
            <w:tcBorders>
              <w:top w:val="nil"/>
              <w:bottom w:val="nil"/>
            </w:tcBorders>
            <w:vAlign w:val="center"/>
          </w:tcPr>
          <w:p w:rsidR="007E3051" w:rsidRPr="0025171E" w:rsidRDefault="007E3051" w:rsidP="000F576F">
            <w:pPr>
              <w:jc w:val="center"/>
            </w:pPr>
            <w:r w:rsidRPr="0025171E">
              <w:t>8 (6 – 11)</w:t>
            </w:r>
          </w:p>
        </w:tc>
      </w:tr>
      <w:tr w:rsidR="007E3051" w:rsidRPr="0025171E" w:rsidTr="000F576F">
        <w:tc>
          <w:tcPr>
            <w:tcW w:w="2235" w:type="dxa"/>
            <w:tcBorders>
              <w:top w:val="nil"/>
              <w:bottom w:val="nil"/>
            </w:tcBorders>
            <w:vAlign w:val="center"/>
          </w:tcPr>
          <w:p w:rsidR="007E3051" w:rsidRPr="0025171E" w:rsidRDefault="007E3051" w:rsidP="000F576F">
            <w:pPr>
              <w:tabs>
                <w:tab w:val="left" w:pos="255"/>
              </w:tabs>
              <w:jc w:val="both"/>
            </w:pPr>
            <w:r w:rsidRPr="0025171E">
              <w:t>Hipertensi</w:t>
            </w:r>
          </w:p>
        </w:tc>
        <w:tc>
          <w:tcPr>
            <w:tcW w:w="689" w:type="dxa"/>
            <w:tcBorders>
              <w:top w:val="nil"/>
              <w:bottom w:val="nil"/>
            </w:tcBorders>
            <w:vAlign w:val="center"/>
          </w:tcPr>
          <w:p w:rsidR="007E3051" w:rsidRPr="0025171E" w:rsidRDefault="007E3051" w:rsidP="000F576F">
            <w:pPr>
              <w:jc w:val="center"/>
            </w:pPr>
            <w:r w:rsidRPr="0025171E">
              <w:t>18</w:t>
            </w:r>
          </w:p>
        </w:tc>
        <w:tc>
          <w:tcPr>
            <w:tcW w:w="709" w:type="dxa"/>
            <w:tcBorders>
              <w:top w:val="nil"/>
              <w:bottom w:val="nil"/>
            </w:tcBorders>
            <w:vAlign w:val="center"/>
          </w:tcPr>
          <w:p w:rsidR="007E3051" w:rsidRPr="0025171E" w:rsidRDefault="007E3051" w:rsidP="000F576F">
            <w:pPr>
              <w:jc w:val="center"/>
            </w:pPr>
            <w:r w:rsidRPr="0025171E">
              <w:t>60</w:t>
            </w:r>
          </w:p>
        </w:tc>
        <w:tc>
          <w:tcPr>
            <w:tcW w:w="1688" w:type="dxa"/>
            <w:tcBorders>
              <w:top w:val="nil"/>
              <w:bottom w:val="nil"/>
            </w:tcBorders>
            <w:vAlign w:val="center"/>
          </w:tcPr>
          <w:p w:rsidR="007E3051" w:rsidRPr="0025171E" w:rsidRDefault="007E3051" w:rsidP="000F576F">
            <w:pPr>
              <w:jc w:val="center"/>
            </w:pPr>
          </w:p>
        </w:tc>
        <w:tc>
          <w:tcPr>
            <w:tcW w:w="2584" w:type="dxa"/>
            <w:tcBorders>
              <w:top w:val="nil"/>
              <w:bottom w:val="nil"/>
            </w:tcBorders>
            <w:vAlign w:val="center"/>
          </w:tcPr>
          <w:p w:rsidR="007E3051" w:rsidRPr="0025171E" w:rsidRDefault="007E3051" w:rsidP="000F576F">
            <w:pPr>
              <w:jc w:val="center"/>
            </w:pPr>
          </w:p>
        </w:tc>
      </w:tr>
      <w:tr w:rsidR="007E3051" w:rsidRPr="0025171E" w:rsidTr="000F576F">
        <w:tc>
          <w:tcPr>
            <w:tcW w:w="2235" w:type="dxa"/>
            <w:tcBorders>
              <w:top w:val="nil"/>
              <w:bottom w:val="nil"/>
            </w:tcBorders>
            <w:vAlign w:val="center"/>
          </w:tcPr>
          <w:p w:rsidR="007E3051" w:rsidRPr="0025171E" w:rsidRDefault="007E3051" w:rsidP="000F576F">
            <w:pPr>
              <w:tabs>
                <w:tab w:val="left" w:pos="255"/>
              </w:tabs>
              <w:jc w:val="both"/>
            </w:pPr>
            <w:r w:rsidRPr="0025171E">
              <w:t>Merokok</w:t>
            </w:r>
          </w:p>
        </w:tc>
        <w:tc>
          <w:tcPr>
            <w:tcW w:w="689" w:type="dxa"/>
            <w:tcBorders>
              <w:top w:val="nil"/>
              <w:bottom w:val="nil"/>
            </w:tcBorders>
            <w:vAlign w:val="center"/>
          </w:tcPr>
          <w:p w:rsidR="007E3051" w:rsidRPr="0025171E" w:rsidRDefault="007E3051" w:rsidP="000F576F">
            <w:pPr>
              <w:jc w:val="center"/>
            </w:pPr>
            <w:r w:rsidRPr="0025171E">
              <w:t>9</w:t>
            </w:r>
          </w:p>
        </w:tc>
        <w:tc>
          <w:tcPr>
            <w:tcW w:w="709" w:type="dxa"/>
            <w:tcBorders>
              <w:top w:val="nil"/>
              <w:bottom w:val="nil"/>
            </w:tcBorders>
            <w:vAlign w:val="center"/>
          </w:tcPr>
          <w:p w:rsidR="007E3051" w:rsidRPr="0025171E" w:rsidRDefault="007E3051" w:rsidP="000F576F">
            <w:pPr>
              <w:jc w:val="center"/>
            </w:pPr>
            <w:r w:rsidRPr="0025171E">
              <w:t>30</w:t>
            </w:r>
          </w:p>
        </w:tc>
        <w:tc>
          <w:tcPr>
            <w:tcW w:w="1688" w:type="dxa"/>
            <w:tcBorders>
              <w:top w:val="nil"/>
              <w:bottom w:val="nil"/>
            </w:tcBorders>
            <w:vAlign w:val="center"/>
          </w:tcPr>
          <w:p w:rsidR="007E3051" w:rsidRPr="0025171E" w:rsidRDefault="007E3051" w:rsidP="000F576F">
            <w:pPr>
              <w:jc w:val="center"/>
            </w:pPr>
          </w:p>
        </w:tc>
        <w:tc>
          <w:tcPr>
            <w:tcW w:w="2584" w:type="dxa"/>
            <w:tcBorders>
              <w:top w:val="nil"/>
              <w:bottom w:val="nil"/>
            </w:tcBorders>
            <w:vAlign w:val="center"/>
          </w:tcPr>
          <w:p w:rsidR="007E3051" w:rsidRPr="0025171E" w:rsidRDefault="007E3051" w:rsidP="000F576F">
            <w:pPr>
              <w:jc w:val="center"/>
            </w:pPr>
          </w:p>
        </w:tc>
      </w:tr>
      <w:tr w:rsidR="007E3051" w:rsidRPr="0025171E" w:rsidTr="000F576F">
        <w:tc>
          <w:tcPr>
            <w:tcW w:w="2235" w:type="dxa"/>
            <w:tcBorders>
              <w:top w:val="nil"/>
              <w:bottom w:val="nil"/>
            </w:tcBorders>
            <w:vAlign w:val="center"/>
          </w:tcPr>
          <w:p w:rsidR="007E3051" w:rsidRPr="0025171E" w:rsidRDefault="007E3051" w:rsidP="000F576F">
            <w:pPr>
              <w:tabs>
                <w:tab w:val="left" w:pos="255"/>
              </w:tabs>
              <w:jc w:val="both"/>
            </w:pPr>
            <w:r w:rsidRPr="0025171E">
              <w:t>Alkohol</w:t>
            </w:r>
          </w:p>
        </w:tc>
        <w:tc>
          <w:tcPr>
            <w:tcW w:w="689" w:type="dxa"/>
            <w:tcBorders>
              <w:top w:val="nil"/>
              <w:bottom w:val="nil"/>
            </w:tcBorders>
            <w:vAlign w:val="center"/>
          </w:tcPr>
          <w:p w:rsidR="007E3051" w:rsidRPr="0025171E" w:rsidRDefault="007E3051" w:rsidP="000F576F">
            <w:pPr>
              <w:jc w:val="center"/>
            </w:pPr>
            <w:r w:rsidRPr="0025171E">
              <w:t>1</w:t>
            </w:r>
          </w:p>
        </w:tc>
        <w:tc>
          <w:tcPr>
            <w:tcW w:w="709" w:type="dxa"/>
            <w:tcBorders>
              <w:top w:val="nil"/>
              <w:bottom w:val="nil"/>
            </w:tcBorders>
            <w:vAlign w:val="center"/>
          </w:tcPr>
          <w:p w:rsidR="007E3051" w:rsidRPr="0025171E" w:rsidRDefault="007E3051" w:rsidP="000F576F">
            <w:pPr>
              <w:jc w:val="center"/>
            </w:pPr>
            <w:r w:rsidRPr="0025171E">
              <w:t>3,3</w:t>
            </w:r>
          </w:p>
        </w:tc>
        <w:tc>
          <w:tcPr>
            <w:tcW w:w="1688" w:type="dxa"/>
            <w:tcBorders>
              <w:top w:val="nil"/>
              <w:bottom w:val="nil"/>
            </w:tcBorders>
            <w:vAlign w:val="center"/>
          </w:tcPr>
          <w:p w:rsidR="007E3051" w:rsidRPr="0025171E" w:rsidRDefault="007E3051" w:rsidP="000F576F">
            <w:pPr>
              <w:jc w:val="center"/>
            </w:pPr>
          </w:p>
        </w:tc>
        <w:tc>
          <w:tcPr>
            <w:tcW w:w="2584" w:type="dxa"/>
            <w:tcBorders>
              <w:top w:val="nil"/>
              <w:bottom w:val="nil"/>
            </w:tcBorders>
            <w:vAlign w:val="center"/>
          </w:tcPr>
          <w:p w:rsidR="007E3051" w:rsidRPr="0025171E" w:rsidRDefault="007E3051" w:rsidP="000F576F">
            <w:pPr>
              <w:jc w:val="center"/>
            </w:pPr>
          </w:p>
        </w:tc>
      </w:tr>
      <w:tr w:rsidR="007E3051" w:rsidRPr="0025171E" w:rsidTr="000F576F">
        <w:tc>
          <w:tcPr>
            <w:tcW w:w="2235" w:type="dxa"/>
            <w:tcBorders>
              <w:top w:val="nil"/>
              <w:bottom w:val="nil"/>
            </w:tcBorders>
            <w:vAlign w:val="center"/>
          </w:tcPr>
          <w:p w:rsidR="007E3051" w:rsidRPr="0025171E" w:rsidRDefault="007E3051" w:rsidP="000F576F">
            <w:pPr>
              <w:tabs>
                <w:tab w:val="left" w:pos="255"/>
              </w:tabs>
              <w:jc w:val="both"/>
            </w:pPr>
            <w:r w:rsidRPr="0025171E">
              <w:t>Teh dan kopi</w:t>
            </w:r>
          </w:p>
        </w:tc>
        <w:tc>
          <w:tcPr>
            <w:tcW w:w="689" w:type="dxa"/>
            <w:tcBorders>
              <w:top w:val="nil"/>
              <w:bottom w:val="nil"/>
            </w:tcBorders>
            <w:vAlign w:val="center"/>
          </w:tcPr>
          <w:p w:rsidR="007E3051" w:rsidRPr="0025171E" w:rsidRDefault="007E3051" w:rsidP="000F576F">
            <w:pPr>
              <w:jc w:val="center"/>
            </w:pPr>
            <w:r>
              <w:rPr>
                <w:lang w:val="id-ID"/>
              </w:rPr>
              <w:t>3</w:t>
            </w:r>
            <w:r w:rsidRPr="0025171E">
              <w:t>0</w:t>
            </w:r>
          </w:p>
        </w:tc>
        <w:tc>
          <w:tcPr>
            <w:tcW w:w="709" w:type="dxa"/>
            <w:tcBorders>
              <w:top w:val="nil"/>
              <w:bottom w:val="nil"/>
            </w:tcBorders>
            <w:vAlign w:val="center"/>
          </w:tcPr>
          <w:p w:rsidR="007E3051" w:rsidRPr="0025171E" w:rsidRDefault="007E3051" w:rsidP="000F576F">
            <w:pPr>
              <w:jc w:val="center"/>
            </w:pPr>
            <w:r>
              <w:rPr>
                <w:lang w:val="id-ID"/>
              </w:rPr>
              <w:t>10</w:t>
            </w:r>
            <w:r w:rsidRPr="0025171E">
              <w:t>0</w:t>
            </w:r>
          </w:p>
        </w:tc>
        <w:tc>
          <w:tcPr>
            <w:tcW w:w="1688" w:type="dxa"/>
            <w:tcBorders>
              <w:top w:val="nil"/>
              <w:bottom w:val="nil"/>
            </w:tcBorders>
            <w:vAlign w:val="center"/>
          </w:tcPr>
          <w:p w:rsidR="007E3051" w:rsidRPr="0025171E" w:rsidRDefault="007E3051" w:rsidP="000F576F">
            <w:pPr>
              <w:jc w:val="center"/>
            </w:pPr>
          </w:p>
        </w:tc>
        <w:tc>
          <w:tcPr>
            <w:tcW w:w="2584" w:type="dxa"/>
            <w:tcBorders>
              <w:top w:val="nil"/>
              <w:bottom w:val="nil"/>
            </w:tcBorders>
            <w:vAlign w:val="center"/>
          </w:tcPr>
          <w:p w:rsidR="007E3051" w:rsidRPr="0025171E" w:rsidRDefault="007E3051" w:rsidP="000F576F">
            <w:pPr>
              <w:jc w:val="center"/>
            </w:pPr>
          </w:p>
        </w:tc>
      </w:tr>
      <w:tr w:rsidR="007E3051" w:rsidRPr="0025171E" w:rsidTr="000F576F">
        <w:tc>
          <w:tcPr>
            <w:tcW w:w="2235" w:type="dxa"/>
            <w:tcBorders>
              <w:top w:val="nil"/>
              <w:bottom w:val="nil"/>
            </w:tcBorders>
            <w:vAlign w:val="center"/>
          </w:tcPr>
          <w:p w:rsidR="007E3051" w:rsidRPr="0025171E" w:rsidRDefault="007E3051" w:rsidP="000F576F">
            <w:pPr>
              <w:tabs>
                <w:tab w:val="left" w:pos="255"/>
              </w:tabs>
              <w:jc w:val="both"/>
            </w:pPr>
            <w:r w:rsidRPr="0025171E">
              <w:t>VAS 1</w:t>
            </w:r>
          </w:p>
        </w:tc>
        <w:tc>
          <w:tcPr>
            <w:tcW w:w="689" w:type="dxa"/>
            <w:tcBorders>
              <w:top w:val="nil"/>
              <w:bottom w:val="nil"/>
            </w:tcBorders>
            <w:vAlign w:val="center"/>
          </w:tcPr>
          <w:p w:rsidR="007E3051" w:rsidRPr="0025171E" w:rsidRDefault="007E3051" w:rsidP="000F576F">
            <w:pPr>
              <w:jc w:val="center"/>
            </w:pPr>
          </w:p>
        </w:tc>
        <w:tc>
          <w:tcPr>
            <w:tcW w:w="709" w:type="dxa"/>
            <w:tcBorders>
              <w:top w:val="nil"/>
              <w:bottom w:val="nil"/>
            </w:tcBorders>
            <w:vAlign w:val="center"/>
          </w:tcPr>
          <w:p w:rsidR="007E3051" w:rsidRPr="0025171E" w:rsidRDefault="007E3051" w:rsidP="000F576F">
            <w:pPr>
              <w:jc w:val="center"/>
            </w:pPr>
          </w:p>
        </w:tc>
        <w:tc>
          <w:tcPr>
            <w:tcW w:w="1688" w:type="dxa"/>
            <w:tcBorders>
              <w:top w:val="nil"/>
              <w:bottom w:val="nil"/>
            </w:tcBorders>
            <w:vAlign w:val="center"/>
          </w:tcPr>
          <w:p w:rsidR="007E3051" w:rsidRPr="0025171E" w:rsidRDefault="007E3051" w:rsidP="000F576F">
            <w:pPr>
              <w:jc w:val="center"/>
            </w:pPr>
            <w:r w:rsidRPr="0025171E">
              <w:t>3,75 ± 0,58</w:t>
            </w:r>
          </w:p>
        </w:tc>
        <w:tc>
          <w:tcPr>
            <w:tcW w:w="2584" w:type="dxa"/>
            <w:tcBorders>
              <w:top w:val="nil"/>
              <w:bottom w:val="nil"/>
            </w:tcBorders>
            <w:vAlign w:val="center"/>
          </w:tcPr>
          <w:p w:rsidR="007E3051" w:rsidRPr="0025171E" w:rsidRDefault="007E3051" w:rsidP="000F576F">
            <w:pPr>
              <w:jc w:val="center"/>
            </w:pPr>
            <w:r w:rsidRPr="0025171E">
              <w:t>3,8 (3,1 – 4,8)</w:t>
            </w:r>
          </w:p>
        </w:tc>
      </w:tr>
      <w:tr w:rsidR="007E3051" w:rsidRPr="0025171E" w:rsidTr="000F576F">
        <w:tc>
          <w:tcPr>
            <w:tcW w:w="2235" w:type="dxa"/>
            <w:tcBorders>
              <w:top w:val="nil"/>
              <w:bottom w:val="nil"/>
            </w:tcBorders>
            <w:vAlign w:val="center"/>
          </w:tcPr>
          <w:p w:rsidR="007E3051" w:rsidRPr="0025171E" w:rsidRDefault="007E3051" w:rsidP="000F576F">
            <w:pPr>
              <w:tabs>
                <w:tab w:val="left" w:pos="255"/>
              </w:tabs>
              <w:jc w:val="both"/>
            </w:pPr>
            <w:r w:rsidRPr="0025171E">
              <w:t>TSS 1</w:t>
            </w:r>
          </w:p>
        </w:tc>
        <w:tc>
          <w:tcPr>
            <w:tcW w:w="689" w:type="dxa"/>
            <w:tcBorders>
              <w:top w:val="nil"/>
              <w:bottom w:val="nil"/>
            </w:tcBorders>
            <w:vAlign w:val="center"/>
          </w:tcPr>
          <w:p w:rsidR="007E3051" w:rsidRPr="0025171E" w:rsidRDefault="007E3051" w:rsidP="000F576F">
            <w:pPr>
              <w:jc w:val="center"/>
            </w:pPr>
          </w:p>
        </w:tc>
        <w:tc>
          <w:tcPr>
            <w:tcW w:w="709" w:type="dxa"/>
            <w:tcBorders>
              <w:top w:val="nil"/>
              <w:bottom w:val="nil"/>
            </w:tcBorders>
            <w:vAlign w:val="center"/>
          </w:tcPr>
          <w:p w:rsidR="007E3051" w:rsidRPr="0025171E" w:rsidRDefault="007E3051" w:rsidP="000F576F">
            <w:pPr>
              <w:jc w:val="center"/>
            </w:pPr>
          </w:p>
        </w:tc>
        <w:tc>
          <w:tcPr>
            <w:tcW w:w="1688" w:type="dxa"/>
            <w:tcBorders>
              <w:top w:val="nil"/>
              <w:bottom w:val="nil"/>
            </w:tcBorders>
            <w:vAlign w:val="center"/>
          </w:tcPr>
          <w:p w:rsidR="007E3051" w:rsidRPr="0025171E" w:rsidRDefault="007E3051" w:rsidP="000F576F">
            <w:pPr>
              <w:jc w:val="center"/>
            </w:pPr>
            <w:r w:rsidRPr="0025171E">
              <w:t>7,37 ± 1,18</w:t>
            </w:r>
          </w:p>
        </w:tc>
        <w:tc>
          <w:tcPr>
            <w:tcW w:w="2584" w:type="dxa"/>
            <w:tcBorders>
              <w:top w:val="nil"/>
              <w:bottom w:val="nil"/>
            </w:tcBorders>
            <w:vAlign w:val="center"/>
          </w:tcPr>
          <w:p w:rsidR="007E3051" w:rsidRPr="0025171E" w:rsidRDefault="007E3051" w:rsidP="000F576F">
            <w:pPr>
              <w:jc w:val="center"/>
            </w:pPr>
            <w:r w:rsidRPr="0025171E">
              <w:t>7,32 (5,65 – 10,31)</w:t>
            </w:r>
          </w:p>
        </w:tc>
      </w:tr>
      <w:tr w:rsidR="007E3051" w:rsidRPr="0025171E" w:rsidTr="000F576F">
        <w:tc>
          <w:tcPr>
            <w:tcW w:w="2235" w:type="dxa"/>
            <w:tcBorders>
              <w:top w:val="nil"/>
              <w:bottom w:val="nil"/>
            </w:tcBorders>
            <w:vAlign w:val="center"/>
          </w:tcPr>
          <w:p w:rsidR="007E3051" w:rsidRPr="0025171E" w:rsidRDefault="007E3051" w:rsidP="000F576F">
            <w:pPr>
              <w:tabs>
                <w:tab w:val="left" w:pos="255"/>
              </w:tabs>
              <w:jc w:val="both"/>
            </w:pPr>
            <w:r w:rsidRPr="0025171E">
              <w:t>VAS 2</w:t>
            </w:r>
          </w:p>
        </w:tc>
        <w:tc>
          <w:tcPr>
            <w:tcW w:w="689" w:type="dxa"/>
            <w:tcBorders>
              <w:top w:val="nil"/>
              <w:bottom w:val="nil"/>
            </w:tcBorders>
            <w:vAlign w:val="center"/>
          </w:tcPr>
          <w:p w:rsidR="007E3051" w:rsidRPr="0025171E" w:rsidRDefault="007E3051" w:rsidP="000F576F">
            <w:pPr>
              <w:jc w:val="center"/>
            </w:pPr>
          </w:p>
        </w:tc>
        <w:tc>
          <w:tcPr>
            <w:tcW w:w="709" w:type="dxa"/>
            <w:tcBorders>
              <w:top w:val="nil"/>
              <w:bottom w:val="nil"/>
            </w:tcBorders>
            <w:vAlign w:val="center"/>
          </w:tcPr>
          <w:p w:rsidR="007E3051" w:rsidRPr="0025171E" w:rsidRDefault="007E3051" w:rsidP="000F576F">
            <w:pPr>
              <w:jc w:val="center"/>
            </w:pPr>
          </w:p>
        </w:tc>
        <w:tc>
          <w:tcPr>
            <w:tcW w:w="1688" w:type="dxa"/>
            <w:tcBorders>
              <w:top w:val="nil"/>
              <w:bottom w:val="nil"/>
            </w:tcBorders>
            <w:vAlign w:val="center"/>
          </w:tcPr>
          <w:p w:rsidR="007E3051" w:rsidRPr="0025171E" w:rsidRDefault="007E3051" w:rsidP="000F576F">
            <w:pPr>
              <w:jc w:val="center"/>
            </w:pPr>
            <w:r w:rsidRPr="0025171E">
              <w:t>2,71 ± 0,48</w:t>
            </w:r>
          </w:p>
        </w:tc>
        <w:tc>
          <w:tcPr>
            <w:tcW w:w="2584" w:type="dxa"/>
            <w:tcBorders>
              <w:top w:val="nil"/>
              <w:bottom w:val="nil"/>
            </w:tcBorders>
            <w:vAlign w:val="center"/>
          </w:tcPr>
          <w:p w:rsidR="007E3051" w:rsidRPr="0025171E" w:rsidRDefault="007E3051" w:rsidP="000F576F">
            <w:pPr>
              <w:jc w:val="center"/>
            </w:pPr>
            <w:r w:rsidRPr="0025171E">
              <w:t>2,75 (2,1 – 3,6)</w:t>
            </w:r>
          </w:p>
        </w:tc>
      </w:tr>
      <w:tr w:rsidR="007E3051" w:rsidRPr="0025171E" w:rsidTr="000F576F">
        <w:tc>
          <w:tcPr>
            <w:tcW w:w="2235" w:type="dxa"/>
            <w:tcBorders>
              <w:top w:val="nil"/>
              <w:bottom w:val="nil"/>
            </w:tcBorders>
            <w:vAlign w:val="center"/>
          </w:tcPr>
          <w:p w:rsidR="007E3051" w:rsidRPr="0025171E" w:rsidRDefault="007E3051" w:rsidP="000F576F">
            <w:pPr>
              <w:tabs>
                <w:tab w:val="left" w:pos="255"/>
              </w:tabs>
              <w:jc w:val="both"/>
            </w:pPr>
            <w:r w:rsidRPr="0025171E">
              <w:t>TSS 2</w:t>
            </w:r>
          </w:p>
        </w:tc>
        <w:tc>
          <w:tcPr>
            <w:tcW w:w="689" w:type="dxa"/>
            <w:tcBorders>
              <w:top w:val="nil"/>
              <w:bottom w:val="nil"/>
            </w:tcBorders>
            <w:vAlign w:val="center"/>
          </w:tcPr>
          <w:p w:rsidR="007E3051" w:rsidRPr="0025171E" w:rsidRDefault="007E3051" w:rsidP="000F576F">
            <w:pPr>
              <w:jc w:val="center"/>
            </w:pPr>
          </w:p>
        </w:tc>
        <w:tc>
          <w:tcPr>
            <w:tcW w:w="709" w:type="dxa"/>
            <w:tcBorders>
              <w:top w:val="nil"/>
              <w:bottom w:val="nil"/>
            </w:tcBorders>
            <w:vAlign w:val="center"/>
          </w:tcPr>
          <w:p w:rsidR="007E3051" w:rsidRPr="0025171E" w:rsidRDefault="007E3051" w:rsidP="000F576F">
            <w:pPr>
              <w:jc w:val="center"/>
            </w:pPr>
          </w:p>
        </w:tc>
        <w:tc>
          <w:tcPr>
            <w:tcW w:w="1688" w:type="dxa"/>
            <w:tcBorders>
              <w:top w:val="nil"/>
              <w:bottom w:val="nil"/>
            </w:tcBorders>
            <w:vAlign w:val="center"/>
          </w:tcPr>
          <w:p w:rsidR="007E3051" w:rsidRPr="0025171E" w:rsidRDefault="007E3051" w:rsidP="000F576F">
            <w:pPr>
              <w:jc w:val="center"/>
            </w:pPr>
            <w:r w:rsidRPr="0025171E">
              <w:t>5,57 ± 0,98</w:t>
            </w:r>
          </w:p>
        </w:tc>
        <w:tc>
          <w:tcPr>
            <w:tcW w:w="2584" w:type="dxa"/>
            <w:tcBorders>
              <w:top w:val="nil"/>
              <w:bottom w:val="nil"/>
            </w:tcBorders>
            <w:vAlign w:val="center"/>
          </w:tcPr>
          <w:p w:rsidR="007E3051" w:rsidRPr="0025171E" w:rsidRDefault="007E3051" w:rsidP="000F576F">
            <w:pPr>
              <w:jc w:val="center"/>
            </w:pPr>
            <w:r w:rsidRPr="0025171E">
              <w:t>5,49 (4 – 7,98)</w:t>
            </w:r>
          </w:p>
        </w:tc>
      </w:tr>
      <w:tr w:rsidR="007E3051" w:rsidRPr="0025171E" w:rsidTr="000F576F">
        <w:tc>
          <w:tcPr>
            <w:tcW w:w="2235" w:type="dxa"/>
            <w:tcBorders>
              <w:top w:val="nil"/>
              <w:bottom w:val="nil"/>
            </w:tcBorders>
            <w:vAlign w:val="center"/>
          </w:tcPr>
          <w:p w:rsidR="007E3051" w:rsidRPr="0025171E" w:rsidRDefault="007E3051" w:rsidP="000F576F">
            <w:pPr>
              <w:tabs>
                <w:tab w:val="left" w:pos="255"/>
              </w:tabs>
              <w:jc w:val="both"/>
            </w:pPr>
            <w:r w:rsidRPr="0025171E">
              <w:t>VAS 3</w:t>
            </w:r>
          </w:p>
        </w:tc>
        <w:tc>
          <w:tcPr>
            <w:tcW w:w="689" w:type="dxa"/>
            <w:tcBorders>
              <w:top w:val="nil"/>
              <w:bottom w:val="nil"/>
            </w:tcBorders>
            <w:vAlign w:val="center"/>
          </w:tcPr>
          <w:p w:rsidR="007E3051" w:rsidRPr="0025171E" w:rsidRDefault="007E3051" w:rsidP="000F576F">
            <w:pPr>
              <w:jc w:val="center"/>
            </w:pPr>
          </w:p>
        </w:tc>
        <w:tc>
          <w:tcPr>
            <w:tcW w:w="709" w:type="dxa"/>
            <w:tcBorders>
              <w:top w:val="nil"/>
              <w:bottom w:val="nil"/>
            </w:tcBorders>
            <w:vAlign w:val="center"/>
          </w:tcPr>
          <w:p w:rsidR="007E3051" w:rsidRPr="0025171E" w:rsidRDefault="007E3051" w:rsidP="000F576F">
            <w:pPr>
              <w:jc w:val="center"/>
            </w:pPr>
          </w:p>
        </w:tc>
        <w:tc>
          <w:tcPr>
            <w:tcW w:w="1688" w:type="dxa"/>
            <w:tcBorders>
              <w:top w:val="nil"/>
              <w:bottom w:val="nil"/>
            </w:tcBorders>
            <w:vAlign w:val="center"/>
          </w:tcPr>
          <w:p w:rsidR="007E3051" w:rsidRPr="0025171E" w:rsidRDefault="007E3051" w:rsidP="000F576F">
            <w:pPr>
              <w:jc w:val="center"/>
            </w:pPr>
            <w:r w:rsidRPr="0025171E">
              <w:t>2,19 ± 0,41</w:t>
            </w:r>
          </w:p>
        </w:tc>
        <w:tc>
          <w:tcPr>
            <w:tcW w:w="2584" w:type="dxa"/>
            <w:tcBorders>
              <w:top w:val="nil"/>
              <w:bottom w:val="nil"/>
            </w:tcBorders>
            <w:vAlign w:val="center"/>
          </w:tcPr>
          <w:p w:rsidR="007E3051" w:rsidRPr="0025171E" w:rsidRDefault="007E3051" w:rsidP="000F576F">
            <w:pPr>
              <w:jc w:val="center"/>
            </w:pPr>
            <w:r w:rsidRPr="0025171E">
              <w:t>2,2 (1,5 – 2,8)</w:t>
            </w:r>
          </w:p>
        </w:tc>
      </w:tr>
      <w:tr w:rsidR="007E3051" w:rsidRPr="0025171E" w:rsidTr="000F576F">
        <w:tc>
          <w:tcPr>
            <w:tcW w:w="2235" w:type="dxa"/>
            <w:tcBorders>
              <w:top w:val="nil"/>
              <w:bottom w:val="nil"/>
            </w:tcBorders>
            <w:vAlign w:val="center"/>
          </w:tcPr>
          <w:p w:rsidR="007E3051" w:rsidRPr="0025171E" w:rsidRDefault="007E3051" w:rsidP="000F576F">
            <w:pPr>
              <w:tabs>
                <w:tab w:val="left" w:pos="255"/>
              </w:tabs>
              <w:jc w:val="both"/>
            </w:pPr>
            <w:r w:rsidRPr="0025171E">
              <w:t>TSS 3</w:t>
            </w:r>
          </w:p>
        </w:tc>
        <w:tc>
          <w:tcPr>
            <w:tcW w:w="689" w:type="dxa"/>
            <w:tcBorders>
              <w:top w:val="nil"/>
              <w:bottom w:val="nil"/>
            </w:tcBorders>
            <w:vAlign w:val="center"/>
          </w:tcPr>
          <w:p w:rsidR="007E3051" w:rsidRPr="0025171E" w:rsidRDefault="007E3051" w:rsidP="000F576F">
            <w:pPr>
              <w:jc w:val="center"/>
            </w:pPr>
          </w:p>
        </w:tc>
        <w:tc>
          <w:tcPr>
            <w:tcW w:w="709" w:type="dxa"/>
            <w:tcBorders>
              <w:top w:val="nil"/>
              <w:bottom w:val="nil"/>
            </w:tcBorders>
            <w:vAlign w:val="center"/>
          </w:tcPr>
          <w:p w:rsidR="007E3051" w:rsidRPr="0025171E" w:rsidRDefault="007E3051" w:rsidP="000F576F">
            <w:pPr>
              <w:jc w:val="center"/>
            </w:pPr>
          </w:p>
        </w:tc>
        <w:tc>
          <w:tcPr>
            <w:tcW w:w="1688" w:type="dxa"/>
            <w:tcBorders>
              <w:top w:val="nil"/>
              <w:bottom w:val="nil"/>
            </w:tcBorders>
            <w:vAlign w:val="center"/>
          </w:tcPr>
          <w:p w:rsidR="007E3051" w:rsidRPr="0025171E" w:rsidRDefault="007E3051" w:rsidP="000F576F">
            <w:pPr>
              <w:jc w:val="center"/>
            </w:pPr>
            <w:r w:rsidRPr="0025171E">
              <w:t>3,87 ± 1,04</w:t>
            </w:r>
          </w:p>
        </w:tc>
        <w:tc>
          <w:tcPr>
            <w:tcW w:w="2584" w:type="dxa"/>
            <w:tcBorders>
              <w:top w:val="nil"/>
              <w:bottom w:val="nil"/>
            </w:tcBorders>
            <w:vAlign w:val="center"/>
          </w:tcPr>
          <w:p w:rsidR="007E3051" w:rsidRPr="0025171E" w:rsidRDefault="007E3051" w:rsidP="000F576F">
            <w:pPr>
              <w:jc w:val="center"/>
            </w:pPr>
            <w:r w:rsidRPr="0025171E">
              <w:t>3,83 (2,33 – 5,65)</w:t>
            </w:r>
          </w:p>
        </w:tc>
      </w:tr>
      <w:tr w:rsidR="007E3051" w:rsidRPr="0025171E" w:rsidTr="000F576F">
        <w:tc>
          <w:tcPr>
            <w:tcW w:w="2235" w:type="dxa"/>
            <w:tcBorders>
              <w:top w:val="nil"/>
              <w:bottom w:val="nil"/>
            </w:tcBorders>
            <w:vAlign w:val="center"/>
          </w:tcPr>
          <w:p w:rsidR="007E3051" w:rsidRPr="0025171E" w:rsidRDefault="007E3051" w:rsidP="000F576F">
            <w:pPr>
              <w:tabs>
                <w:tab w:val="left" w:pos="255"/>
              </w:tabs>
              <w:jc w:val="both"/>
            </w:pPr>
            <w:r w:rsidRPr="0025171E">
              <w:t>Selisih VAS 1 – 2</w:t>
            </w:r>
          </w:p>
        </w:tc>
        <w:tc>
          <w:tcPr>
            <w:tcW w:w="689" w:type="dxa"/>
            <w:tcBorders>
              <w:top w:val="nil"/>
              <w:bottom w:val="nil"/>
            </w:tcBorders>
            <w:vAlign w:val="center"/>
          </w:tcPr>
          <w:p w:rsidR="007E3051" w:rsidRPr="0025171E" w:rsidRDefault="007E3051" w:rsidP="000F576F">
            <w:pPr>
              <w:jc w:val="center"/>
            </w:pPr>
          </w:p>
        </w:tc>
        <w:tc>
          <w:tcPr>
            <w:tcW w:w="709" w:type="dxa"/>
            <w:tcBorders>
              <w:top w:val="nil"/>
              <w:bottom w:val="nil"/>
            </w:tcBorders>
            <w:vAlign w:val="center"/>
          </w:tcPr>
          <w:p w:rsidR="007E3051" w:rsidRPr="0025171E" w:rsidRDefault="007E3051" w:rsidP="000F576F">
            <w:pPr>
              <w:jc w:val="center"/>
            </w:pPr>
          </w:p>
        </w:tc>
        <w:tc>
          <w:tcPr>
            <w:tcW w:w="1688" w:type="dxa"/>
            <w:tcBorders>
              <w:top w:val="nil"/>
              <w:bottom w:val="nil"/>
            </w:tcBorders>
            <w:vAlign w:val="center"/>
          </w:tcPr>
          <w:p w:rsidR="007E3051" w:rsidRPr="0025171E" w:rsidRDefault="007E3051" w:rsidP="000F576F">
            <w:pPr>
              <w:jc w:val="center"/>
            </w:pPr>
            <w:r w:rsidRPr="0025171E">
              <w:t>-1,04 ± 0,66</w:t>
            </w:r>
          </w:p>
        </w:tc>
        <w:tc>
          <w:tcPr>
            <w:tcW w:w="2584" w:type="dxa"/>
            <w:tcBorders>
              <w:top w:val="nil"/>
              <w:bottom w:val="nil"/>
            </w:tcBorders>
            <w:vAlign w:val="center"/>
          </w:tcPr>
          <w:p w:rsidR="007E3051" w:rsidRPr="0025171E" w:rsidRDefault="007E3051" w:rsidP="000F576F">
            <w:pPr>
              <w:jc w:val="center"/>
            </w:pPr>
            <w:r w:rsidRPr="0025171E">
              <w:t>-1 (-2,4 – 0,1)</w:t>
            </w:r>
          </w:p>
        </w:tc>
      </w:tr>
      <w:tr w:rsidR="007E3051" w:rsidRPr="0025171E" w:rsidTr="000F576F">
        <w:tc>
          <w:tcPr>
            <w:tcW w:w="2235" w:type="dxa"/>
            <w:tcBorders>
              <w:top w:val="nil"/>
              <w:bottom w:val="nil"/>
            </w:tcBorders>
            <w:vAlign w:val="center"/>
          </w:tcPr>
          <w:p w:rsidR="007E3051" w:rsidRPr="0025171E" w:rsidRDefault="007E3051" w:rsidP="000F576F">
            <w:pPr>
              <w:tabs>
                <w:tab w:val="left" w:pos="255"/>
              </w:tabs>
              <w:jc w:val="both"/>
            </w:pPr>
            <w:r w:rsidRPr="0025171E">
              <w:t>Selisih TSS 1 – 2</w:t>
            </w:r>
          </w:p>
        </w:tc>
        <w:tc>
          <w:tcPr>
            <w:tcW w:w="689" w:type="dxa"/>
            <w:tcBorders>
              <w:top w:val="nil"/>
              <w:bottom w:val="nil"/>
            </w:tcBorders>
            <w:vAlign w:val="center"/>
          </w:tcPr>
          <w:p w:rsidR="007E3051" w:rsidRPr="0025171E" w:rsidRDefault="007E3051" w:rsidP="000F576F">
            <w:pPr>
              <w:jc w:val="center"/>
            </w:pPr>
          </w:p>
        </w:tc>
        <w:tc>
          <w:tcPr>
            <w:tcW w:w="709" w:type="dxa"/>
            <w:tcBorders>
              <w:top w:val="nil"/>
              <w:bottom w:val="nil"/>
            </w:tcBorders>
            <w:vAlign w:val="center"/>
          </w:tcPr>
          <w:p w:rsidR="007E3051" w:rsidRPr="0025171E" w:rsidRDefault="007E3051" w:rsidP="000F576F">
            <w:pPr>
              <w:jc w:val="center"/>
            </w:pPr>
          </w:p>
        </w:tc>
        <w:tc>
          <w:tcPr>
            <w:tcW w:w="1688" w:type="dxa"/>
            <w:tcBorders>
              <w:top w:val="nil"/>
              <w:bottom w:val="nil"/>
            </w:tcBorders>
            <w:vAlign w:val="center"/>
          </w:tcPr>
          <w:p w:rsidR="007E3051" w:rsidRPr="0025171E" w:rsidRDefault="007E3051" w:rsidP="000F576F">
            <w:pPr>
              <w:jc w:val="center"/>
            </w:pPr>
            <w:r w:rsidRPr="0025171E">
              <w:t>-1,80 ± 1,15</w:t>
            </w:r>
          </w:p>
        </w:tc>
        <w:tc>
          <w:tcPr>
            <w:tcW w:w="2584" w:type="dxa"/>
            <w:tcBorders>
              <w:top w:val="nil"/>
              <w:bottom w:val="nil"/>
            </w:tcBorders>
            <w:vAlign w:val="center"/>
          </w:tcPr>
          <w:p w:rsidR="007E3051" w:rsidRPr="0025171E" w:rsidRDefault="007E3051" w:rsidP="000F576F">
            <w:pPr>
              <w:jc w:val="center"/>
            </w:pPr>
            <w:r w:rsidRPr="0025171E">
              <w:t>-1,8 (-4 – 0,22)</w:t>
            </w:r>
          </w:p>
        </w:tc>
      </w:tr>
      <w:tr w:rsidR="007E3051" w:rsidRPr="0025171E" w:rsidTr="000F576F">
        <w:tc>
          <w:tcPr>
            <w:tcW w:w="2235" w:type="dxa"/>
            <w:tcBorders>
              <w:top w:val="nil"/>
              <w:bottom w:val="nil"/>
            </w:tcBorders>
            <w:vAlign w:val="center"/>
          </w:tcPr>
          <w:p w:rsidR="007E3051" w:rsidRPr="0025171E" w:rsidRDefault="007E3051" w:rsidP="000F576F">
            <w:pPr>
              <w:tabs>
                <w:tab w:val="left" w:pos="255"/>
              </w:tabs>
              <w:jc w:val="both"/>
            </w:pPr>
            <w:r w:rsidRPr="0025171E">
              <w:t>Selisih VAS 2 – 3</w:t>
            </w:r>
          </w:p>
        </w:tc>
        <w:tc>
          <w:tcPr>
            <w:tcW w:w="689" w:type="dxa"/>
            <w:tcBorders>
              <w:top w:val="nil"/>
              <w:bottom w:val="nil"/>
            </w:tcBorders>
            <w:vAlign w:val="center"/>
          </w:tcPr>
          <w:p w:rsidR="007E3051" w:rsidRPr="0025171E" w:rsidRDefault="007E3051" w:rsidP="000F576F">
            <w:pPr>
              <w:jc w:val="center"/>
            </w:pPr>
          </w:p>
        </w:tc>
        <w:tc>
          <w:tcPr>
            <w:tcW w:w="709" w:type="dxa"/>
            <w:tcBorders>
              <w:top w:val="nil"/>
              <w:bottom w:val="nil"/>
            </w:tcBorders>
            <w:vAlign w:val="center"/>
          </w:tcPr>
          <w:p w:rsidR="007E3051" w:rsidRPr="0025171E" w:rsidRDefault="007E3051" w:rsidP="000F576F">
            <w:pPr>
              <w:jc w:val="center"/>
            </w:pPr>
          </w:p>
        </w:tc>
        <w:tc>
          <w:tcPr>
            <w:tcW w:w="1688" w:type="dxa"/>
            <w:tcBorders>
              <w:top w:val="nil"/>
              <w:bottom w:val="nil"/>
            </w:tcBorders>
            <w:vAlign w:val="center"/>
          </w:tcPr>
          <w:p w:rsidR="007E3051" w:rsidRPr="0025171E" w:rsidRDefault="007E3051" w:rsidP="000F576F">
            <w:pPr>
              <w:jc w:val="center"/>
            </w:pPr>
            <w:r w:rsidRPr="0025171E">
              <w:t>-0,52 ± 0,24</w:t>
            </w:r>
          </w:p>
        </w:tc>
        <w:tc>
          <w:tcPr>
            <w:tcW w:w="2584" w:type="dxa"/>
            <w:tcBorders>
              <w:top w:val="nil"/>
              <w:bottom w:val="nil"/>
            </w:tcBorders>
            <w:vAlign w:val="center"/>
          </w:tcPr>
          <w:p w:rsidR="007E3051" w:rsidRPr="0025171E" w:rsidRDefault="007E3051" w:rsidP="000F576F">
            <w:pPr>
              <w:jc w:val="center"/>
            </w:pPr>
            <w:r w:rsidRPr="0025171E">
              <w:t>-0,5 (-1,3 – 0)</w:t>
            </w:r>
          </w:p>
        </w:tc>
      </w:tr>
      <w:tr w:rsidR="007E3051" w:rsidRPr="0025171E" w:rsidTr="000F576F">
        <w:tc>
          <w:tcPr>
            <w:tcW w:w="2235" w:type="dxa"/>
            <w:tcBorders>
              <w:top w:val="nil"/>
              <w:bottom w:val="nil"/>
            </w:tcBorders>
            <w:vAlign w:val="center"/>
          </w:tcPr>
          <w:p w:rsidR="007E3051" w:rsidRPr="0025171E" w:rsidRDefault="007E3051" w:rsidP="000F576F">
            <w:pPr>
              <w:tabs>
                <w:tab w:val="left" w:pos="255"/>
              </w:tabs>
              <w:jc w:val="both"/>
            </w:pPr>
            <w:r w:rsidRPr="0025171E">
              <w:t>Selisih TSS 2 – 3</w:t>
            </w:r>
          </w:p>
        </w:tc>
        <w:tc>
          <w:tcPr>
            <w:tcW w:w="689" w:type="dxa"/>
            <w:tcBorders>
              <w:top w:val="nil"/>
              <w:bottom w:val="nil"/>
            </w:tcBorders>
            <w:vAlign w:val="center"/>
          </w:tcPr>
          <w:p w:rsidR="007E3051" w:rsidRPr="0025171E" w:rsidRDefault="007E3051" w:rsidP="000F576F">
            <w:pPr>
              <w:jc w:val="center"/>
            </w:pPr>
          </w:p>
        </w:tc>
        <w:tc>
          <w:tcPr>
            <w:tcW w:w="709" w:type="dxa"/>
            <w:tcBorders>
              <w:top w:val="nil"/>
              <w:bottom w:val="nil"/>
            </w:tcBorders>
            <w:vAlign w:val="center"/>
          </w:tcPr>
          <w:p w:rsidR="007E3051" w:rsidRPr="0025171E" w:rsidRDefault="007E3051" w:rsidP="000F576F">
            <w:pPr>
              <w:jc w:val="center"/>
            </w:pPr>
          </w:p>
        </w:tc>
        <w:tc>
          <w:tcPr>
            <w:tcW w:w="1688" w:type="dxa"/>
            <w:tcBorders>
              <w:top w:val="nil"/>
              <w:bottom w:val="nil"/>
            </w:tcBorders>
            <w:vAlign w:val="center"/>
          </w:tcPr>
          <w:p w:rsidR="007E3051" w:rsidRPr="0025171E" w:rsidRDefault="007E3051" w:rsidP="000F576F">
            <w:pPr>
              <w:jc w:val="center"/>
            </w:pPr>
            <w:r w:rsidRPr="0025171E">
              <w:t>-1,70 ± 0,81</w:t>
            </w:r>
          </w:p>
        </w:tc>
        <w:tc>
          <w:tcPr>
            <w:tcW w:w="2584" w:type="dxa"/>
            <w:tcBorders>
              <w:top w:val="nil"/>
              <w:bottom w:val="nil"/>
            </w:tcBorders>
            <w:vAlign w:val="center"/>
          </w:tcPr>
          <w:p w:rsidR="007E3051" w:rsidRPr="0025171E" w:rsidRDefault="007E3051" w:rsidP="000F576F">
            <w:pPr>
              <w:jc w:val="center"/>
            </w:pPr>
            <w:r w:rsidRPr="0025171E">
              <w:t>-,166 (-3,66 – (-0,66))</w:t>
            </w:r>
          </w:p>
        </w:tc>
      </w:tr>
      <w:tr w:rsidR="007E3051" w:rsidRPr="0025171E" w:rsidTr="000F576F">
        <w:tc>
          <w:tcPr>
            <w:tcW w:w="2235" w:type="dxa"/>
            <w:tcBorders>
              <w:top w:val="nil"/>
              <w:bottom w:val="nil"/>
            </w:tcBorders>
            <w:vAlign w:val="center"/>
          </w:tcPr>
          <w:p w:rsidR="007E3051" w:rsidRPr="0025171E" w:rsidRDefault="007E3051" w:rsidP="000F576F">
            <w:pPr>
              <w:tabs>
                <w:tab w:val="left" w:pos="255"/>
              </w:tabs>
              <w:jc w:val="both"/>
            </w:pPr>
            <w:r w:rsidRPr="0025171E">
              <w:t>Selisih VAS 1 – 3</w:t>
            </w:r>
          </w:p>
        </w:tc>
        <w:tc>
          <w:tcPr>
            <w:tcW w:w="689" w:type="dxa"/>
            <w:tcBorders>
              <w:top w:val="nil"/>
              <w:bottom w:val="nil"/>
            </w:tcBorders>
            <w:vAlign w:val="center"/>
          </w:tcPr>
          <w:p w:rsidR="007E3051" w:rsidRPr="0025171E" w:rsidRDefault="007E3051" w:rsidP="000F576F">
            <w:pPr>
              <w:jc w:val="center"/>
            </w:pPr>
          </w:p>
        </w:tc>
        <w:tc>
          <w:tcPr>
            <w:tcW w:w="709" w:type="dxa"/>
            <w:tcBorders>
              <w:top w:val="nil"/>
              <w:bottom w:val="nil"/>
            </w:tcBorders>
            <w:vAlign w:val="center"/>
          </w:tcPr>
          <w:p w:rsidR="007E3051" w:rsidRPr="0025171E" w:rsidRDefault="007E3051" w:rsidP="000F576F">
            <w:pPr>
              <w:jc w:val="center"/>
            </w:pPr>
          </w:p>
        </w:tc>
        <w:tc>
          <w:tcPr>
            <w:tcW w:w="1688" w:type="dxa"/>
            <w:tcBorders>
              <w:top w:val="nil"/>
              <w:bottom w:val="nil"/>
            </w:tcBorders>
            <w:vAlign w:val="center"/>
          </w:tcPr>
          <w:p w:rsidR="007E3051" w:rsidRPr="0025171E" w:rsidRDefault="007E3051" w:rsidP="000F576F">
            <w:pPr>
              <w:jc w:val="center"/>
            </w:pPr>
            <w:r w:rsidRPr="0025171E">
              <w:t>-1,56 ± 0,65</w:t>
            </w:r>
          </w:p>
        </w:tc>
        <w:tc>
          <w:tcPr>
            <w:tcW w:w="2584" w:type="dxa"/>
            <w:tcBorders>
              <w:top w:val="nil"/>
              <w:bottom w:val="nil"/>
            </w:tcBorders>
            <w:vAlign w:val="center"/>
          </w:tcPr>
          <w:p w:rsidR="007E3051" w:rsidRPr="0025171E" w:rsidRDefault="007E3051" w:rsidP="000F576F">
            <w:pPr>
              <w:jc w:val="center"/>
            </w:pPr>
            <w:r w:rsidRPr="0025171E">
              <w:t>-1,55 (-2,9 – (-0,4))</w:t>
            </w:r>
          </w:p>
        </w:tc>
      </w:tr>
      <w:tr w:rsidR="007E3051" w:rsidRPr="0025171E" w:rsidTr="000F576F">
        <w:tc>
          <w:tcPr>
            <w:tcW w:w="2235" w:type="dxa"/>
            <w:tcBorders>
              <w:top w:val="nil"/>
            </w:tcBorders>
            <w:vAlign w:val="center"/>
          </w:tcPr>
          <w:p w:rsidR="007E3051" w:rsidRPr="0025171E" w:rsidRDefault="007E3051" w:rsidP="000F576F">
            <w:pPr>
              <w:tabs>
                <w:tab w:val="left" w:pos="255"/>
              </w:tabs>
              <w:jc w:val="both"/>
            </w:pPr>
            <w:r w:rsidRPr="0025171E">
              <w:t>Selisih TSS 1 – 3</w:t>
            </w:r>
          </w:p>
        </w:tc>
        <w:tc>
          <w:tcPr>
            <w:tcW w:w="689" w:type="dxa"/>
            <w:tcBorders>
              <w:top w:val="nil"/>
            </w:tcBorders>
            <w:vAlign w:val="center"/>
          </w:tcPr>
          <w:p w:rsidR="007E3051" w:rsidRPr="0025171E" w:rsidRDefault="007E3051" w:rsidP="000F576F">
            <w:pPr>
              <w:jc w:val="center"/>
            </w:pPr>
          </w:p>
        </w:tc>
        <w:tc>
          <w:tcPr>
            <w:tcW w:w="709" w:type="dxa"/>
            <w:tcBorders>
              <w:top w:val="nil"/>
            </w:tcBorders>
            <w:vAlign w:val="center"/>
          </w:tcPr>
          <w:p w:rsidR="007E3051" w:rsidRPr="0025171E" w:rsidRDefault="007E3051" w:rsidP="000F576F">
            <w:pPr>
              <w:jc w:val="center"/>
            </w:pPr>
          </w:p>
        </w:tc>
        <w:tc>
          <w:tcPr>
            <w:tcW w:w="1688" w:type="dxa"/>
            <w:tcBorders>
              <w:top w:val="nil"/>
            </w:tcBorders>
            <w:vAlign w:val="center"/>
          </w:tcPr>
          <w:p w:rsidR="007E3051" w:rsidRPr="0025171E" w:rsidRDefault="007E3051" w:rsidP="000F576F">
            <w:pPr>
              <w:jc w:val="center"/>
            </w:pPr>
            <w:r w:rsidRPr="0025171E">
              <w:t>-3,50 ± 1,39</w:t>
            </w:r>
          </w:p>
        </w:tc>
        <w:tc>
          <w:tcPr>
            <w:tcW w:w="2584" w:type="dxa"/>
            <w:tcBorders>
              <w:top w:val="nil"/>
            </w:tcBorders>
            <w:vAlign w:val="center"/>
          </w:tcPr>
          <w:p w:rsidR="007E3051" w:rsidRPr="0025171E" w:rsidRDefault="007E3051" w:rsidP="000F576F">
            <w:pPr>
              <w:jc w:val="center"/>
            </w:pPr>
            <w:r w:rsidRPr="0025171E">
              <w:t>-3,3 (-6,32 – (-1,32))</w:t>
            </w:r>
          </w:p>
        </w:tc>
      </w:tr>
    </w:tbl>
    <w:p w:rsidR="007E3051" w:rsidRDefault="007E3051" w:rsidP="007E3051"/>
    <w:p w:rsidR="007E3051" w:rsidRPr="00C92EB3" w:rsidRDefault="007E3051" w:rsidP="007E3051">
      <w:pPr>
        <w:ind w:firstLine="720"/>
        <w:jc w:val="both"/>
      </w:pPr>
      <w:r>
        <w:t xml:space="preserve">Tabel 2 menunjukan didapatkan perbedaan bermakna pada rerata skor VAS dan TSS dari semua subjek dengan neuropati perifer dari berbagai etiologi yang mendapat terapi B1 B6 B12 </w:t>
      </w:r>
      <w:r>
        <w:rPr>
          <w:i/>
        </w:rPr>
        <w:t>forte</w:t>
      </w:r>
      <w:r>
        <w:t>, baik dari pemantauan bulan pertama dibandingkan saat diagnosis (p &lt; 0,05), bulan kedua dibandingkan bulan pertama (p&lt;0,05), maupun dari bulan kedua dibandingkan saat awal penelitian (p&lt;0,05).</w:t>
      </w:r>
    </w:p>
    <w:p w:rsidR="007E3051" w:rsidRPr="00C92EB3" w:rsidRDefault="007E3051" w:rsidP="007E3051">
      <w:r w:rsidRPr="00C92EB3">
        <w:rPr>
          <w:b/>
        </w:rPr>
        <w:t>Tabel 2.</w:t>
      </w:r>
      <w:r w:rsidRPr="00C92EB3">
        <w:t xml:space="preserve"> Perbedaan VAS dan TSS antar kunjungan</w:t>
      </w:r>
    </w:p>
    <w:tbl>
      <w:tblPr>
        <w:tblStyle w:val="TableGrid"/>
        <w:tblW w:w="0" w:type="auto"/>
        <w:tblBorders>
          <w:left w:val="none" w:sz="0" w:space="0" w:color="auto"/>
          <w:right w:val="none" w:sz="0" w:space="0" w:color="auto"/>
          <w:insideV w:val="none" w:sz="0" w:space="0" w:color="auto"/>
        </w:tblBorders>
        <w:tblLook w:val="04A0" w:firstRow="1" w:lastRow="0" w:firstColumn="1" w:lastColumn="0" w:noHBand="0" w:noVBand="1"/>
      </w:tblPr>
      <w:tblGrid>
        <w:gridCol w:w="1526"/>
        <w:gridCol w:w="2835"/>
        <w:gridCol w:w="956"/>
        <w:gridCol w:w="992"/>
        <w:gridCol w:w="992"/>
        <w:gridCol w:w="992"/>
      </w:tblGrid>
      <w:tr w:rsidR="007E3051" w:rsidRPr="00C92EB3" w:rsidTr="000F576F">
        <w:trPr>
          <w:trHeight w:val="180"/>
        </w:trPr>
        <w:tc>
          <w:tcPr>
            <w:tcW w:w="1526" w:type="dxa"/>
            <w:vMerge w:val="restart"/>
            <w:vAlign w:val="center"/>
          </w:tcPr>
          <w:p w:rsidR="007E3051" w:rsidRPr="00C92EB3" w:rsidRDefault="007E3051" w:rsidP="000F576F">
            <w:pPr>
              <w:jc w:val="center"/>
              <w:rPr>
                <w:b/>
                <w:lang w:val="id-ID"/>
              </w:rPr>
            </w:pPr>
            <w:r w:rsidRPr="00C92EB3">
              <w:rPr>
                <w:b/>
                <w:lang w:val="id-ID"/>
              </w:rPr>
              <w:t>Variabel</w:t>
            </w:r>
          </w:p>
        </w:tc>
        <w:tc>
          <w:tcPr>
            <w:tcW w:w="2835" w:type="dxa"/>
            <w:vMerge w:val="restart"/>
            <w:vAlign w:val="center"/>
          </w:tcPr>
          <w:p w:rsidR="007E3051" w:rsidRPr="00C92EB3" w:rsidRDefault="007E3051" w:rsidP="000F576F">
            <w:pPr>
              <w:jc w:val="center"/>
              <w:rPr>
                <w:b/>
                <w:lang w:val="id-ID"/>
              </w:rPr>
            </w:pPr>
            <w:r w:rsidRPr="00C92EB3">
              <w:rPr>
                <w:b/>
                <w:lang w:val="id-ID"/>
              </w:rPr>
              <w:t>Mean ± SD (Range)</w:t>
            </w:r>
          </w:p>
        </w:tc>
        <w:tc>
          <w:tcPr>
            <w:tcW w:w="956" w:type="dxa"/>
            <w:vMerge w:val="restart"/>
            <w:vAlign w:val="center"/>
          </w:tcPr>
          <w:p w:rsidR="007E3051" w:rsidRPr="00C92EB3" w:rsidRDefault="007E3051" w:rsidP="000F576F">
            <w:pPr>
              <w:jc w:val="center"/>
              <w:rPr>
                <w:b/>
                <w:lang w:val="id-ID"/>
              </w:rPr>
            </w:pPr>
            <w:r w:rsidRPr="00C92EB3">
              <w:rPr>
                <w:b/>
                <w:lang w:val="id-ID"/>
              </w:rPr>
              <w:t>P</w:t>
            </w:r>
          </w:p>
        </w:tc>
        <w:tc>
          <w:tcPr>
            <w:tcW w:w="2976" w:type="dxa"/>
            <w:gridSpan w:val="3"/>
            <w:tcBorders>
              <w:bottom w:val="single" w:sz="4" w:space="0" w:color="auto"/>
            </w:tcBorders>
            <w:vAlign w:val="center"/>
          </w:tcPr>
          <w:p w:rsidR="007E3051" w:rsidRPr="00C92EB3" w:rsidRDefault="007E3051" w:rsidP="000F576F">
            <w:pPr>
              <w:jc w:val="center"/>
              <w:rPr>
                <w:b/>
                <w:lang w:val="id-ID"/>
              </w:rPr>
            </w:pPr>
            <w:r w:rsidRPr="00C92EB3">
              <w:rPr>
                <w:b/>
                <w:lang w:val="id-ID"/>
              </w:rPr>
              <w:t>Nilai p antar waktu</w:t>
            </w:r>
          </w:p>
        </w:tc>
      </w:tr>
      <w:tr w:rsidR="007E3051" w:rsidRPr="00C92EB3" w:rsidTr="000F576F">
        <w:trPr>
          <w:trHeight w:val="90"/>
        </w:trPr>
        <w:tc>
          <w:tcPr>
            <w:tcW w:w="1526" w:type="dxa"/>
            <w:vMerge/>
            <w:tcBorders>
              <w:bottom w:val="single" w:sz="4" w:space="0" w:color="000000" w:themeColor="text1"/>
            </w:tcBorders>
            <w:vAlign w:val="center"/>
          </w:tcPr>
          <w:p w:rsidR="007E3051" w:rsidRPr="00C92EB3" w:rsidRDefault="007E3051" w:rsidP="000F576F">
            <w:pPr>
              <w:jc w:val="center"/>
              <w:rPr>
                <w:b/>
                <w:lang w:val="id-ID"/>
              </w:rPr>
            </w:pPr>
          </w:p>
        </w:tc>
        <w:tc>
          <w:tcPr>
            <w:tcW w:w="2835" w:type="dxa"/>
            <w:vMerge/>
            <w:tcBorders>
              <w:bottom w:val="single" w:sz="4" w:space="0" w:color="000000" w:themeColor="text1"/>
            </w:tcBorders>
            <w:vAlign w:val="center"/>
          </w:tcPr>
          <w:p w:rsidR="007E3051" w:rsidRPr="00C92EB3" w:rsidRDefault="007E3051" w:rsidP="000F576F">
            <w:pPr>
              <w:jc w:val="center"/>
              <w:rPr>
                <w:b/>
                <w:lang w:val="id-ID"/>
              </w:rPr>
            </w:pPr>
          </w:p>
        </w:tc>
        <w:tc>
          <w:tcPr>
            <w:tcW w:w="956" w:type="dxa"/>
            <w:vMerge/>
            <w:tcBorders>
              <w:bottom w:val="single" w:sz="4" w:space="0" w:color="000000" w:themeColor="text1"/>
            </w:tcBorders>
            <w:vAlign w:val="center"/>
          </w:tcPr>
          <w:p w:rsidR="007E3051" w:rsidRPr="00C92EB3" w:rsidRDefault="007E3051" w:rsidP="000F576F">
            <w:pPr>
              <w:jc w:val="center"/>
              <w:rPr>
                <w:b/>
                <w:lang w:val="id-ID"/>
              </w:rPr>
            </w:pPr>
          </w:p>
        </w:tc>
        <w:tc>
          <w:tcPr>
            <w:tcW w:w="992" w:type="dxa"/>
            <w:tcBorders>
              <w:top w:val="single" w:sz="4" w:space="0" w:color="auto"/>
              <w:bottom w:val="single" w:sz="4" w:space="0" w:color="000000" w:themeColor="text1"/>
              <w:right w:val="nil"/>
            </w:tcBorders>
            <w:vAlign w:val="center"/>
          </w:tcPr>
          <w:p w:rsidR="007E3051" w:rsidRPr="00C92EB3" w:rsidRDefault="007E3051" w:rsidP="000F576F">
            <w:pPr>
              <w:jc w:val="center"/>
              <w:rPr>
                <w:b/>
                <w:lang w:val="id-ID"/>
              </w:rPr>
            </w:pPr>
            <w:r w:rsidRPr="00C92EB3">
              <w:rPr>
                <w:b/>
                <w:lang w:val="id-ID"/>
              </w:rPr>
              <w:t>1 – 2</w:t>
            </w:r>
          </w:p>
        </w:tc>
        <w:tc>
          <w:tcPr>
            <w:tcW w:w="992" w:type="dxa"/>
            <w:tcBorders>
              <w:top w:val="single" w:sz="4" w:space="0" w:color="auto"/>
              <w:left w:val="nil"/>
              <w:bottom w:val="single" w:sz="4" w:space="0" w:color="000000" w:themeColor="text1"/>
              <w:right w:val="nil"/>
            </w:tcBorders>
            <w:vAlign w:val="center"/>
          </w:tcPr>
          <w:p w:rsidR="007E3051" w:rsidRPr="00C92EB3" w:rsidRDefault="007E3051" w:rsidP="000F576F">
            <w:pPr>
              <w:jc w:val="center"/>
              <w:rPr>
                <w:b/>
                <w:lang w:val="id-ID"/>
              </w:rPr>
            </w:pPr>
            <w:r w:rsidRPr="00C92EB3">
              <w:rPr>
                <w:b/>
                <w:lang w:val="id-ID"/>
              </w:rPr>
              <w:t>2 – 3</w:t>
            </w:r>
          </w:p>
        </w:tc>
        <w:tc>
          <w:tcPr>
            <w:tcW w:w="992" w:type="dxa"/>
            <w:tcBorders>
              <w:top w:val="single" w:sz="4" w:space="0" w:color="auto"/>
              <w:left w:val="nil"/>
              <w:bottom w:val="single" w:sz="4" w:space="0" w:color="000000" w:themeColor="text1"/>
            </w:tcBorders>
            <w:vAlign w:val="center"/>
          </w:tcPr>
          <w:p w:rsidR="007E3051" w:rsidRPr="00C92EB3" w:rsidRDefault="007E3051" w:rsidP="000F576F">
            <w:pPr>
              <w:jc w:val="center"/>
              <w:rPr>
                <w:b/>
                <w:lang w:val="id-ID"/>
              </w:rPr>
            </w:pPr>
            <w:r w:rsidRPr="00C92EB3">
              <w:rPr>
                <w:b/>
                <w:lang w:val="id-ID"/>
              </w:rPr>
              <w:t>1 – 3</w:t>
            </w:r>
          </w:p>
        </w:tc>
      </w:tr>
      <w:tr w:rsidR="007E3051" w:rsidRPr="00C92EB3" w:rsidTr="000F576F">
        <w:tc>
          <w:tcPr>
            <w:tcW w:w="1526" w:type="dxa"/>
            <w:tcBorders>
              <w:bottom w:val="nil"/>
            </w:tcBorders>
            <w:vAlign w:val="center"/>
          </w:tcPr>
          <w:p w:rsidR="007E3051" w:rsidRPr="00C92EB3" w:rsidRDefault="007E3051" w:rsidP="000F576F">
            <w:pPr>
              <w:tabs>
                <w:tab w:val="left" w:pos="285"/>
              </w:tabs>
              <w:rPr>
                <w:lang w:val="id-ID"/>
              </w:rPr>
            </w:pPr>
            <w:r w:rsidRPr="00C92EB3">
              <w:rPr>
                <w:lang w:val="id-ID"/>
              </w:rPr>
              <w:t>VAS</w:t>
            </w:r>
          </w:p>
        </w:tc>
        <w:tc>
          <w:tcPr>
            <w:tcW w:w="2835" w:type="dxa"/>
            <w:tcBorders>
              <w:bottom w:val="nil"/>
            </w:tcBorders>
            <w:vAlign w:val="center"/>
          </w:tcPr>
          <w:p w:rsidR="007E3051" w:rsidRPr="00C92EB3" w:rsidRDefault="007E3051" w:rsidP="000F576F">
            <w:pPr>
              <w:jc w:val="center"/>
              <w:rPr>
                <w:lang w:val="id-ID"/>
              </w:rPr>
            </w:pPr>
          </w:p>
        </w:tc>
        <w:tc>
          <w:tcPr>
            <w:tcW w:w="956" w:type="dxa"/>
            <w:tcBorders>
              <w:bottom w:val="nil"/>
            </w:tcBorders>
            <w:vAlign w:val="center"/>
          </w:tcPr>
          <w:p w:rsidR="007E3051" w:rsidRPr="00C92EB3" w:rsidRDefault="007E3051" w:rsidP="000F576F">
            <w:pPr>
              <w:jc w:val="center"/>
              <w:rPr>
                <w:lang w:val="id-ID"/>
              </w:rPr>
            </w:pPr>
          </w:p>
        </w:tc>
        <w:tc>
          <w:tcPr>
            <w:tcW w:w="992" w:type="dxa"/>
            <w:tcBorders>
              <w:bottom w:val="nil"/>
              <w:right w:val="nil"/>
            </w:tcBorders>
            <w:vAlign w:val="center"/>
          </w:tcPr>
          <w:p w:rsidR="007E3051" w:rsidRPr="00C92EB3" w:rsidRDefault="007E3051" w:rsidP="000F576F">
            <w:pPr>
              <w:jc w:val="center"/>
              <w:rPr>
                <w:lang w:val="id-ID"/>
              </w:rPr>
            </w:pPr>
          </w:p>
        </w:tc>
        <w:tc>
          <w:tcPr>
            <w:tcW w:w="992" w:type="dxa"/>
            <w:tcBorders>
              <w:left w:val="nil"/>
              <w:bottom w:val="nil"/>
              <w:right w:val="nil"/>
            </w:tcBorders>
            <w:vAlign w:val="center"/>
          </w:tcPr>
          <w:p w:rsidR="007E3051" w:rsidRPr="00C92EB3" w:rsidRDefault="007E3051" w:rsidP="000F576F">
            <w:pPr>
              <w:jc w:val="center"/>
              <w:rPr>
                <w:lang w:val="id-ID"/>
              </w:rPr>
            </w:pPr>
          </w:p>
        </w:tc>
        <w:tc>
          <w:tcPr>
            <w:tcW w:w="992" w:type="dxa"/>
            <w:tcBorders>
              <w:left w:val="nil"/>
              <w:bottom w:val="nil"/>
            </w:tcBorders>
            <w:vAlign w:val="center"/>
          </w:tcPr>
          <w:p w:rsidR="007E3051" w:rsidRPr="00C92EB3" w:rsidRDefault="007E3051" w:rsidP="000F576F">
            <w:pPr>
              <w:jc w:val="center"/>
              <w:rPr>
                <w:lang w:val="id-ID"/>
              </w:rPr>
            </w:pPr>
          </w:p>
        </w:tc>
      </w:tr>
      <w:tr w:rsidR="007E3051" w:rsidRPr="00C92EB3" w:rsidTr="000F576F">
        <w:tc>
          <w:tcPr>
            <w:tcW w:w="1526" w:type="dxa"/>
            <w:tcBorders>
              <w:top w:val="nil"/>
              <w:bottom w:val="nil"/>
            </w:tcBorders>
            <w:vAlign w:val="center"/>
          </w:tcPr>
          <w:p w:rsidR="007E3051" w:rsidRPr="00C92EB3" w:rsidRDefault="007E3051" w:rsidP="000F576F">
            <w:pPr>
              <w:tabs>
                <w:tab w:val="left" w:pos="285"/>
              </w:tabs>
              <w:rPr>
                <w:lang w:val="id-ID"/>
              </w:rPr>
            </w:pPr>
            <w:r w:rsidRPr="00C92EB3">
              <w:rPr>
                <w:lang w:val="id-ID"/>
              </w:rPr>
              <w:tab/>
              <w:t>VAS 1</w:t>
            </w:r>
          </w:p>
        </w:tc>
        <w:tc>
          <w:tcPr>
            <w:tcW w:w="2835" w:type="dxa"/>
            <w:tcBorders>
              <w:top w:val="nil"/>
              <w:bottom w:val="nil"/>
            </w:tcBorders>
            <w:vAlign w:val="center"/>
          </w:tcPr>
          <w:p w:rsidR="007E3051" w:rsidRPr="00C92EB3" w:rsidRDefault="007E3051" w:rsidP="000F576F">
            <w:pPr>
              <w:jc w:val="center"/>
              <w:rPr>
                <w:lang w:val="id-ID"/>
              </w:rPr>
            </w:pPr>
            <w:r w:rsidRPr="00C92EB3">
              <w:rPr>
                <w:lang w:val="id-ID"/>
              </w:rPr>
              <w:t>3,75 ± 0,58 (3,1 – 4,8)</w:t>
            </w:r>
          </w:p>
        </w:tc>
        <w:tc>
          <w:tcPr>
            <w:tcW w:w="956" w:type="dxa"/>
            <w:vMerge w:val="restart"/>
            <w:tcBorders>
              <w:top w:val="nil"/>
            </w:tcBorders>
            <w:vAlign w:val="center"/>
          </w:tcPr>
          <w:p w:rsidR="007E3051" w:rsidRPr="00C92EB3" w:rsidRDefault="007E3051" w:rsidP="000F576F">
            <w:pPr>
              <w:jc w:val="center"/>
              <w:rPr>
                <w:vertAlign w:val="superscript"/>
                <w:lang w:val="id-ID"/>
              </w:rPr>
            </w:pPr>
            <w:r w:rsidRPr="00C92EB3">
              <w:rPr>
                <w:lang w:val="id-ID"/>
              </w:rPr>
              <w:t>0,000*</w:t>
            </w:r>
            <w:r w:rsidRPr="00C92EB3">
              <w:rPr>
                <w:vertAlign w:val="superscript"/>
                <w:lang w:val="id-ID"/>
              </w:rPr>
              <w:t>¥</w:t>
            </w:r>
          </w:p>
        </w:tc>
        <w:tc>
          <w:tcPr>
            <w:tcW w:w="992" w:type="dxa"/>
            <w:vMerge w:val="restart"/>
            <w:tcBorders>
              <w:top w:val="nil"/>
              <w:right w:val="nil"/>
            </w:tcBorders>
            <w:vAlign w:val="center"/>
          </w:tcPr>
          <w:p w:rsidR="007E3051" w:rsidRPr="00C92EB3" w:rsidRDefault="007E3051" w:rsidP="000F576F">
            <w:pPr>
              <w:jc w:val="center"/>
              <w:rPr>
                <w:vertAlign w:val="superscript"/>
                <w:lang w:val="id-ID"/>
              </w:rPr>
            </w:pPr>
            <w:r w:rsidRPr="00C92EB3">
              <w:rPr>
                <w:lang w:val="id-ID"/>
              </w:rPr>
              <w:t>0,000*</w:t>
            </w:r>
            <w:r w:rsidRPr="00C92EB3">
              <w:rPr>
                <w:vertAlign w:val="superscript"/>
                <w:lang w:val="id-ID"/>
              </w:rPr>
              <w:t>£</w:t>
            </w:r>
          </w:p>
        </w:tc>
        <w:tc>
          <w:tcPr>
            <w:tcW w:w="992" w:type="dxa"/>
            <w:vMerge w:val="restart"/>
            <w:tcBorders>
              <w:top w:val="nil"/>
              <w:left w:val="nil"/>
              <w:right w:val="nil"/>
            </w:tcBorders>
            <w:vAlign w:val="center"/>
          </w:tcPr>
          <w:p w:rsidR="007E3051" w:rsidRPr="00C92EB3" w:rsidRDefault="007E3051" w:rsidP="000F576F">
            <w:pPr>
              <w:jc w:val="center"/>
              <w:rPr>
                <w:vertAlign w:val="superscript"/>
                <w:lang w:val="id-ID"/>
              </w:rPr>
            </w:pPr>
            <w:r w:rsidRPr="00C92EB3">
              <w:rPr>
                <w:lang w:val="id-ID"/>
              </w:rPr>
              <w:t>0,000*</w:t>
            </w:r>
            <w:r w:rsidRPr="00C92EB3">
              <w:rPr>
                <w:vertAlign w:val="superscript"/>
                <w:lang w:val="id-ID"/>
              </w:rPr>
              <w:t>£</w:t>
            </w:r>
          </w:p>
        </w:tc>
        <w:tc>
          <w:tcPr>
            <w:tcW w:w="992" w:type="dxa"/>
            <w:vMerge w:val="restart"/>
            <w:tcBorders>
              <w:top w:val="nil"/>
              <w:left w:val="nil"/>
            </w:tcBorders>
            <w:vAlign w:val="center"/>
          </w:tcPr>
          <w:p w:rsidR="007E3051" w:rsidRPr="00C92EB3" w:rsidRDefault="007E3051" w:rsidP="000F576F">
            <w:pPr>
              <w:jc w:val="center"/>
              <w:rPr>
                <w:vertAlign w:val="superscript"/>
                <w:lang w:val="id-ID"/>
              </w:rPr>
            </w:pPr>
            <w:r w:rsidRPr="00C92EB3">
              <w:rPr>
                <w:lang w:val="id-ID"/>
              </w:rPr>
              <w:t>0,000*</w:t>
            </w:r>
            <w:r w:rsidRPr="00C92EB3">
              <w:rPr>
                <w:vertAlign w:val="superscript"/>
                <w:lang w:val="id-ID"/>
              </w:rPr>
              <w:t>£</w:t>
            </w:r>
          </w:p>
        </w:tc>
      </w:tr>
      <w:tr w:rsidR="007E3051" w:rsidRPr="00C92EB3" w:rsidTr="000F576F">
        <w:tc>
          <w:tcPr>
            <w:tcW w:w="1526" w:type="dxa"/>
            <w:tcBorders>
              <w:top w:val="nil"/>
              <w:bottom w:val="nil"/>
            </w:tcBorders>
            <w:vAlign w:val="center"/>
          </w:tcPr>
          <w:p w:rsidR="007E3051" w:rsidRPr="00C92EB3" w:rsidRDefault="007E3051" w:rsidP="000F576F">
            <w:pPr>
              <w:tabs>
                <w:tab w:val="left" w:pos="285"/>
              </w:tabs>
              <w:rPr>
                <w:lang w:val="id-ID"/>
              </w:rPr>
            </w:pPr>
            <w:r w:rsidRPr="00C92EB3">
              <w:rPr>
                <w:lang w:val="id-ID"/>
              </w:rPr>
              <w:tab/>
              <w:t>VAS 2</w:t>
            </w:r>
          </w:p>
        </w:tc>
        <w:tc>
          <w:tcPr>
            <w:tcW w:w="2835" w:type="dxa"/>
            <w:tcBorders>
              <w:top w:val="nil"/>
              <w:bottom w:val="nil"/>
            </w:tcBorders>
            <w:vAlign w:val="center"/>
          </w:tcPr>
          <w:p w:rsidR="007E3051" w:rsidRPr="00C92EB3" w:rsidRDefault="007E3051" w:rsidP="000F576F">
            <w:pPr>
              <w:jc w:val="center"/>
              <w:rPr>
                <w:lang w:val="id-ID"/>
              </w:rPr>
            </w:pPr>
            <w:r w:rsidRPr="00C92EB3">
              <w:rPr>
                <w:lang w:val="id-ID"/>
              </w:rPr>
              <w:t>2,71 ± 0,48 (2,1 – 3,6)</w:t>
            </w:r>
          </w:p>
        </w:tc>
        <w:tc>
          <w:tcPr>
            <w:tcW w:w="956" w:type="dxa"/>
            <w:vMerge/>
            <w:vAlign w:val="center"/>
          </w:tcPr>
          <w:p w:rsidR="007E3051" w:rsidRPr="00C92EB3" w:rsidRDefault="007E3051" w:rsidP="000F576F">
            <w:pPr>
              <w:jc w:val="center"/>
              <w:rPr>
                <w:lang w:val="id-ID"/>
              </w:rPr>
            </w:pPr>
          </w:p>
        </w:tc>
        <w:tc>
          <w:tcPr>
            <w:tcW w:w="992" w:type="dxa"/>
            <w:vMerge/>
            <w:tcBorders>
              <w:right w:val="nil"/>
            </w:tcBorders>
            <w:vAlign w:val="center"/>
          </w:tcPr>
          <w:p w:rsidR="007E3051" w:rsidRPr="00C92EB3" w:rsidRDefault="007E3051" w:rsidP="000F576F">
            <w:pPr>
              <w:jc w:val="center"/>
              <w:rPr>
                <w:lang w:val="id-ID"/>
              </w:rPr>
            </w:pPr>
          </w:p>
        </w:tc>
        <w:tc>
          <w:tcPr>
            <w:tcW w:w="992" w:type="dxa"/>
            <w:vMerge/>
            <w:tcBorders>
              <w:left w:val="nil"/>
              <w:right w:val="nil"/>
            </w:tcBorders>
            <w:vAlign w:val="center"/>
          </w:tcPr>
          <w:p w:rsidR="007E3051" w:rsidRPr="00C92EB3" w:rsidRDefault="007E3051" w:rsidP="000F576F">
            <w:pPr>
              <w:jc w:val="center"/>
              <w:rPr>
                <w:lang w:val="id-ID"/>
              </w:rPr>
            </w:pPr>
          </w:p>
        </w:tc>
        <w:tc>
          <w:tcPr>
            <w:tcW w:w="992" w:type="dxa"/>
            <w:vMerge/>
            <w:tcBorders>
              <w:left w:val="nil"/>
            </w:tcBorders>
            <w:vAlign w:val="center"/>
          </w:tcPr>
          <w:p w:rsidR="007E3051" w:rsidRPr="00C92EB3" w:rsidRDefault="007E3051" w:rsidP="000F576F">
            <w:pPr>
              <w:jc w:val="center"/>
              <w:rPr>
                <w:lang w:val="id-ID"/>
              </w:rPr>
            </w:pPr>
          </w:p>
        </w:tc>
      </w:tr>
      <w:tr w:rsidR="007E3051" w:rsidRPr="00C92EB3" w:rsidTr="000F576F">
        <w:tc>
          <w:tcPr>
            <w:tcW w:w="1526" w:type="dxa"/>
            <w:tcBorders>
              <w:top w:val="nil"/>
            </w:tcBorders>
            <w:vAlign w:val="center"/>
          </w:tcPr>
          <w:p w:rsidR="007E3051" w:rsidRPr="00C92EB3" w:rsidRDefault="007E3051" w:rsidP="000F576F">
            <w:pPr>
              <w:tabs>
                <w:tab w:val="left" w:pos="285"/>
              </w:tabs>
              <w:rPr>
                <w:lang w:val="id-ID"/>
              </w:rPr>
            </w:pPr>
            <w:r w:rsidRPr="00C92EB3">
              <w:rPr>
                <w:lang w:val="id-ID"/>
              </w:rPr>
              <w:tab/>
              <w:t>VAS 3</w:t>
            </w:r>
          </w:p>
        </w:tc>
        <w:tc>
          <w:tcPr>
            <w:tcW w:w="2835" w:type="dxa"/>
            <w:tcBorders>
              <w:top w:val="nil"/>
            </w:tcBorders>
            <w:vAlign w:val="center"/>
          </w:tcPr>
          <w:p w:rsidR="007E3051" w:rsidRPr="00C92EB3" w:rsidRDefault="007E3051" w:rsidP="000F576F">
            <w:pPr>
              <w:jc w:val="center"/>
              <w:rPr>
                <w:lang w:val="id-ID"/>
              </w:rPr>
            </w:pPr>
            <w:r w:rsidRPr="00C92EB3">
              <w:rPr>
                <w:lang w:val="id-ID"/>
              </w:rPr>
              <w:t>2,19 ± 0,41 (1,5 – 2,8)</w:t>
            </w:r>
          </w:p>
        </w:tc>
        <w:tc>
          <w:tcPr>
            <w:tcW w:w="956" w:type="dxa"/>
            <w:vMerge/>
            <w:vAlign w:val="center"/>
          </w:tcPr>
          <w:p w:rsidR="007E3051" w:rsidRPr="00C92EB3" w:rsidRDefault="007E3051" w:rsidP="000F576F">
            <w:pPr>
              <w:jc w:val="center"/>
              <w:rPr>
                <w:lang w:val="id-ID"/>
              </w:rPr>
            </w:pPr>
          </w:p>
        </w:tc>
        <w:tc>
          <w:tcPr>
            <w:tcW w:w="992" w:type="dxa"/>
            <w:vMerge/>
            <w:tcBorders>
              <w:right w:val="nil"/>
            </w:tcBorders>
            <w:vAlign w:val="center"/>
          </w:tcPr>
          <w:p w:rsidR="007E3051" w:rsidRPr="00C92EB3" w:rsidRDefault="007E3051" w:rsidP="000F576F">
            <w:pPr>
              <w:jc w:val="center"/>
              <w:rPr>
                <w:lang w:val="id-ID"/>
              </w:rPr>
            </w:pPr>
          </w:p>
        </w:tc>
        <w:tc>
          <w:tcPr>
            <w:tcW w:w="992" w:type="dxa"/>
            <w:vMerge/>
            <w:tcBorders>
              <w:left w:val="nil"/>
              <w:right w:val="nil"/>
            </w:tcBorders>
            <w:vAlign w:val="center"/>
          </w:tcPr>
          <w:p w:rsidR="007E3051" w:rsidRPr="00C92EB3" w:rsidRDefault="007E3051" w:rsidP="000F576F">
            <w:pPr>
              <w:jc w:val="center"/>
              <w:rPr>
                <w:lang w:val="id-ID"/>
              </w:rPr>
            </w:pPr>
          </w:p>
        </w:tc>
        <w:tc>
          <w:tcPr>
            <w:tcW w:w="992" w:type="dxa"/>
            <w:vMerge/>
            <w:tcBorders>
              <w:left w:val="nil"/>
            </w:tcBorders>
            <w:vAlign w:val="center"/>
          </w:tcPr>
          <w:p w:rsidR="007E3051" w:rsidRPr="00C92EB3" w:rsidRDefault="007E3051" w:rsidP="000F576F">
            <w:pPr>
              <w:jc w:val="center"/>
              <w:rPr>
                <w:lang w:val="id-ID"/>
              </w:rPr>
            </w:pPr>
          </w:p>
        </w:tc>
      </w:tr>
      <w:tr w:rsidR="007E3051" w:rsidRPr="00C92EB3" w:rsidTr="000F576F">
        <w:tc>
          <w:tcPr>
            <w:tcW w:w="1526" w:type="dxa"/>
            <w:tcBorders>
              <w:bottom w:val="nil"/>
            </w:tcBorders>
            <w:vAlign w:val="center"/>
          </w:tcPr>
          <w:p w:rsidR="007E3051" w:rsidRPr="00C92EB3" w:rsidRDefault="007E3051" w:rsidP="000F576F">
            <w:pPr>
              <w:tabs>
                <w:tab w:val="left" w:pos="285"/>
              </w:tabs>
              <w:rPr>
                <w:lang w:val="id-ID"/>
              </w:rPr>
            </w:pPr>
            <w:r w:rsidRPr="00C92EB3">
              <w:rPr>
                <w:lang w:val="id-ID"/>
              </w:rPr>
              <w:lastRenderedPageBreak/>
              <w:t>TSS</w:t>
            </w:r>
          </w:p>
        </w:tc>
        <w:tc>
          <w:tcPr>
            <w:tcW w:w="2835" w:type="dxa"/>
            <w:tcBorders>
              <w:bottom w:val="nil"/>
            </w:tcBorders>
            <w:vAlign w:val="center"/>
          </w:tcPr>
          <w:p w:rsidR="007E3051" w:rsidRPr="00C92EB3" w:rsidRDefault="007E3051" w:rsidP="000F576F">
            <w:pPr>
              <w:jc w:val="center"/>
              <w:rPr>
                <w:lang w:val="id-ID"/>
              </w:rPr>
            </w:pPr>
          </w:p>
        </w:tc>
        <w:tc>
          <w:tcPr>
            <w:tcW w:w="956" w:type="dxa"/>
            <w:tcBorders>
              <w:bottom w:val="nil"/>
            </w:tcBorders>
            <w:vAlign w:val="center"/>
          </w:tcPr>
          <w:p w:rsidR="007E3051" w:rsidRPr="00C92EB3" w:rsidRDefault="007E3051" w:rsidP="000F576F">
            <w:pPr>
              <w:jc w:val="center"/>
              <w:rPr>
                <w:lang w:val="id-ID"/>
              </w:rPr>
            </w:pPr>
          </w:p>
        </w:tc>
        <w:tc>
          <w:tcPr>
            <w:tcW w:w="992" w:type="dxa"/>
            <w:tcBorders>
              <w:bottom w:val="nil"/>
              <w:right w:val="nil"/>
            </w:tcBorders>
            <w:vAlign w:val="center"/>
          </w:tcPr>
          <w:p w:rsidR="007E3051" w:rsidRPr="00C92EB3" w:rsidRDefault="007E3051" w:rsidP="000F576F">
            <w:pPr>
              <w:jc w:val="center"/>
              <w:rPr>
                <w:lang w:val="id-ID"/>
              </w:rPr>
            </w:pPr>
          </w:p>
        </w:tc>
        <w:tc>
          <w:tcPr>
            <w:tcW w:w="992" w:type="dxa"/>
            <w:tcBorders>
              <w:left w:val="nil"/>
              <w:bottom w:val="nil"/>
              <w:right w:val="nil"/>
            </w:tcBorders>
            <w:vAlign w:val="center"/>
          </w:tcPr>
          <w:p w:rsidR="007E3051" w:rsidRPr="00C92EB3" w:rsidRDefault="007E3051" w:rsidP="000F576F">
            <w:pPr>
              <w:jc w:val="center"/>
              <w:rPr>
                <w:lang w:val="id-ID"/>
              </w:rPr>
            </w:pPr>
          </w:p>
        </w:tc>
        <w:tc>
          <w:tcPr>
            <w:tcW w:w="992" w:type="dxa"/>
            <w:tcBorders>
              <w:left w:val="nil"/>
              <w:bottom w:val="nil"/>
            </w:tcBorders>
            <w:vAlign w:val="center"/>
          </w:tcPr>
          <w:p w:rsidR="007E3051" w:rsidRPr="00C92EB3" w:rsidRDefault="007E3051" w:rsidP="000F576F">
            <w:pPr>
              <w:jc w:val="center"/>
              <w:rPr>
                <w:lang w:val="id-ID"/>
              </w:rPr>
            </w:pPr>
          </w:p>
        </w:tc>
      </w:tr>
      <w:tr w:rsidR="007E3051" w:rsidRPr="00C92EB3" w:rsidTr="000F576F">
        <w:tc>
          <w:tcPr>
            <w:tcW w:w="1526" w:type="dxa"/>
            <w:tcBorders>
              <w:top w:val="nil"/>
              <w:bottom w:val="nil"/>
            </w:tcBorders>
            <w:vAlign w:val="center"/>
          </w:tcPr>
          <w:p w:rsidR="007E3051" w:rsidRPr="00C92EB3" w:rsidRDefault="007E3051" w:rsidP="000F576F">
            <w:pPr>
              <w:tabs>
                <w:tab w:val="left" w:pos="285"/>
              </w:tabs>
              <w:rPr>
                <w:lang w:val="id-ID"/>
              </w:rPr>
            </w:pPr>
            <w:r w:rsidRPr="00C92EB3">
              <w:rPr>
                <w:lang w:val="id-ID"/>
              </w:rPr>
              <w:tab/>
              <w:t>TSS 1</w:t>
            </w:r>
          </w:p>
        </w:tc>
        <w:tc>
          <w:tcPr>
            <w:tcW w:w="2835" w:type="dxa"/>
            <w:tcBorders>
              <w:top w:val="nil"/>
              <w:bottom w:val="nil"/>
            </w:tcBorders>
            <w:vAlign w:val="center"/>
          </w:tcPr>
          <w:p w:rsidR="007E3051" w:rsidRPr="00C92EB3" w:rsidRDefault="007E3051" w:rsidP="000F576F">
            <w:pPr>
              <w:jc w:val="center"/>
              <w:rPr>
                <w:lang w:val="id-ID"/>
              </w:rPr>
            </w:pPr>
            <w:r w:rsidRPr="00C92EB3">
              <w:rPr>
                <w:lang w:val="id-ID"/>
              </w:rPr>
              <w:t>7,37 ± 1,18 (5,65 – 10,3)</w:t>
            </w:r>
          </w:p>
        </w:tc>
        <w:tc>
          <w:tcPr>
            <w:tcW w:w="956" w:type="dxa"/>
            <w:vMerge w:val="restart"/>
            <w:tcBorders>
              <w:top w:val="nil"/>
            </w:tcBorders>
            <w:vAlign w:val="center"/>
          </w:tcPr>
          <w:p w:rsidR="007E3051" w:rsidRPr="00C92EB3" w:rsidRDefault="007E3051" w:rsidP="000F576F">
            <w:pPr>
              <w:jc w:val="center"/>
              <w:rPr>
                <w:vertAlign w:val="superscript"/>
                <w:lang w:val="id-ID"/>
              </w:rPr>
            </w:pPr>
            <w:r w:rsidRPr="00C92EB3">
              <w:rPr>
                <w:lang w:val="id-ID"/>
              </w:rPr>
              <w:t>0,000*</w:t>
            </w:r>
            <w:r w:rsidRPr="00C92EB3">
              <w:rPr>
                <w:vertAlign w:val="superscript"/>
                <w:lang w:val="id-ID"/>
              </w:rPr>
              <w:t>§</w:t>
            </w:r>
          </w:p>
        </w:tc>
        <w:tc>
          <w:tcPr>
            <w:tcW w:w="992" w:type="dxa"/>
            <w:vMerge w:val="restart"/>
            <w:tcBorders>
              <w:top w:val="nil"/>
              <w:right w:val="nil"/>
            </w:tcBorders>
            <w:vAlign w:val="center"/>
          </w:tcPr>
          <w:p w:rsidR="007E3051" w:rsidRPr="00C92EB3" w:rsidRDefault="007E3051" w:rsidP="000F576F">
            <w:pPr>
              <w:jc w:val="center"/>
              <w:rPr>
                <w:vertAlign w:val="superscript"/>
                <w:lang w:val="id-ID"/>
              </w:rPr>
            </w:pPr>
            <w:r w:rsidRPr="00C92EB3">
              <w:rPr>
                <w:lang w:val="id-ID"/>
              </w:rPr>
              <w:t>0,000*</w:t>
            </w:r>
            <w:r w:rsidRPr="00C92EB3">
              <w:rPr>
                <w:vertAlign w:val="superscript"/>
                <w:lang w:val="id-ID"/>
              </w:rPr>
              <w:t>‡</w:t>
            </w:r>
          </w:p>
        </w:tc>
        <w:tc>
          <w:tcPr>
            <w:tcW w:w="992" w:type="dxa"/>
            <w:vMerge w:val="restart"/>
            <w:tcBorders>
              <w:top w:val="nil"/>
              <w:left w:val="nil"/>
              <w:right w:val="nil"/>
            </w:tcBorders>
            <w:vAlign w:val="center"/>
          </w:tcPr>
          <w:p w:rsidR="007E3051" w:rsidRPr="00C92EB3" w:rsidRDefault="007E3051" w:rsidP="000F576F">
            <w:pPr>
              <w:jc w:val="center"/>
              <w:rPr>
                <w:vertAlign w:val="superscript"/>
                <w:lang w:val="id-ID"/>
              </w:rPr>
            </w:pPr>
            <w:r w:rsidRPr="00C92EB3">
              <w:rPr>
                <w:lang w:val="id-ID"/>
              </w:rPr>
              <w:t>0,000*</w:t>
            </w:r>
            <w:r w:rsidRPr="00C92EB3">
              <w:rPr>
                <w:vertAlign w:val="superscript"/>
                <w:lang w:val="id-ID"/>
              </w:rPr>
              <w:t>‡</w:t>
            </w:r>
          </w:p>
        </w:tc>
        <w:tc>
          <w:tcPr>
            <w:tcW w:w="992" w:type="dxa"/>
            <w:vMerge w:val="restart"/>
            <w:tcBorders>
              <w:top w:val="nil"/>
              <w:left w:val="nil"/>
            </w:tcBorders>
            <w:vAlign w:val="center"/>
          </w:tcPr>
          <w:p w:rsidR="007E3051" w:rsidRPr="00C92EB3" w:rsidRDefault="007E3051" w:rsidP="000F576F">
            <w:pPr>
              <w:jc w:val="center"/>
              <w:rPr>
                <w:vertAlign w:val="superscript"/>
                <w:lang w:val="id-ID"/>
              </w:rPr>
            </w:pPr>
            <w:r w:rsidRPr="00C92EB3">
              <w:rPr>
                <w:lang w:val="id-ID"/>
              </w:rPr>
              <w:t>0,000*</w:t>
            </w:r>
            <w:r w:rsidRPr="00C92EB3">
              <w:rPr>
                <w:vertAlign w:val="superscript"/>
                <w:lang w:val="id-ID"/>
              </w:rPr>
              <w:t>‡</w:t>
            </w:r>
          </w:p>
        </w:tc>
      </w:tr>
      <w:tr w:rsidR="007E3051" w:rsidRPr="00C92EB3" w:rsidTr="000F576F">
        <w:tc>
          <w:tcPr>
            <w:tcW w:w="1526" w:type="dxa"/>
            <w:tcBorders>
              <w:top w:val="nil"/>
              <w:bottom w:val="nil"/>
            </w:tcBorders>
            <w:vAlign w:val="center"/>
          </w:tcPr>
          <w:p w:rsidR="007E3051" w:rsidRPr="00C92EB3" w:rsidRDefault="007E3051" w:rsidP="000F576F">
            <w:pPr>
              <w:tabs>
                <w:tab w:val="left" w:pos="285"/>
              </w:tabs>
              <w:rPr>
                <w:lang w:val="id-ID"/>
              </w:rPr>
            </w:pPr>
            <w:r w:rsidRPr="00C92EB3">
              <w:rPr>
                <w:lang w:val="id-ID"/>
              </w:rPr>
              <w:tab/>
              <w:t>TSS 2</w:t>
            </w:r>
          </w:p>
        </w:tc>
        <w:tc>
          <w:tcPr>
            <w:tcW w:w="2835" w:type="dxa"/>
            <w:tcBorders>
              <w:top w:val="nil"/>
              <w:bottom w:val="nil"/>
            </w:tcBorders>
            <w:vAlign w:val="center"/>
          </w:tcPr>
          <w:p w:rsidR="007E3051" w:rsidRPr="00C92EB3" w:rsidRDefault="007E3051" w:rsidP="000F576F">
            <w:pPr>
              <w:jc w:val="center"/>
              <w:rPr>
                <w:lang w:val="id-ID"/>
              </w:rPr>
            </w:pPr>
            <w:r w:rsidRPr="00C92EB3">
              <w:rPr>
                <w:lang w:val="id-ID"/>
              </w:rPr>
              <w:t>5,57 ± 0,98 (4,00 – 7,98)</w:t>
            </w:r>
          </w:p>
        </w:tc>
        <w:tc>
          <w:tcPr>
            <w:tcW w:w="956" w:type="dxa"/>
            <w:vMerge/>
            <w:vAlign w:val="center"/>
          </w:tcPr>
          <w:p w:rsidR="007E3051" w:rsidRPr="00C92EB3" w:rsidRDefault="007E3051" w:rsidP="000F576F">
            <w:pPr>
              <w:jc w:val="center"/>
              <w:rPr>
                <w:lang w:val="id-ID"/>
              </w:rPr>
            </w:pPr>
          </w:p>
        </w:tc>
        <w:tc>
          <w:tcPr>
            <w:tcW w:w="992" w:type="dxa"/>
            <w:vMerge/>
            <w:tcBorders>
              <w:right w:val="nil"/>
            </w:tcBorders>
            <w:vAlign w:val="center"/>
          </w:tcPr>
          <w:p w:rsidR="007E3051" w:rsidRPr="00C92EB3" w:rsidRDefault="007E3051" w:rsidP="000F576F">
            <w:pPr>
              <w:jc w:val="center"/>
              <w:rPr>
                <w:lang w:val="id-ID"/>
              </w:rPr>
            </w:pPr>
          </w:p>
        </w:tc>
        <w:tc>
          <w:tcPr>
            <w:tcW w:w="992" w:type="dxa"/>
            <w:vMerge/>
            <w:tcBorders>
              <w:left w:val="nil"/>
              <w:right w:val="nil"/>
            </w:tcBorders>
            <w:vAlign w:val="center"/>
          </w:tcPr>
          <w:p w:rsidR="007E3051" w:rsidRPr="00C92EB3" w:rsidRDefault="007E3051" w:rsidP="000F576F">
            <w:pPr>
              <w:jc w:val="center"/>
              <w:rPr>
                <w:lang w:val="id-ID"/>
              </w:rPr>
            </w:pPr>
          </w:p>
        </w:tc>
        <w:tc>
          <w:tcPr>
            <w:tcW w:w="992" w:type="dxa"/>
            <w:vMerge/>
            <w:tcBorders>
              <w:left w:val="nil"/>
            </w:tcBorders>
            <w:vAlign w:val="center"/>
          </w:tcPr>
          <w:p w:rsidR="007E3051" w:rsidRPr="00C92EB3" w:rsidRDefault="007E3051" w:rsidP="000F576F">
            <w:pPr>
              <w:jc w:val="center"/>
              <w:rPr>
                <w:lang w:val="id-ID"/>
              </w:rPr>
            </w:pPr>
          </w:p>
        </w:tc>
      </w:tr>
      <w:tr w:rsidR="007E3051" w:rsidRPr="00C92EB3" w:rsidTr="000F576F">
        <w:tc>
          <w:tcPr>
            <w:tcW w:w="1526" w:type="dxa"/>
            <w:tcBorders>
              <w:top w:val="nil"/>
            </w:tcBorders>
            <w:vAlign w:val="center"/>
          </w:tcPr>
          <w:p w:rsidR="007E3051" w:rsidRPr="00C92EB3" w:rsidRDefault="007E3051" w:rsidP="000F576F">
            <w:pPr>
              <w:tabs>
                <w:tab w:val="left" w:pos="285"/>
              </w:tabs>
              <w:rPr>
                <w:lang w:val="id-ID"/>
              </w:rPr>
            </w:pPr>
            <w:r w:rsidRPr="00C92EB3">
              <w:rPr>
                <w:lang w:val="id-ID"/>
              </w:rPr>
              <w:tab/>
              <w:t>TSS 3</w:t>
            </w:r>
          </w:p>
        </w:tc>
        <w:tc>
          <w:tcPr>
            <w:tcW w:w="2835" w:type="dxa"/>
            <w:tcBorders>
              <w:top w:val="nil"/>
            </w:tcBorders>
            <w:vAlign w:val="center"/>
          </w:tcPr>
          <w:p w:rsidR="007E3051" w:rsidRPr="00C92EB3" w:rsidRDefault="007E3051" w:rsidP="000F576F">
            <w:pPr>
              <w:jc w:val="center"/>
              <w:rPr>
                <w:lang w:val="id-ID"/>
              </w:rPr>
            </w:pPr>
            <w:r w:rsidRPr="00C92EB3">
              <w:rPr>
                <w:lang w:val="id-ID"/>
              </w:rPr>
              <w:t>3,87 ± 1,04 (2,33 – 5,65)</w:t>
            </w:r>
          </w:p>
        </w:tc>
        <w:tc>
          <w:tcPr>
            <w:tcW w:w="956" w:type="dxa"/>
            <w:vMerge/>
            <w:vAlign w:val="center"/>
          </w:tcPr>
          <w:p w:rsidR="007E3051" w:rsidRPr="00C92EB3" w:rsidRDefault="007E3051" w:rsidP="000F576F">
            <w:pPr>
              <w:jc w:val="center"/>
              <w:rPr>
                <w:lang w:val="id-ID"/>
              </w:rPr>
            </w:pPr>
          </w:p>
        </w:tc>
        <w:tc>
          <w:tcPr>
            <w:tcW w:w="992" w:type="dxa"/>
            <w:vMerge/>
            <w:tcBorders>
              <w:right w:val="nil"/>
            </w:tcBorders>
            <w:vAlign w:val="center"/>
          </w:tcPr>
          <w:p w:rsidR="007E3051" w:rsidRPr="00C92EB3" w:rsidRDefault="007E3051" w:rsidP="000F576F">
            <w:pPr>
              <w:jc w:val="center"/>
              <w:rPr>
                <w:lang w:val="id-ID"/>
              </w:rPr>
            </w:pPr>
          </w:p>
        </w:tc>
        <w:tc>
          <w:tcPr>
            <w:tcW w:w="992" w:type="dxa"/>
            <w:vMerge/>
            <w:tcBorders>
              <w:left w:val="nil"/>
              <w:right w:val="nil"/>
            </w:tcBorders>
            <w:vAlign w:val="center"/>
          </w:tcPr>
          <w:p w:rsidR="007E3051" w:rsidRPr="00C92EB3" w:rsidRDefault="007E3051" w:rsidP="000F576F">
            <w:pPr>
              <w:jc w:val="center"/>
              <w:rPr>
                <w:lang w:val="id-ID"/>
              </w:rPr>
            </w:pPr>
          </w:p>
        </w:tc>
        <w:tc>
          <w:tcPr>
            <w:tcW w:w="992" w:type="dxa"/>
            <w:vMerge/>
            <w:tcBorders>
              <w:left w:val="nil"/>
            </w:tcBorders>
            <w:vAlign w:val="center"/>
          </w:tcPr>
          <w:p w:rsidR="007E3051" w:rsidRPr="00C92EB3" w:rsidRDefault="007E3051" w:rsidP="000F576F">
            <w:pPr>
              <w:jc w:val="center"/>
              <w:rPr>
                <w:lang w:val="id-ID"/>
              </w:rPr>
            </w:pPr>
          </w:p>
        </w:tc>
      </w:tr>
    </w:tbl>
    <w:p w:rsidR="007E3051" w:rsidRDefault="007E3051" w:rsidP="007E3051">
      <w:pPr>
        <w:rPr>
          <w:lang w:val="id-ID"/>
        </w:rPr>
      </w:pPr>
      <w:r w:rsidRPr="00C92EB3">
        <w:t xml:space="preserve">Keterangan : * Signifikan; </w:t>
      </w:r>
      <w:r w:rsidRPr="00C92EB3">
        <w:rPr>
          <w:vertAlign w:val="superscript"/>
        </w:rPr>
        <w:t>¥</w:t>
      </w:r>
      <w:r w:rsidRPr="00C92EB3">
        <w:t xml:space="preserve"> Freidman; </w:t>
      </w:r>
      <w:r w:rsidRPr="00C92EB3">
        <w:rPr>
          <w:vertAlign w:val="superscript"/>
        </w:rPr>
        <w:t>£</w:t>
      </w:r>
      <w:r w:rsidRPr="00C92EB3">
        <w:t xml:space="preserve"> Wilcoxon; </w:t>
      </w:r>
      <w:r w:rsidRPr="00C92EB3">
        <w:rPr>
          <w:vertAlign w:val="superscript"/>
        </w:rPr>
        <w:t>§</w:t>
      </w:r>
      <w:r w:rsidRPr="00C92EB3">
        <w:t xml:space="preserve"> Repeated Anova; </w:t>
      </w:r>
      <w:r w:rsidRPr="00C92EB3">
        <w:rPr>
          <w:vertAlign w:val="superscript"/>
        </w:rPr>
        <w:t>‡</w:t>
      </w:r>
      <w:r w:rsidRPr="00C92EB3">
        <w:t xml:space="preserve"> Post Hoc</w:t>
      </w:r>
    </w:p>
    <w:p w:rsidR="00F36C02" w:rsidRPr="00F36C02" w:rsidRDefault="00F36C02" w:rsidP="007E3051">
      <w:pPr>
        <w:rPr>
          <w:lang w:val="id-ID"/>
        </w:rPr>
      </w:pPr>
    </w:p>
    <w:p w:rsidR="007E3051" w:rsidRPr="00C92EB3" w:rsidRDefault="007E3051" w:rsidP="007E3051">
      <w:pPr>
        <w:jc w:val="both"/>
      </w:pPr>
      <w:r>
        <w:tab/>
        <w:t>Pada tabel 3, penelitian ini menunjukan terjadi perbaikan skor VAS baik terhadap pasien yang memiliki faktor risiko maupun tidak.</w:t>
      </w:r>
      <w:r w:rsidR="00F36C02">
        <w:rPr>
          <w:lang w:val="id-ID"/>
        </w:rPr>
        <w:t xml:space="preserve"> </w:t>
      </w:r>
      <w:r>
        <w:t xml:space="preserve"> </w:t>
      </w:r>
    </w:p>
    <w:p w:rsidR="007E3051" w:rsidRPr="005F1924" w:rsidRDefault="007E3051" w:rsidP="007E3051">
      <w:r w:rsidRPr="00C92EB3">
        <w:rPr>
          <w:b/>
        </w:rPr>
        <w:t xml:space="preserve">Tabel </w:t>
      </w:r>
      <w:r>
        <w:rPr>
          <w:b/>
        </w:rPr>
        <w:t>3</w:t>
      </w:r>
      <w:r w:rsidRPr="00C92EB3">
        <w:rPr>
          <w:b/>
        </w:rPr>
        <w:t>.</w:t>
      </w:r>
      <w:r w:rsidRPr="00C92EB3">
        <w:t xml:space="preserve"> </w:t>
      </w:r>
      <w:r w:rsidRPr="005F1924">
        <w:t xml:space="preserve">Tabel </w:t>
      </w:r>
      <w:r>
        <w:t xml:space="preserve">analisis faktor resiko </w:t>
      </w:r>
      <w:r w:rsidRPr="005F1924">
        <w:t>terhadap selisih VAS</w:t>
      </w:r>
    </w:p>
    <w:tbl>
      <w:tblPr>
        <w:tblStyle w:val="TableGrid"/>
        <w:tblW w:w="0" w:type="auto"/>
        <w:tblBorders>
          <w:left w:val="none" w:sz="0" w:space="0" w:color="auto"/>
          <w:right w:val="none" w:sz="0" w:space="0" w:color="auto"/>
          <w:insideV w:val="none" w:sz="0" w:space="0" w:color="auto"/>
        </w:tblBorders>
        <w:tblLook w:val="04A0" w:firstRow="1" w:lastRow="0" w:firstColumn="1" w:lastColumn="0" w:noHBand="0" w:noVBand="1"/>
      </w:tblPr>
      <w:tblGrid>
        <w:gridCol w:w="1789"/>
        <w:gridCol w:w="2038"/>
        <w:gridCol w:w="2039"/>
        <w:gridCol w:w="2039"/>
      </w:tblGrid>
      <w:tr w:rsidR="007E3051" w:rsidRPr="005F1924" w:rsidTr="000F576F">
        <w:tc>
          <w:tcPr>
            <w:tcW w:w="1789" w:type="dxa"/>
            <w:vMerge w:val="restart"/>
            <w:vAlign w:val="center"/>
          </w:tcPr>
          <w:p w:rsidR="007E3051" w:rsidRPr="005F1924" w:rsidRDefault="007E3051" w:rsidP="000F576F">
            <w:pPr>
              <w:jc w:val="center"/>
              <w:rPr>
                <w:b/>
              </w:rPr>
            </w:pPr>
            <w:r w:rsidRPr="005F1924">
              <w:rPr>
                <w:b/>
              </w:rPr>
              <w:t>Variabel</w:t>
            </w:r>
          </w:p>
        </w:tc>
        <w:tc>
          <w:tcPr>
            <w:tcW w:w="6116" w:type="dxa"/>
            <w:gridSpan w:val="3"/>
            <w:tcBorders>
              <w:bottom w:val="single" w:sz="4" w:space="0" w:color="000000" w:themeColor="text1"/>
            </w:tcBorders>
            <w:vAlign w:val="center"/>
          </w:tcPr>
          <w:p w:rsidR="007E3051" w:rsidRPr="005F1924" w:rsidRDefault="007E3051" w:rsidP="000F576F">
            <w:pPr>
              <w:jc w:val="center"/>
              <w:rPr>
                <w:b/>
              </w:rPr>
            </w:pPr>
            <w:r w:rsidRPr="005F1924">
              <w:rPr>
                <w:b/>
              </w:rPr>
              <w:t>Selisih VAS</w:t>
            </w:r>
          </w:p>
        </w:tc>
      </w:tr>
      <w:tr w:rsidR="007E3051" w:rsidRPr="005F1924" w:rsidTr="000F576F">
        <w:tc>
          <w:tcPr>
            <w:tcW w:w="1789" w:type="dxa"/>
            <w:vMerge/>
            <w:tcBorders>
              <w:bottom w:val="single" w:sz="4" w:space="0" w:color="000000" w:themeColor="text1"/>
            </w:tcBorders>
            <w:vAlign w:val="center"/>
          </w:tcPr>
          <w:p w:rsidR="007E3051" w:rsidRPr="005F1924" w:rsidRDefault="007E3051" w:rsidP="000F576F">
            <w:pPr>
              <w:jc w:val="center"/>
              <w:rPr>
                <w:b/>
              </w:rPr>
            </w:pPr>
          </w:p>
        </w:tc>
        <w:tc>
          <w:tcPr>
            <w:tcW w:w="2038" w:type="dxa"/>
            <w:tcBorders>
              <w:bottom w:val="nil"/>
            </w:tcBorders>
            <w:vAlign w:val="center"/>
          </w:tcPr>
          <w:p w:rsidR="007E3051" w:rsidRPr="005F1924" w:rsidRDefault="007E3051" w:rsidP="000F576F">
            <w:pPr>
              <w:jc w:val="center"/>
              <w:rPr>
                <w:b/>
              </w:rPr>
            </w:pPr>
            <w:r w:rsidRPr="005F1924">
              <w:rPr>
                <w:b/>
              </w:rPr>
              <w:t>1 – 2</w:t>
            </w:r>
          </w:p>
        </w:tc>
        <w:tc>
          <w:tcPr>
            <w:tcW w:w="2039" w:type="dxa"/>
            <w:tcBorders>
              <w:bottom w:val="nil"/>
            </w:tcBorders>
            <w:vAlign w:val="center"/>
          </w:tcPr>
          <w:p w:rsidR="007E3051" w:rsidRPr="005F1924" w:rsidRDefault="007E3051" w:rsidP="000F576F">
            <w:pPr>
              <w:jc w:val="center"/>
              <w:rPr>
                <w:b/>
              </w:rPr>
            </w:pPr>
            <w:r w:rsidRPr="005F1924">
              <w:rPr>
                <w:b/>
              </w:rPr>
              <w:t>2 – 3</w:t>
            </w:r>
          </w:p>
        </w:tc>
        <w:tc>
          <w:tcPr>
            <w:tcW w:w="2039" w:type="dxa"/>
            <w:tcBorders>
              <w:bottom w:val="nil"/>
            </w:tcBorders>
            <w:vAlign w:val="center"/>
          </w:tcPr>
          <w:p w:rsidR="007E3051" w:rsidRPr="005F1924" w:rsidRDefault="007E3051" w:rsidP="000F576F">
            <w:pPr>
              <w:jc w:val="center"/>
              <w:rPr>
                <w:b/>
              </w:rPr>
            </w:pPr>
            <w:r w:rsidRPr="005F1924">
              <w:rPr>
                <w:b/>
              </w:rPr>
              <w:t>1 – 3</w:t>
            </w:r>
          </w:p>
        </w:tc>
      </w:tr>
      <w:tr w:rsidR="007E3051" w:rsidRPr="005F1924" w:rsidTr="000F576F">
        <w:tc>
          <w:tcPr>
            <w:tcW w:w="1789" w:type="dxa"/>
            <w:vMerge/>
            <w:tcBorders>
              <w:bottom w:val="single" w:sz="4" w:space="0" w:color="000000" w:themeColor="text1"/>
            </w:tcBorders>
            <w:vAlign w:val="center"/>
          </w:tcPr>
          <w:p w:rsidR="007E3051" w:rsidRPr="005F1924" w:rsidRDefault="007E3051" w:rsidP="000F576F">
            <w:pPr>
              <w:jc w:val="center"/>
              <w:rPr>
                <w:b/>
              </w:rPr>
            </w:pPr>
          </w:p>
        </w:tc>
        <w:tc>
          <w:tcPr>
            <w:tcW w:w="2038" w:type="dxa"/>
            <w:tcBorders>
              <w:top w:val="nil"/>
              <w:bottom w:val="single" w:sz="4" w:space="0" w:color="000000" w:themeColor="text1"/>
            </w:tcBorders>
            <w:vAlign w:val="center"/>
          </w:tcPr>
          <w:p w:rsidR="007E3051" w:rsidRPr="0025171E" w:rsidRDefault="007E3051" w:rsidP="000F576F">
            <w:pPr>
              <w:jc w:val="center"/>
              <w:rPr>
                <w:b/>
                <w:lang w:val="id-ID"/>
              </w:rPr>
            </w:pPr>
            <w:r>
              <w:rPr>
                <w:b/>
              </w:rPr>
              <w:t>p</w:t>
            </w:r>
          </w:p>
        </w:tc>
        <w:tc>
          <w:tcPr>
            <w:tcW w:w="2039" w:type="dxa"/>
            <w:tcBorders>
              <w:top w:val="nil"/>
              <w:bottom w:val="single" w:sz="4" w:space="0" w:color="000000" w:themeColor="text1"/>
            </w:tcBorders>
            <w:vAlign w:val="center"/>
          </w:tcPr>
          <w:p w:rsidR="007E3051" w:rsidRPr="0025171E" w:rsidRDefault="00F36C02" w:rsidP="000F576F">
            <w:pPr>
              <w:jc w:val="center"/>
              <w:rPr>
                <w:b/>
                <w:lang w:val="id-ID"/>
              </w:rPr>
            </w:pPr>
            <w:r>
              <w:rPr>
                <w:b/>
              </w:rPr>
              <w:t>P</w:t>
            </w:r>
          </w:p>
        </w:tc>
        <w:tc>
          <w:tcPr>
            <w:tcW w:w="2039" w:type="dxa"/>
            <w:tcBorders>
              <w:top w:val="nil"/>
              <w:bottom w:val="single" w:sz="4" w:space="0" w:color="000000" w:themeColor="text1"/>
            </w:tcBorders>
            <w:vAlign w:val="center"/>
          </w:tcPr>
          <w:p w:rsidR="007E3051" w:rsidRPr="0025171E" w:rsidRDefault="007E3051" w:rsidP="000F576F">
            <w:pPr>
              <w:jc w:val="center"/>
              <w:rPr>
                <w:b/>
                <w:lang w:val="id-ID"/>
              </w:rPr>
            </w:pPr>
            <w:r>
              <w:rPr>
                <w:b/>
              </w:rPr>
              <w:t>p</w:t>
            </w:r>
          </w:p>
        </w:tc>
      </w:tr>
      <w:tr w:rsidR="007E3051" w:rsidRPr="005F1924" w:rsidTr="000F576F">
        <w:tc>
          <w:tcPr>
            <w:tcW w:w="1789" w:type="dxa"/>
            <w:tcBorders>
              <w:top w:val="nil"/>
              <w:bottom w:val="nil"/>
            </w:tcBorders>
            <w:vAlign w:val="center"/>
          </w:tcPr>
          <w:p w:rsidR="007E3051" w:rsidRPr="005F1924" w:rsidRDefault="007E3051" w:rsidP="000F576F">
            <w:pPr>
              <w:tabs>
                <w:tab w:val="left" w:pos="255"/>
              </w:tabs>
              <w:jc w:val="both"/>
            </w:pPr>
            <w:r w:rsidRPr="005F1924">
              <w:t>Hipertensi</w:t>
            </w:r>
          </w:p>
        </w:tc>
        <w:tc>
          <w:tcPr>
            <w:tcW w:w="2038" w:type="dxa"/>
            <w:tcBorders>
              <w:top w:val="nil"/>
              <w:bottom w:val="nil"/>
            </w:tcBorders>
            <w:vAlign w:val="center"/>
          </w:tcPr>
          <w:p w:rsidR="007E3051" w:rsidRPr="005F1924" w:rsidRDefault="007E3051" w:rsidP="000F576F">
            <w:pPr>
              <w:jc w:val="center"/>
            </w:pPr>
            <w:r w:rsidRPr="005F1924">
              <w:t>0,137</w:t>
            </w:r>
            <w:r w:rsidRPr="005F1924">
              <w:rPr>
                <w:vertAlign w:val="superscript"/>
              </w:rPr>
              <w:t>‡</w:t>
            </w:r>
          </w:p>
        </w:tc>
        <w:tc>
          <w:tcPr>
            <w:tcW w:w="2039" w:type="dxa"/>
            <w:tcBorders>
              <w:top w:val="nil"/>
              <w:bottom w:val="nil"/>
            </w:tcBorders>
            <w:vAlign w:val="center"/>
          </w:tcPr>
          <w:p w:rsidR="007E3051" w:rsidRPr="005F1924" w:rsidRDefault="007E3051" w:rsidP="000F576F">
            <w:pPr>
              <w:jc w:val="center"/>
            </w:pPr>
            <w:r w:rsidRPr="005F1924">
              <w:t>0,829</w:t>
            </w:r>
            <w:r w:rsidRPr="005F1924">
              <w:rPr>
                <w:vertAlign w:val="superscript"/>
              </w:rPr>
              <w:t>‡</w:t>
            </w:r>
          </w:p>
        </w:tc>
        <w:tc>
          <w:tcPr>
            <w:tcW w:w="2039" w:type="dxa"/>
            <w:tcBorders>
              <w:top w:val="nil"/>
              <w:bottom w:val="nil"/>
            </w:tcBorders>
            <w:vAlign w:val="center"/>
          </w:tcPr>
          <w:p w:rsidR="007E3051" w:rsidRPr="005F1924" w:rsidRDefault="007E3051" w:rsidP="000F576F">
            <w:pPr>
              <w:jc w:val="center"/>
            </w:pPr>
            <w:r w:rsidRPr="005F1924">
              <w:t>0,120</w:t>
            </w:r>
            <w:r w:rsidRPr="005F1924">
              <w:rPr>
                <w:vertAlign w:val="superscript"/>
              </w:rPr>
              <w:t>‡</w:t>
            </w:r>
          </w:p>
        </w:tc>
      </w:tr>
      <w:tr w:rsidR="007E3051" w:rsidRPr="005F1924" w:rsidTr="000F576F">
        <w:tc>
          <w:tcPr>
            <w:tcW w:w="1789" w:type="dxa"/>
            <w:tcBorders>
              <w:top w:val="nil"/>
              <w:bottom w:val="nil"/>
            </w:tcBorders>
            <w:vAlign w:val="center"/>
          </w:tcPr>
          <w:p w:rsidR="007E3051" w:rsidRPr="005F1924" w:rsidRDefault="007E3051" w:rsidP="000F576F">
            <w:pPr>
              <w:tabs>
                <w:tab w:val="left" w:pos="255"/>
              </w:tabs>
              <w:jc w:val="both"/>
            </w:pPr>
            <w:r w:rsidRPr="005F1924">
              <w:t>Merokok</w:t>
            </w:r>
          </w:p>
        </w:tc>
        <w:tc>
          <w:tcPr>
            <w:tcW w:w="2038" w:type="dxa"/>
            <w:tcBorders>
              <w:top w:val="nil"/>
              <w:bottom w:val="nil"/>
            </w:tcBorders>
            <w:vAlign w:val="center"/>
          </w:tcPr>
          <w:p w:rsidR="007E3051" w:rsidRPr="005F1924" w:rsidRDefault="007E3051" w:rsidP="000F576F">
            <w:pPr>
              <w:jc w:val="center"/>
            </w:pPr>
            <w:r w:rsidRPr="005F1924">
              <w:t>0,958</w:t>
            </w:r>
            <w:r w:rsidRPr="005F1924">
              <w:rPr>
                <w:vertAlign w:val="superscript"/>
              </w:rPr>
              <w:t>§</w:t>
            </w:r>
          </w:p>
        </w:tc>
        <w:tc>
          <w:tcPr>
            <w:tcW w:w="2039" w:type="dxa"/>
            <w:tcBorders>
              <w:top w:val="nil"/>
              <w:bottom w:val="nil"/>
            </w:tcBorders>
            <w:vAlign w:val="center"/>
          </w:tcPr>
          <w:p w:rsidR="007E3051" w:rsidRPr="005F1924" w:rsidRDefault="007E3051" w:rsidP="000F576F">
            <w:pPr>
              <w:jc w:val="center"/>
            </w:pPr>
            <w:r w:rsidRPr="005F1924">
              <w:t>0,088</w:t>
            </w:r>
            <w:r w:rsidRPr="005F1924">
              <w:rPr>
                <w:vertAlign w:val="superscript"/>
              </w:rPr>
              <w:t>‡</w:t>
            </w:r>
          </w:p>
        </w:tc>
        <w:tc>
          <w:tcPr>
            <w:tcW w:w="2039" w:type="dxa"/>
            <w:tcBorders>
              <w:top w:val="nil"/>
              <w:bottom w:val="nil"/>
            </w:tcBorders>
            <w:vAlign w:val="center"/>
          </w:tcPr>
          <w:p w:rsidR="007E3051" w:rsidRPr="005F1924" w:rsidRDefault="007E3051" w:rsidP="000F576F">
            <w:pPr>
              <w:jc w:val="center"/>
            </w:pPr>
            <w:r w:rsidRPr="005F1924">
              <w:t>0,649</w:t>
            </w:r>
            <w:r w:rsidRPr="005F1924">
              <w:rPr>
                <w:vertAlign w:val="superscript"/>
              </w:rPr>
              <w:t>‡</w:t>
            </w:r>
          </w:p>
        </w:tc>
      </w:tr>
      <w:tr w:rsidR="007E3051" w:rsidRPr="005F1924" w:rsidTr="000F576F">
        <w:tc>
          <w:tcPr>
            <w:tcW w:w="1789" w:type="dxa"/>
            <w:tcBorders>
              <w:top w:val="nil"/>
              <w:bottom w:val="single" w:sz="4" w:space="0" w:color="auto"/>
            </w:tcBorders>
            <w:vAlign w:val="center"/>
          </w:tcPr>
          <w:p w:rsidR="007E3051" w:rsidRPr="005F1924" w:rsidRDefault="007E3051" w:rsidP="000F576F">
            <w:pPr>
              <w:tabs>
                <w:tab w:val="left" w:pos="255"/>
              </w:tabs>
              <w:jc w:val="both"/>
            </w:pPr>
            <w:r w:rsidRPr="005F1924">
              <w:t>Alkohol</w:t>
            </w:r>
          </w:p>
        </w:tc>
        <w:tc>
          <w:tcPr>
            <w:tcW w:w="2038" w:type="dxa"/>
            <w:tcBorders>
              <w:top w:val="nil"/>
              <w:bottom w:val="single" w:sz="4" w:space="0" w:color="auto"/>
            </w:tcBorders>
            <w:vAlign w:val="center"/>
          </w:tcPr>
          <w:p w:rsidR="007E3051" w:rsidRPr="005F1924" w:rsidRDefault="007E3051" w:rsidP="000F576F">
            <w:pPr>
              <w:jc w:val="center"/>
            </w:pPr>
            <w:r w:rsidRPr="005F1924">
              <w:t>0,643</w:t>
            </w:r>
            <w:r w:rsidRPr="005F1924">
              <w:rPr>
                <w:vertAlign w:val="superscript"/>
              </w:rPr>
              <w:t>‡</w:t>
            </w:r>
          </w:p>
        </w:tc>
        <w:tc>
          <w:tcPr>
            <w:tcW w:w="2039" w:type="dxa"/>
            <w:tcBorders>
              <w:top w:val="nil"/>
              <w:bottom w:val="single" w:sz="4" w:space="0" w:color="auto"/>
            </w:tcBorders>
            <w:vAlign w:val="center"/>
          </w:tcPr>
          <w:p w:rsidR="007E3051" w:rsidRPr="005F1924" w:rsidRDefault="007E3051" w:rsidP="000F576F">
            <w:pPr>
              <w:jc w:val="center"/>
            </w:pPr>
            <w:r w:rsidRPr="005F1924">
              <w:t>0,141</w:t>
            </w:r>
            <w:r w:rsidRPr="005F1924">
              <w:rPr>
                <w:vertAlign w:val="superscript"/>
              </w:rPr>
              <w:t>‡</w:t>
            </w:r>
          </w:p>
        </w:tc>
        <w:tc>
          <w:tcPr>
            <w:tcW w:w="2039" w:type="dxa"/>
            <w:tcBorders>
              <w:top w:val="nil"/>
              <w:bottom w:val="single" w:sz="4" w:space="0" w:color="auto"/>
            </w:tcBorders>
            <w:vAlign w:val="center"/>
          </w:tcPr>
          <w:p w:rsidR="007E3051" w:rsidRPr="005F1924" w:rsidRDefault="007E3051" w:rsidP="000F576F">
            <w:pPr>
              <w:jc w:val="center"/>
            </w:pPr>
            <w:r w:rsidRPr="005F1924">
              <w:t>0,384</w:t>
            </w:r>
            <w:r w:rsidRPr="005F1924">
              <w:rPr>
                <w:vertAlign w:val="superscript"/>
              </w:rPr>
              <w:t>‡</w:t>
            </w:r>
          </w:p>
        </w:tc>
      </w:tr>
    </w:tbl>
    <w:p w:rsidR="007E3051" w:rsidRPr="005F1924" w:rsidRDefault="007E3051" w:rsidP="007E3051">
      <w:r w:rsidRPr="005F1924">
        <w:t xml:space="preserve">Keterangan : </w:t>
      </w:r>
      <w:r w:rsidRPr="005F1924">
        <w:rPr>
          <w:vertAlign w:val="superscript"/>
        </w:rPr>
        <w:t>§</w:t>
      </w:r>
      <w:r w:rsidRPr="005F1924">
        <w:t xml:space="preserve"> t-test; </w:t>
      </w:r>
      <w:r w:rsidRPr="005F1924">
        <w:rPr>
          <w:vertAlign w:val="superscript"/>
        </w:rPr>
        <w:t>‡</w:t>
      </w:r>
      <w:r w:rsidRPr="005F1924">
        <w:t> Mann Whitney</w:t>
      </w:r>
    </w:p>
    <w:p w:rsidR="007E3051" w:rsidRDefault="007E3051" w:rsidP="007E3051">
      <w:pPr>
        <w:rPr>
          <w:b/>
        </w:rPr>
      </w:pPr>
      <w:r>
        <w:rPr>
          <w:b/>
        </w:rPr>
        <w:br w:type="page"/>
      </w:r>
    </w:p>
    <w:p w:rsidR="007E3051" w:rsidRDefault="007E3051" w:rsidP="007E3051">
      <w:pPr>
        <w:jc w:val="both"/>
      </w:pPr>
      <w:r w:rsidRPr="005F1924">
        <w:rPr>
          <w:noProof/>
          <w:lang w:eastAsia="en-US"/>
        </w:rPr>
        <w:lastRenderedPageBreak/>
        <w:drawing>
          <wp:inline distT="0" distB="0" distL="0" distR="0" wp14:anchorId="0E3419A1" wp14:editId="7FC7E43D">
            <wp:extent cx="4949687" cy="2792896"/>
            <wp:effectExtent l="0" t="0" r="22860" b="26670"/>
            <wp:docPr id="121" name="Chart 12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7E3051" w:rsidRDefault="007E3051" w:rsidP="007E3051">
      <w:pPr>
        <w:ind w:firstLine="720"/>
        <w:jc w:val="both"/>
      </w:pPr>
      <w:r>
        <w:t>Grafik 3.1 analisis faktor risiko yg dimiliki terhadap selisih VAS</w:t>
      </w:r>
    </w:p>
    <w:p w:rsidR="007E3051" w:rsidRDefault="007E3051" w:rsidP="007E3051">
      <w:pPr>
        <w:ind w:firstLine="720"/>
        <w:jc w:val="both"/>
        <w:rPr>
          <w:b/>
        </w:rPr>
      </w:pPr>
      <w:r>
        <w:t>Pada tabel 4, penelitian ini menunjukan terdapat perbaikan skor TSS dan terdapat perbedaan bermakna pada subjek yang mempunyai faktor resiko berupa merokok terhadap selisih skor TSS. Pada subjek dengan faktor resiko hipertensi didapatkan perbedaan bermakna pada kunju</w:t>
      </w:r>
      <w:r w:rsidR="00535E0E">
        <w:t>ngan pertama dibanding</w:t>
      </w:r>
      <w:r w:rsidR="00535E0E">
        <w:rPr>
          <w:lang w:val="id-ID"/>
        </w:rPr>
        <w:t>kan dengan setelah mendapat VitB1B6B12 Forte selama 2 bulan</w:t>
      </w:r>
      <w:r>
        <w:t xml:space="preserve">. </w:t>
      </w:r>
    </w:p>
    <w:p w:rsidR="007E3051" w:rsidRPr="005F1924" w:rsidRDefault="007E3051" w:rsidP="007E3051">
      <w:r w:rsidRPr="0025171E">
        <w:rPr>
          <w:b/>
        </w:rPr>
        <w:t>Tabel 4.</w:t>
      </w:r>
      <w:r w:rsidRPr="005F1924">
        <w:t xml:space="preserve"> terhadap selisih TSS</w:t>
      </w:r>
    </w:p>
    <w:tbl>
      <w:tblPr>
        <w:tblStyle w:val="TableGrid"/>
        <w:tblW w:w="0" w:type="auto"/>
        <w:tblBorders>
          <w:left w:val="none" w:sz="0" w:space="0" w:color="auto"/>
          <w:right w:val="none" w:sz="0" w:space="0" w:color="auto"/>
          <w:insideV w:val="none" w:sz="0" w:space="0" w:color="auto"/>
        </w:tblBorders>
        <w:tblLook w:val="04A0" w:firstRow="1" w:lastRow="0" w:firstColumn="1" w:lastColumn="0" w:noHBand="0" w:noVBand="1"/>
      </w:tblPr>
      <w:tblGrid>
        <w:gridCol w:w="1789"/>
        <w:gridCol w:w="2038"/>
        <w:gridCol w:w="2039"/>
        <w:gridCol w:w="2039"/>
      </w:tblGrid>
      <w:tr w:rsidR="007E3051" w:rsidRPr="005F1924" w:rsidTr="000F576F">
        <w:tc>
          <w:tcPr>
            <w:tcW w:w="1789" w:type="dxa"/>
            <w:vMerge w:val="restart"/>
            <w:vAlign w:val="center"/>
          </w:tcPr>
          <w:p w:rsidR="007E3051" w:rsidRPr="005F1924" w:rsidRDefault="007E3051" w:rsidP="000F576F">
            <w:pPr>
              <w:jc w:val="center"/>
              <w:rPr>
                <w:b/>
              </w:rPr>
            </w:pPr>
            <w:r w:rsidRPr="005F1924">
              <w:rPr>
                <w:b/>
              </w:rPr>
              <w:t>Variabel</w:t>
            </w:r>
          </w:p>
        </w:tc>
        <w:tc>
          <w:tcPr>
            <w:tcW w:w="6116" w:type="dxa"/>
            <w:gridSpan w:val="3"/>
            <w:tcBorders>
              <w:bottom w:val="single" w:sz="4" w:space="0" w:color="000000" w:themeColor="text1"/>
            </w:tcBorders>
            <w:vAlign w:val="center"/>
          </w:tcPr>
          <w:p w:rsidR="007E3051" w:rsidRPr="005F1924" w:rsidRDefault="007E3051" w:rsidP="000F576F">
            <w:pPr>
              <w:jc w:val="center"/>
              <w:rPr>
                <w:b/>
              </w:rPr>
            </w:pPr>
            <w:r w:rsidRPr="005F1924">
              <w:rPr>
                <w:b/>
              </w:rPr>
              <w:t>Selisih TSS</w:t>
            </w:r>
          </w:p>
        </w:tc>
      </w:tr>
      <w:tr w:rsidR="007E3051" w:rsidRPr="005F1924" w:rsidTr="000F576F">
        <w:tc>
          <w:tcPr>
            <w:tcW w:w="1789" w:type="dxa"/>
            <w:vMerge/>
            <w:tcBorders>
              <w:bottom w:val="single" w:sz="4" w:space="0" w:color="000000" w:themeColor="text1"/>
            </w:tcBorders>
            <w:vAlign w:val="center"/>
          </w:tcPr>
          <w:p w:rsidR="007E3051" w:rsidRPr="005F1924" w:rsidRDefault="007E3051" w:rsidP="000F576F">
            <w:pPr>
              <w:jc w:val="center"/>
              <w:rPr>
                <w:b/>
              </w:rPr>
            </w:pPr>
          </w:p>
        </w:tc>
        <w:tc>
          <w:tcPr>
            <w:tcW w:w="2038" w:type="dxa"/>
            <w:tcBorders>
              <w:bottom w:val="nil"/>
            </w:tcBorders>
            <w:vAlign w:val="center"/>
          </w:tcPr>
          <w:p w:rsidR="007E3051" w:rsidRPr="005F1924" w:rsidRDefault="007E3051" w:rsidP="000F576F">
            <w:pPr>
              <w:jc w:val="center"/>
              <w:rPr>
                <w:b/>
              </w:rPr>
            </w:pPr>
            <w:r w:rsidRPr="005F1924">
              <w:rPr>
                <w:b/>
              </w:rPr>
              <w:t>1 – 2</w:t>
            </w:r>
          </w:p>
        </w:tc>
        <w:tc>
          <w:tcPr>
            <w:tcW w:w="2039" w:type="dxa"/>
            <w:tcBorders>
              <w:bottom w:val="nil"/>
            </w:tcBorders>
            <w:vAlign w:val="center"/>
          </w:tcPr>
          <w:p w:rsidR="007E3051" w:rsidRPr="005F1924" w:rsidRDefault="007E3051" w:rsidP="000F576F">
            <w:pPr>
              <w:jc w:val="center"/>
              <w:rPr>
                <w:b/>
              </w:rPr>
            </w:pPr>
            <w:r w:rsidRPr="005F1924">
              <w:rPr>
                <w:b/>
              </w:rPr>
              <w:t>2 – 3</w:t>
            </w:r>
          </w:p>
        </w:tc>
        <w:tc>
          <w:tcPr>
            <w:tcW w:w="2039" w:type="dxa"/>
            <w:tcBorders>
              <w:bottom w:val="nil"/>
            </w:tcBorders>
            <w:vAlign w:val="center"/>
          </w:tcPr>
          <w:p w:rsidR="007E3051" w:rsidRPr="005F1924" w:rsidRDefault="007E3051" w:rsidP="000F576F">
            <w:pPr>
              <w:jc w:val="center"/>
              <w:rPr>
                <w:b/>
              </w:rPr>
            </w:pPr>
            <w:r w:rsidRPr="005F1924">
              <w:rPr>
                <w:b/>
              </w:rPr>
              <w:t>1 – 3</w:t>
            </w:r>
          </w:p>
        </w:tc>
      </w:tr>
      <w:tr w:rsidR="007E3051" w:rsidRPr="005F1924" w:rsidTr="000F576F">
        <w:tc>
          <w:tcPr>
            <w:tcW w:w="1789" w:type="dxa"/>
            <w:vMerge/>
            <w:tcBorders>
              <w:bottom w:val="single" w:sz="4" w:space="0" w:color="000000" w:themeColor="text1"/>
            </w:tcBorders>
            <w:vAlign w:val="center"/>
          </w:tcPr>
          <w:p w:rsidR="007E3051" w:rsidRPr="005F1924" w:rsidRDefault="007E3051" w:rsidP="000F576F">
            <w:pPr>
              <w:jc w:val="center"/>
              <w:rPr>
                <w:b/>
              </w:rPr>
            </w:pPr>
          </w:p>
        </w:tc>
        <w:tc>
          <w:tcPr>
            <w:tcW w:w="2038" w:type="dxa"/>
            <w:tcBorders>
              <w:top w:val="nil"/>
              <w:bottom w:val="single" w:sz="4" w:space="0" w:color="000000" w:themeColor="text1"/>
            </w:tcBorders>
            <w:vAlign w:val="center"/>
          </w:tcPr>
          <w:p w:rsidR="007E3051" w:rsidRPr="005F1924" w:rsidRDefault="007E3051" w:rsidP="000F576F">
            <w:pPr>
              <w:jc w:val="center"/>
              <w:rPr>
                <w:b/>
              </w:rPr>
            </w:pPr>
            <w:r w:rsidRPr="005F1924">
              <w:rPr>
                <w:b/>
              </w:rPr>
              <w:t>p (r)</w:t>
            </w:r>
          </w:p>
        </w:tc>
        <w:tc>
          <w:tcPr>
            <w:tcW w:w="2039" w:type="dxa"/>
            <w:tcBorders>
              <w:top w:val="nil"/>
              <w:bottom w:val="single" w:sz="4" w:space="0" w:color="000000" w:themeColor="text1"/>
            </w:tcBorders>
            <w:vAlign w:val="center"/>
          </w:tcPr>
          <w:p w:rsidR="007E3051" w:rsidRPr="005F1924" w:rsidRDefault="007E3051" w:rsidP="000F576F">
            <w:pPr>
              <w:jc w:val="center"/>
              <w:rPr>
                <w:b/>
              </w:rPr>
            </w:pPr>
            <w:r w:rsidRPr="005F1924">
              <w:rPr>
                <w:b/>
              </w:rPr>
              <w:t>p (r)</w:t>
            </w:r>
          </w:p>
        </w:tc>
        <w:tc>
          <w:tcPr>
            <w:tcW w:w="2039" w:type="dxa"/>
            <w:tcBorders>
              <w:top w:val="nil"/>
              <w:bottom w:val="single" w:sz="4" w:space="0" w:color="000000" w:themeColor="text1"/>
            </w:tcBorders>
            <w:vAlign w:val="center"/>
          </w:tcPr>
          <w:p w:rsidR="007E3051" w:rsidRPr="005F1924" w:rsidRDefault="007E3051" w:rsidP="000F576F">
            <w:pPr>
              <w:jc w:val="center"/>
              <w:rPr>
                <w:b/>
              </w:rPr>
            </w:pPr>
            <w:r w:rsidRPr="005F1924">
              <w:rPr>
                <w:b/>
              </w:rPr>
              <w:t>p (r)</w:t>
            </w:r>
          </w:p>
        </w:tc>
      </w:tr>
      <w:tr w:rsidR="007E3051" w:rsidRPr="005F1924" w:rsidTr="000F576F">
        <w:tc>
          <w:tcPr>
            <w:tcW w:w="1789" w:type="dxa"/>
            <w:tcBorders>
              <w:top w:val="nil"/>
              <w:bottom w:val="nil"/>
            </w:tcBorders>
            <w:vAlign w:val="center"/>
          </w:tcPr>
          <w:p w:rsidR="007E3051" w:rsidRPr="005F1924" w:rsidRDefault="007E3051" w:rsidP="000F576F">
            <w:pPr>
              <w:tabs>
                <w:tab w:val="left" w:pos="255"/>
              </w:tabs>
              <w:jc w:val="both"/>
            </w:pPr>
            <w:r w:rsidRPr="005F1924">
              <w:t>Hipertensi</w:t>
            </w:r>
          </w:p>
        </w:tc>
        <w:tc>
          <w:tcPr>
            <w:tcW w:w="2038" w:type="dxa"/>
            <w:tcBorders>
              <w:top w:val="nil"/>
              <w:bottom w:val="nil"/>
            </w:tcBorders>
            <w:vAlign w:val="center"/>
          </w:tcPr>
          <w:p w:rsidR="007E3051" w:rsidRPr="005F1924" w:rsidRDefault="007E3051" w:rsidP="000F576F">
            <w:pPr>
              <w:jc w:val="center"/>
            </w:pPr>
            <w:r w:rsidRPr="005F1924">
              <w:t>0,202</w:t>
            </w:r>
            <w:r w:rsidRPr="005F1924">
              <w:rPr>
                <w:vertAlign w:val="superscript"/>
              </w:rPr>
              <w:t>§</w:t>
            </w:r>
          </w:p>
        </w:tc>
        <w:tc>
          <w:tcPr>
            <w:tcW w:w="2039" w:type="dxa"/>
            <w:tcBorders>
              <w:top w:val="nil"/>
              <w:bottom w:val="nil"/>
            </w:tcBorders>
            <w:vAlign w:val="center"/>
          </w:tcPr>
          <w:p w:rsidR="007E3051" w:rsidRPr="005F1924" w:rsidRDefault="007E3051" w:rsidP="000F576F">
            <w:pPr>
              <w:jc w:val="center"/>
            </w:pPr>
            <w:r w:rsidRPr="005F1924">
              <w:t>0,098</w:t>
            </w:r>
            <w:r w:rsidRPr="005F1924">
              <w:rPr>
                <w:vertAlign w:val="superscript"/>
              </w:rPr>
              <w:t>‡</w:t>
            </w:r>
          </w:p>
        </w:tc>
        <w:tc>
          <w:tcPr>
            <w:tcW w:w="2039" w:type="dxa"/>
            <w:tcBorders>
              <w:top w:val="nil"/>
              <w:bottom w:val="nil"/>
            </w:tcBorders>
            <w:vAlign w:val="center"/>
          </w:tcPr>
          <w:p w:rsidR="007E3051" w:rsidRPr="005F1924" w:rsidRDefault="007E3051" w:rsidP="000F576F">
            <w:pPr>
              <w:jc w:val="center"/>
            </w:pPr>
            <w:r w:rsidRPr="005F1924">
              <w:t>0,020*</w:t>
            </w:r>
            <w:r w:rsidRPr="005F1924">
              <w:rPr>
                <w:vertAlign w:val="superscript"/>
              </w:rPr>
              <w:t>§</w:t>
            </w:r>
          </w:p>
        </w:tc>
      </w:tr>
      <w:tr w:rsidR="007E3051" w:rsidRPr="005F1924" w:rsidTr="000F576F">
        <w:tc>
          <w:tcPr>
            <w:tcW w:w="1789" w:type="dxa"/>
            <w:tcBorders>
              <w:top w:val="nil"/>
              <w:bottom w:val="nil"/>
            </w:tcBorders>
            <w:vAlign w:val="center"/>
          </w:tcPr>
          <w:p w:rsidR="007E3051" w:rsidRPr="005F1924" w:rsidRDefault="007E3051" w:rsidP="000F576F">
            <w:pPr>
              <w:tabs>
                <w:tab w:val="left" w:pos="255"/>
              </w:tabs>
              <w:jc w:val="both"/>
            </w:pPr>
            <w:r w:rsidRPr="005F1924">
              <w:t>Merokok</w:t>
            </w:r>
          </w:p>
        </w:tc>
        <w:tc>
          <w:tcPr>
            <w:tcW w:w="2038" w:type="dxa"/>
            <w:tcBorders>
              <w:top w:val="nil"/>
              <w:bottom w:val="nil"/>
            </w:tcBorders>
            <w:vAlign w:val="center"/>
          </w:tcPr>
          <w:p w:rsidR="007E3051" w:rsidRPr="005F1924" w:rsidRDefault="007E3051" w:rsidP="000F576F">
            <w:pPr>
              <w:jc w:val="center"/>
            </w:pPr>
            <w:r w:rsidRPr="005F1924">
              <w:t>0,024*</w:t>
            </w:r>
            <w:r w:rsidRPr="005F1924">
              <w:rPr>
                <w:vertAlign w:val="superscript"/>
              </w:rPr>
              <w:t>§</w:t>
            </w:r>
          </w:p>
        </w:tc>
        <w:tc>
          <w:tcPr>
            <w:tcW w:w="2039" w:type="dxa"/>
            <w:tcBorders>
              <w:top w:val="nil"/>
              <w:bottom w:val="nil"/>
            </w:tcBorders>
            <w:vAlign w:val="center"/>
          </w:tcPr>
          <w:p w:rsidR="007E3051" w:rsidRPr="005F1924" w:rsidRDefault="007E3051" w:rsidP="000F576F">
            <w:pPr>
              <w:jc w:val="center"/>
            </w:pPr>
            <w:r w:rsidRPr="005F1924">
              <w:t>0,005*</w:t>
            </w:r>
            <w:r w:rsidRPr="005F1924">
              <w:rPr>
                <w:vertAlign w:val="superscript"/>
              </w:rPr>
              <w:t>‡</w:t>
            </w:r>
          </w:p>
        </w:tc>
        <w:tc>
          <w:tcPr>
            <w:tcW w:w="2039" w:type="dxa"/>
            <w:tcBorders>
              <w:top w:val="nil"/>
              <w:bottom w:val="nil"/>
            </w:tcBorders>
            <w:vAlign w:val="center"/>
          </w:tcPr>
          <w:p w:rsidR="007E3051" w:rsidRPr="005F1924" w:rsidRDefault="007E3051" w:rsidP="000F576F">
            <w:pPr>
              <w:jc w:val="center"/>
            </w:pPr>
            <w:r w:rsidRPr="005F1924">
              <w:t>0,000*</w:t>
            </w:r>
            <w:r w:rsidRPr="005F1924">
              <w:rPr>
                <w:vertAlign w:val="superscript"/>
              </w:rPr>
              <w:t>§</w:t>
            </w:r>
          </w:p>
        </w:tc>
      </w:tr>
      <w:tr w:rsidR="007E3051" w:rsidRPr="005F1924" w:rsidTr="000F576F">
        <w:tc>
          <w:tcPr>
            <w:tcW w:w="1789" w:type="dxa"/>
            <w:tcBorders>
              <w:top w:val="nil"/>
              <w:bottom w:val="single" w:sz="4" w:space="0" w:color="auto"/>
            </w:tcBorders>
            <w:vAlign w:val="center"/>
          </w:tcPr>
          <w:p w:rsidR="007E3051" w:rsidRPr="005F1924" w:rsidRDefault="007E3051" w:rsidP="000F576F">
            <w:pPr>
              <w:tabs>
                <w:tab w:val="left" w:pos="255"/>
              </w:tabs>
              <w:jc w:val="both"/>
            </w:pPr>
            <w:r w:rsidRPr="005F1924">
              <w:t>Alkohol</w:t>
            </w:r>
          </w:p>
        </w:tc>
        <w:tc>
          <w:tcPr>
            <w:tcW w:w="2038" w:type="dxa"/>
            <w:tcBorders>
              <w:top w:val="nil"/>
              <w:bottom w:val="single" w:sz="4" w:space="0" w:color="auto"/>
            </w:tcBorders>
            <w:vAlign w:val="center"/>
          </w:tcPr>
          <w:p w:rsidR="007E3051" w:rsidRPr="005F1924" w:rsidRDefault="007E3051" w:rsidP="000F576F">
            <w:pPr>
              <w:jc w:val="center"/>
            </w:pPr>
            <w:r w:rsidRPr="005F1924">
              <w:t>0,415</w:t>
            </w:r>
            <w:r w:rsidRPr="005F1924">
              <w:rPr>
                <w:vertAlign w:val="superscript"/>
              </w:rPr>
              <w:t>‡</w:t>
            </w:r>
          </w:p>
        </w:tc>
        <w:tc>
          <w:tcPr>
            <w:tcW w:w="2039" w:type="dxa"/>
            <w:tcBorders>
              <w:top w:val="nil"/>
              <w:bottom w:val="single" w:sz="4" w:space="0" w:color="auto"/>
            </w:tcBorders>
            <w:vAlign w:val="center"/>
          </w:tcPr>
          <w:p w:rsidR="007E3051" w:rsidRPr="005F1924" w:rsidRDefault="007E3051" w:rsidP="000F576F">
            <w:pPr>
              <w:jc w:val="center"/>
            </w:pPr>
            <w:r w:rsidRPr="005F1924">
              <w:t>1,000</w:t>
            </w:r>
            <w:r w:rsidRPr="005F1924">
              <w:rPr>
                <w:vertAlign w:val="superscript"/>
              </w:rPr>
              <w:t>‡</w:t>
            </w:r>
          </w:p>
        </w:tc>
        <w:tc>
          <w:tcPr>
            <w:tcW w:w="2039" w:type="dxa"/>
            <w:tcBorders>
              <w:top w:val="nil"/>
              <w:bottom w:val="single" w:sz="4" w:space="0" w:color="auto"/>
            </w:tcBorders>
            <w:vAlign w:val="center"/>
          </w:tcPr>
          <w:p w:rsidR="007E3051" w:rsidRPr="005F1924" w:rsidRDefault="007E3051" w:rsidP="000F576F">
            <w:pPr>
              <w:jc w:val="center"/>
            </w:pPr>
            <w:r w:rsidRPr="005F1924">
              <w:t>0,418</w:t>
            </w:r>
            <w:r w:rsidRPr="005F1924">
              <w:rPr>
                <w:vertAlign w:val="superscript"/>
              </w:rPr>
              <w:t>‡</w:t>
            </w:r>
          </w:p>
        </w:tc>
      </w:tr>
    </w:tbl>
    <w:p w:rsidR="007E3051" w:rsidRDefault="007E3051" w:rsidP="007E3051">
      <w:r w:rsidRPr="005F1924">
        <w:t xml:space="preserve">Keterangan : * Signifikan; </w:t>
      </w:r>
      <w:r w:rsidRPr="005F1924">
        <w:rPr>
          <w:vertAlign w:val="superscript"/>
        </w:rPr>
        <w:t>§</w:t>
      </w:r>
      <w:r w:rsidRPr="005F1924">
        <w:t xml:space="preserve"> t-test; </w:t>
      </w:r>
      <w:r w:rsidRPr="005F1924">
        <w:rPr>
          <w:vertAlign w:val="superscript"/>
        </w:rPr>
        <w:t>‡</w:t>
      </w:r>
      <w:r w:rsidRPr="005F1924">
        <w:t xml:space="preserve"> Mann Whitney; </w:t>
      </w:r>
      <w:r w:rsidRPr="005F1924">
        <w:rPr>
          <w:vertAlign w:val="superscript"/>
        </w:rPr>
        <w:t>¥</w:t>
      </w:r>
      <w:r w:rsidRPr="005F1924">
        <w:t xml:space="preserve"> Spearman’s; </w:t>
      </w:r>
      <w:r w:rsidRPr="005F1924">
        <w:rPr>
          <w:vertAlign w:val="superscript"/>
        </w:rPr>
        <w:t>¶</w:t>
      </w:r>
      <w:r w:rsidRPr="005F1924">
        <w:t xml:space="preserve"> Kruskal Wallis; </w:t>
      </w:r>
      <w:r w:rsidRPr="005F1924">
        <w:rPr>
          <w:vertAlign w:val="superscript"/>
        </w:rPr>
        <w:t>☼</w:t>
      </w:r>
      <w:r w:rsidRPr="005F1924">
        <w:t xml:space="preserve"> ANOVA</w:t>
      </w:r>
    </w:p>
    <w:p w:rsidR="007E3051" w:rsidRDefault="007E3051" w:rsidP="007E3051"/>
    <w:p w:rsidR="007E3051" w:rsidRPr="001240A0" w:rsidRDefault="007E3051" w:rsidP="007E3051">
      <w:r w:rsidRPr="005F1924">
        <w:rPr>
          <w:noProof/>
          <w:lang w:eastAsia="en-US"/>
        </w:rPr>
        <w:drawing>
          <wp:inline distT="0" distB="0" distL="0" distR="0" wp14:anchorId="0676A623" wp14:editId="10D04789">
            <wp:extent cx="5039995" cy="2940253"/>
            <wp:effectExtent l="0" t="0" r="27305" b="12700"/>
            <wp:docPr id="122" name="Chart 12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7E3051" w:rsidRDefault="007E3051" w:rsidP="007E3051">
      <w:pPr>
        <w:ind w:firstLine="720"/>
        <w:jc w:val="both"/>
      </w:pPr>
      <w:r>
        <w:t>Grafik 4.1 analisis faktor risiko yg dimiliki terhadap selisih TSS</w:t>
      </w:r>
    </w:p>
    <w:p w:rsidR="007E3051" w:rsidRDefault="007E3051" w:rsidP="007E3051"/>
    <w:p w:rsidR="007E3051" w:rsidRDefault="007E3051" w:rsidP="007E3051">
      <w:pPr>
        <w:rPr>
          <w:b/>
          <w:lang w:val="id-ID"/>
        </w:rPr>
      </w:pPr>
      <w:r w:rsidRPr="00B77618">
        <w:rPr>
          <w:b/>
        </w:rPr>
        <w:t>Pembahasan</w:t>
      </w:r>
    </w:p>
    <w:p w:rsidR="00B77618" w:rsidRPr="00B77618" w:rsidRDefault="00B77618" w:rsidP="007E3051">
      <w:pPr>
        <w:rPr>
          <w:b/>
          <w:lang w:val="id-ID"/>
        </w:rPr>
      </w:pPr>
    </w:p>
    <w:p w:rsidR="007E3051" w:rsidRDefault="007E3051" w:rsidP="007E3051">
      <w:pPr>
        <w:jc w:val="both"/>
      </w:pPr>
      <w:r>
        <w:tab/>
      </w:r>
      <w:r w:rsidRPr="00805057">
        <w:t xml:space="preserve">Hipotesis pada penelitian ini adalah pemberian kombinasi vitamin B1, B6 dan B12 </w:t>
      </w:r>
      <w:r w:rsidR="00535E0E">
        <w:rPr>
          <w:lang w:val="id-ID"/>
        </w:rPr>
        <w:t xml:space="preserve">Forte </w:t>
      </w:r>
      <w:r>
        <w:t xml:space="preserve">berpengaruh pada </w:t>
      </w:r>
      <w:r w:rsidRPr="00805057">
        <w:t>penurunan nilai total gejala</w:t>
      </w:r>
      <w:r w:rsidR="00535E0E">
        <w:rPr>
          <w:lang w:val="id-ID"/>
        </w:rPr>
        <w:t xml:space="preserve"> </w:t>
      </w:r>
      <w:r>
        <w:t>(VAS)</w:t>
      </w:r>
      <w:r w:rsidRPr="00805057">
        <w:t xml:space="preserve"> atau total symptoms score</w:t>
      </w:r>
      <w:r w:rsidR="00535E0E">
        <w:rPr>
          <w:lang w:val="id-ID"/>
        </w:rPr>
        <w:t xml:space="preserve"> </w:t>
      </w:r>
      <w:r>
        <w:t>(TSS)</w:t>
      </w:r>
      <w:r w:rsidRPr="00805057">
        <w:t xml:space="preserve"> pada pasien neuropati</w:t>
      </w:r>
      <w:r>
        <w:t xml:space="preserve"> perifer</w:t>
      </w:r>
      <w:r w:rsidRPr="00805057">
        <w:t>. Penggunaan total symptoms score dipilih karena peneliti dapat mengamati langsung 4 gejala sekaligus pada pasien neuropati</w:t>
      </w:r>
      <w:r>
        <w:t xml:space="preserve">. </w:t>
      </w:r>
    </w:p>
    <w:p w:rsidR="007E3051" w:rsidRDefault="007E3051" w:rsidP="007E3051">
      <w:pPr>
        <w:ind w:firstLine="720"/>
        <w:jc w:val="both"/>
      </w:pPr>
      <w:r>
        <w:t>Total pasien pada penelitian ini adalah sebanyak 30 pasien dengan jumlah pasien perempuan 21 (70%) dan laki-laki 9 (30%), hal ini sesuai dengan p</w:t>
      </w:r>
      <w:r w:rsidRPr="00805057">
        <w:t xml:space="preserve">enelitian </w:t>
      </w:r>
      <w:r>
        <w:t xml:space="preserve">yang pernah dilakukan </w:t>
      </w:r>
      <w:r w:rsidRPr="00805057">
        <w:t>se</w:t>
      </w:r>
      <w:r>
        <w:t>belumnya pada tahun 2012, yang mengatakan bahwa</w:t>
      </w:r>
      <w:r w:rsidRPr="00805057">
        <w:t xml:space="preserve"> prevalensi jenis kelamin yang menderita neuropati diabetes pada negara berkembang lebih banyak </w:t>
      </w:r>
      <w:r>
        <w:t xml:space="preserve">terjadi </w:t>
      </w:r>
      <w:r w:rsidRPr="00805057">
        <w:t>pada wanita.</w:t>
      </w:r>
      <w:r>
        <w:rPr>
          <w:vertAlign w:val="superscript"/>
        </w:rPr>
        <w:t>6</w:t>
      </w:r>
      <w:r>
        <w:t xml:space="preserve"> Hal ini juga s</w:t>
      </w:r>
      <w:r w:rsidRPr="00805057">
        <w:t>esuai de</w:t>
      </w:r>
      <w:r>
        <w:t>ngan penelitian lain mengenai epidemiologi nyeri neuropatik pada tahun 2009</w:t>
      </w:r>
      <w:r w:rsidRPr="00805057">
        <w:t>, bahwa secara epidemiologi ditemukan bahwa sensitivitas sensasi nyeri, terjadi lebih banyak pada wanita daripa</w:t>
      </w:r>
      <w:r>
        <w:t>da pria. Hal tersebut dapat merupakan akibat</w:t>
      </w:r>
      <w:r w:rsidRPr="00805057">
        <w:t xml:space="preserve"> oleh banyak faktor antara lain secara biopsychosocial, hormon, dan </w:t>
      </w:r>
      <w:r w:rsidRPr="00805057">
        <w:rPr>
          <w:i/>
        </w:rPr>
        <w:t>pain coping</w:t>
      </w:r>
      <w:r>
        <w:t>.</w:t>
      </w:r>
      <w:r>
        <w:rPr>
          <w:vertAlign w:val="superscript"/>
        </w:rPr>
        <w:t xml:space="preserve">7,8 </w:t>
      </w:r>
      <w:r>
        <w:t>Sementara untuk kelompok usia rerata subjek neuropati perifer pada penelitian ini adalah 52 tahun, tidak berbeda pada p</w:t>
      </w:r>
      <w:r w:rsidRPr="00805057">
        <w:t xml:space="preserve">enelitian </w:t>
      </w:r>
      <w:r>
        <w:t xml:space="preserve">yang dilakukan </w:t>
      </w:r>
      <w:r w:rsidRPr="00805057">
        <w:t xml:space="preserve">oleh Perhimpunan Dokter Spesialis Saraf Indonesia (PERDOSSI) tahun 2012 dilakukan pada 5.000 pasien di rumah sakit Jakarta, Surabaya dan Medan pasien yang terskrining neuropati, 81% kasus </w:t>
      </w:r>
      <w:r>
        <w:t>menyerang usia 40 tahun ke atas.</w:t>
      </w:r>
      <w:r>
        <w:rPr>
          <w:vertAlign w:val="superscript"/>
        </w:rPr>
        <w:t>9</w:t>
      </w:r>
      <w:r>
        <w:t xml:space="preserve"> Studi lain tahun 2005 dan 2011</w:t>
      </w:r>
      <w:r w:rsidRPr="00805057">
        <w:t>, mengindikasi bahwa usia tua memiliki sensitivitas</w:t>
      </w:r>
      <w:r>
        <w:t xml:space="preserve"> </w:t>
      </w:r>
      <w:r w:rsidRPr="00805057">
        <w:t>nyeri lebih tinggi daripada usia muda, penelitian juga menyebutkan persepsi nyeri atau rasa tidak nyaman menunjukkan hasil yang kurang konsisten dal</w:t>
      </w:r>
      <w:r>
        <w:t>am kelompok usia muda.</w:t>
      </w:r>
      <w:r>
        <w:rPr>
          <w:vertAlign w:val="superscript"/>
        </w:rPr>
        <w:t>10,11</w:t>
      </w:r>
      <w:r>
        <w:t xml:space="preserve"> </w:t>
      </w:r>
    </w:p>
    <w:p w:rsidR="007E3051" w:rsidRDefault="007E3051" w:rsidP="007E3051">
      <w:pPr>
        <w:ind w:firstLine="720"/>
        <w:jc w:val="both"/>
      </w:pPr>
      <w:r w:rsidRPr="00805057">
        <w:t>Merokok merupakan salah satu faktor risiko penyebab munculnya neuropati di</w:t>
      </w:r>
      <w:r>
        <w:t>abetes yang dapat dimodifikasi</w:t>
      </w:r>
      <w:r w:rsidRPr="00805057">
        <w:t>.</w:t>
      </w:r>
      <w:r>
        <w:rPr>
          <w:vertAlign w:val="superscript"/>
        </w:rPr>
        <w:t>12</w:t>
      </w:r>
      <w:r w:rsidRPr="00805057">
        <w:t xml:space="preserve"> Menurut Centre for Disease Control and Prevention (CDC) pada pasien dengan diabetes yang merokok akan meningkatkan kerusakan saraf sehingga menimbulkan komplikasi neuropati perifer dengan gejala mati rasa, nyeri, kurang koordinasi dan kelemahan pada tangan dan kaki.</w:t>
      </w:r>
      <w:r>
        <w:rPr>
          <w:vertAlign w:val="superscript"/>
        </w:rPr>
        <w:t xml:space="preserve">12 </w:t>
      </w:r>
      <w:r w:rsidRPr="00805057">
        <w:t>Menurut penelitian</w:t>
      </w:r>
      <w:r>
        <w:t xml:space="preserve"> tahun 2011, </w:t>
      </w:r>
      <w:r w:rsidRPr="00805057">
        <w:t xml:space="preserve"> kejadian neuropati diabetes terjadi karena multifaktorial yang berhubungan dengan gangguan metabolik, stress oxidative, dan defisiensi growth factor.</w:t>
      </w:r>
      <w:r>
        <w:rPr>
          <w:vertAlign w:val="superscript"/>
        </w:rPr>
        <w:t>13</w:t>
      </w:r>
      <w:r>
        <w:t xml:space="preserve"> </w:t>
      </w:r>
      <w:r w:rsidRPr="00C405B8">
        <w:t>Penelitian yang pernah dilakukan sebelumnya oleh</w:t>
      </w:r>
      <w:r>
        <w:t xml:space="preserve"> </w:t>
      </w:r>
      <w:r w:rsidRPr="00C405B8">
        <w:t>Wiggin et al. (2009) bahwa tingginya trigliserida merupakan satu-satunya parameter klinis yang berkolerasi terhadap hilangnya densitas serabut saraf pada pasien neuropati diabetes.</w:t>
      </w:r>
      <w:r>
        <w:rPr>
          <w:vertAlign w:val="superscript"/>
        </w:rPr>
        <w:t>14</w:t>
      </w:r>
      <w:r w:rsidRPr="00C405B8">
        <w:t xml:space="preserve"> Hal tersebut dikarenakan pasien diberikan terapi untuk mengontrol kadar lemak darah dan pemberian terapi kombinasi vitamin yang sudah dilakukan selama 2 minggu membantu didalam penurunan nilai total gejala.</w:t>
      </w:r>
      <w:r>
        <w:t xml:space="preserve"> </w:t>
      </w:r>
      <w:r w:rsidRPr="00C405B8">
        <w:t xml:space="preserve">Secara teori hipertensi dan tingginya kadar gula dalam darah dapat mempercepat komplikasi mikrovaskular dan makrovaskular yang dapat menyebabkan kerusakan serabut saraf </w:t>
      </w:r>
      <w:r w:rsidRPr="00507853">
        <w:t xml:space="preserve">dan menimbulkan </w:t>
      </w:r>
      <w:r>
        <w:t>gejala neuropati</w:t>
      </w:r>
      <w:r w:rsidRPr="00507853">
        <w:t>.</w:t>
      </w:r>
      <w:r w:rsidRPr="00507853">
        <w:rPr>
          <w:vertAlign w:val="superscript"/>
        </w:rPr>
        <w:t>15</w:t>
      </w:r>
      <w:r w:rsidRPr="00507853">
        <w:t xml:space="preserve"> Hal tersebut daitas senada dengan penelitian ini yang menunjukan pengukuran TSS didapatkan hubungan yang bermakna antara selisih TSS score terhadap faktor risiko merokok. Sedangkan dari hasil penelitian ini didapatkan bahwa pada pengukuran VAS, tidak terdapat perbedaan bermakna secara statistik antara faktor risiko merokok, hipertensi, maupun konsumsi alkohol dengan selisih VAS pada tiap kunjungan, meskipun terdapat perbaikan nilai VAS. </w:t>
      </w:r>
    </w:p>
    <w:p w:rsidR="007E3051" w:rsidRPr="00FA0CBA" w:rsidRDefault="007E3051" w:rsidP="007E3051">
      <w:pPr>
        <w:ind w:firstLine="720"/>
        <w:jc w:val="both"/>
        <w:rPr>
          <w:vertAlign w:val="superscript"/>
        </w:rPr>
      </w:pPr>
      <w:r w:rsidRPr="00C405B8">
        <w:t>Pada penelitian ini peneliti tidak memeriksa kadar gula darah pasien</w:t>
      </w:r>
      <w:r>
        <w:t>.</w:t>
      </w:r>
      <w:r w:rsidRPr="00C405B8">
        <w:t xml:space="preserve"> Menurut National Institute of Diabetes and Digestive and Kidney Diseases (NIDDK) (2013) cara terbaik mencegah dan memperbaiki neuropati salah satunya dengan mengontrol kadar gula dalam darah dalam batas normal. Menjaga kadar gula dalam batas normal membantu menjaga serabut saraf</w:t>
      </w:r>
      <w:r>
        <w:t>.</w:t>
      </w:r>
      <w:r>
        <w:rPr>
          <w:vertAlign w:val="superscript"/>
        </w:rPr>
        <w:t>16</w:t>
      </w:r>
    </w:p>
    <w:p w:rsidR="007E3051" w:rsidRPr="00FA0CBA" w:rsidRDefault="007E3051" w:rsidP="007E3051">
      <w:pPr>
        <w:ind w:firstLine="720"/>
        <w:jc w:val="both"/>
        <w:rPr>
          <w:vertAlign w:val="superscript"/>
        </w:rPr>
      </w:pPr>
      <w:r w:rsidRPr="00C405B8">
        <w:t>Pada penelitian ini seluruh sampel diberikan terapi kombinasi vitamin B1, B6, dan B12 dosis forte yaitu B1: 100 mg, B6: 100 mg, B12: 5000 mcg diminum 1 kali sehari. P</w:t>
      </w:r>
      <w:r>
        <w:t>ada p</w:t>
      </w:r>
      <w:r w:rsidRPr="00C405B8">
        <w:t>enelitian</w:t>
      </w:r>
      <w:r>
        <w:t xml:space="preserve"> ini</w:t>
      </w:r>
      <w:r w:rsidRPr="00C405B8">
        <w:t xml:space="preserve"> secara umum tidak terdapat efek samping yang cukup serius dalam penggunaan vitamin ini. Tiga dari </w:t>
      </w:r>
      <w:r>
        <w:t>30</w:t>
      </w:r>
      <w:r w:rsidRPr="00C405B8">
        <w:t xml:space="preserve"> sampel yang ada memiliki reaksi terhadap terapi vitamin B an</w:t>
      </w:r>
      <w:r>
        <w:t xml:space="preserve">tara lain </w:t>
      </w:r>
      <w:r>
        <w:lastRenderedPageBreak/>
        <w:t>mual dan muntah. P</w:t>
      </w:r>
      <w:r w:rsidRPr="00C405B8">
        <w:t>emberian kombinasi vitamin khususnya vitamin B1, B6, dan B12. Fungsi vitamin B12 berperan dalam metabolisme asam lemak yang berguna dalam memperbaiki serabut myelin saraf. Peran vitamin B1 adalah menginisiasi impuls saraf dari koenzim dan B6 terlibat dalam sintesis neurotransmitter sehingga membuat keduanya berfungsi dalam memperbaiki neuropati.</w:t>
      </w:r>
      <w:r>
        <w:rPr>
          <w:vertAlign w:val="superscript"/>
        </w:rPr>
        <w:t>17</w:t>
      </w:r>
    </w:p>
    <w:p w:rsidR="007E3051" w:rsidRDefault="007E3051" w:rsidP="007E3051">
      <w:pPr>
        <w:ind w:firstLine="720"/>
        <w:jc w:val="both"/>
        <w:rPr>
          <w:lang w:val="id-ID"/>
        </w:rPr>
      </w:pPr>
      <w:r>
        <w:t xml:space="preserve">Pada penelitian ini menunjukan bahwa </w:t>
      </w:r>
      <w:r w:rsidRPr="00C405B8">
        <w:t>bahwa terdapat penurunan TSS setelah pemberian terapi kombinasi vitamin B1, B6 dan B12</w:t>
      </w:r>
      <w:r>
        <w:t xml:space="preserve"> baik saat setelah diberikan 30 hari maupun 60 hari</w:t>
      </w:r>
      <w:r w:rsidRPr="00C405B8">
        <w:t>.</w:t>
      </w:r>
      <w:r>
        <w:t xml:space="preserve"> </w:t>
      </w:r>
      <w:r w:rsidRPr="00C405B8">
        <w:t>S</w:t>
      </w:r>
      <w:r>
        <w:t>esuai dengan penelitian tahun 2011</w:t>
      </w:r>
      <w:r w:rsidRPr="00C405B8">
        <w:t>, yaitu pemberian suplementasi B1 (10 mg), B2 (10 mg), B6 (10 mg), biotin (200 mg), B12 (10 mg) dan asam folat (1 mg) dengan penilaian dengan Michigan Neuropathy Screening Instrument (MNSI) didapatkan penurunan dari 3,96 menjadi 1,00 nilai p = 0,01.</w:t>
      </w:r>
      <w:r>
        <w:rPr>
          <w:vertAlign w:val="superscript"/>
        </w:rPr>
        <w:t>18</w:t>
      </w:r>
      <w:r w:rsidRPr="00C405B8">
        <w:t xml:space="preserve"> Penelitian yang berm</w:t>
      </w:r>
      <w:r>
        <w:t>akna juga ditemukan oleh peneliti lain pada 2013</w:t>
      </w:r>
      <w:r w:rsidRPr="00C405B8">
        <w:t>, kombinasi vitamin B1 (100mg), B6 (100mg), dan B12 (200mcg) efektif pada 177 (57%) pasien dari 310 pasien dengan neuropati</w:t>
      </w:r>
      <w:r>
        <w:t xml:space="preserve"> perifer </w:t>
      </w:r>
      <w:r w:rsidRPr="00C405B8">
        <w:t>diabetes.</w:t>
      </w:r>
      <w:r>
        <w:rPr>
          <w:vertAlign w:val="superscript"/>
        </w:rPr>
        <w:t>5,18</w:t>
      </w:r>
      <w:r w:rsidRPr="00C405B8">
        <w:t xml:space="preserve"> </w:t>
      </w:r>
    </w:p>
    <w:p w:rsidR="00B77618" w:rsidRPr="00B77618" w:rsidRDefault="00B77618" w:rsidP="007E3051">
      <w:pPr>
        <w:ind w:firstLine="720"/>
        <w:jc w:val="both"/>
        <w:rPr>
          <w:lang w:val="id-ID"/>
        </w:rPr>
      </w:pPr>
    </w:p>
    <w:p w:rsidR="007E3051" w:rsidRDefault="007E3051" w:rsidP="007E3051">
      <w:pPr>
        <w:jc w:val="both"/>
        <w:rPr>
          <w:b/>
          <w:lang w:val="id-ID"/>
        </w:rPr>
      </w:pPr>
      <w:r w:rsidRPr="00B77618">
        <w:rPr>
          <w:b/>
        </w:rPr>
        <w:t>Kesimpulan</w:t>
      </w:r>
    </w:p>
    <w:p w:rsidR="00B77618" w:rsidRPr="00B77618" w:rsidRDefault="00B77618" w:rsidP="007E3051">
      <w:pPr>
        <w:jc w:val="both"/>
        <w:rPr>
          <w:b/>
          <w:lang w:val="id-ID"/>
        </w:rPr>
      </w:pPr>
    </w:p>
    <w:p w:rsidR="007E3051" w:rsidRDefault="007E3051" w:rsidP="007E3051">
      <w:pPr>
        <w:jc w:val="both"/>
        <w:rPr>
          <w:lang w:val="id-ID"/>
        </w:rPr>
      </w:pPr>
      <w:r>
        <w:tab/>
      </w:r>
      <w:r w:rsidRPr="00400268">
        <w:t xml:space="preserve">Pemberian kombinasi vitamin B1, B6 dan B12 menunjukkan </w:t>
      </w:r>
      <w:r>
        <w:t>dapat memberikan pengaruh terhadap keluaran klinis pasien neuropati perifer dengan berbagai etiologi. Masih diperlukan penelitian lanjutan untuk menilai faktor resiko lainnya seperti dislipidemia, kadar gula dalam darah, dan lain sebagainya dibandingkan antar etiologi serta besarnya pengaruh berdasarkan fakto resiko yang ada.</w:t>
      </w:r>
    </w:p>
    <w:p w:rsidR="00B77618" w:rsidRDefault="00B77618" w:rsidP="007E3051">
      <w:pPr>
        <w:jc w:val="both"/>
        <w:rPr>
          <w:lang w:val="id-ID"/>
        </w:rPr>
      </w:pPr>
    </w:p>
    <w:p w:rsidR="00B77618" w:rsidRDefault="00B77618" w:rsidP="007E3051">
      <w:pPr>
        <w:jc w:val="both"/>
        <w:rPr>
          <w:lang w:val="id-ID"/>
        </w:rPr>
      </w:pPr>
    </w:p>
    <w:p w:rsidR="00B77618" w:rsidRDefault="00B77618" w:rsidP="007E3051">
      <w:pPr>
        <w:jc w:val="both"/>
        <w:rPr>
          <w:lang w:val="id-ID"/>
        </w:rPr>
      </w:pPr>
    </w:p>
    <w:p w:rsidR="00B77618" w:rsidRDefault="00B77618" w:rsidP="007E3051">
      <w:pPr>
        <w:jc w:val="both"/>
        <w:rPr>
          <w:lang w:val="id-ID"/>
        </w:rPr>
      </w:pPr>
    </w:p>
    <w:p w:rsidR="00B77618" w:rsidRDefault="00B77618" w:rsidP="007E3051">
      <w:pPr>
        <w:jc w:val="both"/>
        <w:rPr>
          <w:lang w:val="id-ID"/>
        </w:rPr>
      </w:pPr>
    </w:p>
    <w:p w:rsidR="00B77618" w:rsidRDefault="00B77618" w:rsidP="007E3051">
      <w:pPr>
        <w:jc w:val="both"/>
        <w:rPr>
          <w:lang w:val="id-ID"/>
        </w:rPr>
      </w:pPr>
    </w:p>
    <w:p w:rsidR="00B77618" w:rsidRDefault="00B77618" w:rsidP="007E3051">
      <w:pPr>
        <w:jc w:val="both"/>
        <w:rPr>
          <w:lang w:val="id-ID"/>
        </w:rPr>
      </w:pPr>
    </w:p>
    <w:p w:rsidR="00B77618" w:rsidRDefault="00B77618" w:rsidP="007E3051">
      <w:pPr>
        <w:jc w:val="both"/>
        <w:rPr>
          <w:lang w:val="id-ID"/>
        </w:rPr>
      </w:pPr>
    </w:p>
    <w:p w:rsidR="00B77618" w:rsidRDefault="00B77618" w:rsidP="007E3051">
      <w:pPr>
        <w:jc w:val="both"/>
        <w:rPr>
          <w:lang w:val="id-ID"/>
        </w:rPr>
      </w:pPr>
    </w:p>
    <w:p w:rsidR="00B77618" w:rsidRDefault="00B77618" w:rsidP="007E3051">
      <w:pPr>
        <w:jc w:val="both"/>
        <w:rPr>
          <w:lang w:val="id-ID"/>
        </w:rPr>
      </w:pPr>
    </w:p>
    <w:p w:rsidR="00B77618" w:rsidRPr="00B77618" w:rsidRDefault="00B77618" w:rsidP="007E3051">
      <w:pPr>
        <w:jc w:val="both"/>
        <w:rPr>
          <w:lang w:val="id-ID"/>
        </w:rPr>
      </w:pPr>
    </w:p>
    <w:p w:rsidR="00B77618" w:rsidRDefault="00B77618">
      <w:pPr>
        <w:spacing w:after="200" w:line="276" w:lineRule="auto"/>
      </w:pPr>
      <w:r>
        <w:br w:type="page"/>
      </w:r>
    </w:p>
    <w:p w:rsidR="007E3051" w:rsidRPr="00B77618" w:rsidRDefault="007E3051" w:rsidP="007E3051">
      <w:pPr>
        <w:rPr>
          <w:b/>
        </w:rPr>
      </w:pPr>
      <w:r w:rsidRPr="00B77618">
        <w:rPr>
          <w:b/>
        </w:rPr>
        <w:lastRenderedPageBreak/>
        <w:t>Daftar pustaka</w:t>
      </w:r>
    </w:p>
    <w:p w:rsidR="007E3051" w:rsidRPr="00400268" w:rsidRDefault="007E3051" w:rsidP="007E3051">
      <w:pPr>
        <w:pStyle w:val="ListParagraph"/>
        <w:numPr>
          <w:ilvl w:val="0"/>
          <w:numId w:val="1"/>
        </w:numPr>
        <w:spacing w:line="240" w:lineRule="auto"/>
        <w:jc w:val="both"/>
        <w:rPr>
          <w:rFonts w:ascii="Times New Roman" w:hAnsi="Times New Roman" w:cs="Times New Roman"/>
        </w:rPr>
      </w:pPr>
      <w:r w:rsidRPr="00400268">
        <w:rPr>
          <w:rStyle w:val="a"/>
          <w:rFonts w:ascii="Times New Roman" w:hAnsi="Times New Roman" w:cs="Times New Roman"/>
          <w:color w:val="000000"/>
          <w:bdr w:val="none" w:sz="0" w:space="0" w:color="auto" w:frame="1"/>
          <w:shd w:val="clear" w:color="auto" w:fill="FFFFFF"/>
        </w:rPr>
        <w:t>Ro, Long-Sun;Chang, Kuo-Hsuan. Article: Neuropathic Pain: Mechanismand Treatments. Taipei: Chang Gung Memorial Hospital. 2005</w:t>
      </w:r>
    </w:p>
    <w:p w:rsidR="007E3051" w:rsidRPr="00400268" w:rsidRDefault="007E3051" w:rsidP="007E3051">
      <w:pPr>
        <w:pStyle w:val="ListParagraph"/>
        <w:numPr>
          <w:ilvl w:val="0"/>
          <w:numId w:val="1"/>
        </w:numPr>
        <w:spacing w:line="240" w:lineRule="auto"/>
        <w:jc w:val="both"/>
        <w:rPr>
          <w:rFonts w:ascii="Times New Roman" w:hAnsi="Times New Roman" w:cs="Times New Roman"/>
        </w:rPr>
      </w:pPr>
      <w:r w:rsidRPr="00400268">
        <w:rPr>
          <w:rFonts w:ascii="Times New Roman" w:hAnsi="Times New Roman" w:cs="Times New Roman"/>
        </w:rPr>
        <w:t xml:space="preserve"> Attal N, Cruccu G, Baron R, Haanpaa M, Hansson P, Jensen T, Nurmikko T. EFNS Guidelines on The Pharmacological Treatment of Neuropathic Pain; 2010, European J Neurological, 2010;17(19):1113-1123</w:t>
      </w:r>
    </w:p>
    <w:p w:rsidR="007E3051" w:rsidRPr="001E418C" w:rsidRDefault="007E3051" w:rsidP="007E3051">
      <w:pPr>
        <w:pStyle w:val="ListParagraph"/>
        <w:numPr>
          <w:ilvl w:val="0"/>
          <w:numId w:val="1"/>
        </w:numPr>
        <w:spacing w:after="0" w:line="240" w:lineRule="auto"/>
        <w:jc w:val="both"/>
        <w:rPr>
          <w:rFonts w:ascii="Times New Roman" w:hAnsi="Times New Roman" w:cs="Times New Roman"/>
        </w:rPr>
      </w:pPr>
      <w:r w:rsidRPr="001E418C">
        <w:rPr>
          <w:rFonts w:ascii="Times New Roman" w:hAnsi="Times New Roman" w:cs="Times New Roman"/>
        </w:rPr>
        <w:t>Purwata T.E, Sadeli H.A, Yudiyanta, Anwar .Y, Amir .D, Asnawi .C,  et all. Characteristics of neuropathic pain in Indonesia: A hospital based national clinical survey. Neurology Asia, 2015; 20(3); 389-394</w:t>
      </w:r>
    </w:p>
    <w:p w:rsidR="007E3051" w:rsidRPr="00400268" w:rsidRDefault="007E3051" w:rsidP="007E3051">
      <w:pPr>
        <w:pStyle w:val="ListParagraph"/>
        <w:numPr>
          <w:ilvl w:val="0"/>
          <w:numId w:val="1"/>
        </w:numPr>
        <w:spacing w:after="0" w:line="240" w:lineRule="auto"/>
        <w:jc w:val="both"/>
        <w:rPr>
          <w:rFonts w:ascii="Times New Roman" w:hAnsi="Times New Roman" w:cs="Times New Roman"/>
        </w:rPr>
      </w:pPr>
      <w:r w:rsidRPr="00400268">
        <w:rPr>
          <w:rFonts w:ascii="Times New Roman" w:hAnsi="Times New Roman" w:cs="Times New Roman"/>
          <w:color w:val="000000"/>
          <w:shd w:val="clear" w:color="auto" w:fill="FFFFFF"/>
        </w:rPr>
        <w:t>Baron, Ralf. Mechanism of Disease: neurpathic pain-a clinical perspective. Nature Publishing Group. 2006</w:t>
      </w:r>
    </w:p>
    <w:p w:rsidR="007E3051" w:rsidRPr="00204182" w:rsidRDefault="007E3051" w:rsidP="007E3051">
      <w:pPr>
        <w:pStyle w:val="ListParagraph"/>
        <w:numPr>
          <w:ilvl w:val="0"/>
          <w:numId w:val="1"/>
        </w:numPr>
        <w:spacing w:line="240" w:lineRule="auto"/>
        <w:jc w:val="both"/>
        <w:rPr>
          <w:rFonts w:ascii="Times New Roman" w:hAnsi="Times New Roman" w:cs="Times New Roman"/>
        </w:rPr>
      </w:pPr>
      <w:r w:rsidRPr="00400268">
        <w:rPr>
          <w:rFonts w:ascii="Times New Roman" w:hAnsi="Times New Roman" w:cs="Times New Roman"/>
        </w:rPr>
        <w:t xml:space="preserve">Rizvi, A., A. Ahmad, Z., Rizvi, 2013. </w:t>
      </w:r>
      <w:r w:rsidRPr="00400268">
        <w:rPr>
          <w:rFonts w:ascii="Times New Roman" w:hAnsi="Times New Roman" w:cs="Times New Roman"/>
          <w:i/>
          <w:iCs/>
        </w:rPr>
        <w:t xml:space="preserve">Efficacy of combination of vitamin B1, B6 and B12 in management of diabetic peripheral neuropathy </w:t>
      </w:r>
      <w:r w:rsidRPr="00400268">
        <w:rPr>
          <w:rFonts w:ascii="Times New Roman" w:hAnsi="Times New Roman" w:cs="Times New Roman"/>
        </w:rPr>
        <w:t>(Online), http://pjmhsonline.com/JulySept2013/efficacy_of_combination_of_vitamin_B1B6,b12.htm/ accessed 30 October 2015.</w:t>
      </w:r>
    </w:p>
    <w:p w:rsidR="007E3051" w:rsidRPr="00400268" w:rsidRDefault="007E3051" w:rsidP="007E3051">
      <w:pPr>
        <w:pStyle w:val="ListParagraph"/>
        <w:numPr>
          <w:ilvl w:val="0"/>
          <w:numId w:val="1"/>
        </w:numPr>
        <w:spacing w:line="240" w:lineRule="auto"/>
        <w:jc w:val="both"/>
        <w:rPr>
          <w:rFonts w:ascii="Times New Roman" w:hAnsi="Times New Roman" w:cs="Times New Roman"/>
        </w:rPr>
      </w:pPr>
      <w:r w:rsidRPr="00400268">
        <w:rPr>
          <w:rFonts w:ascii="Times New Roman" w:hAnsi="Times New Roman" w:cs="Times New Roman"/>
        </w:rPr>
        <w:t xml:space="preserve">Katulanda, P., Ranasinghe, P., Jayawardena, R., Constantine, G.R., Sheriff, M.H.R., Matthews, D.R., 2012. The prevalence, patterns and predictors of diabetic peripheral neuropathy in a developing country. </w:t>
      </w:r>
      <w:r w:rsidRPr="00400268">
        <w:rPr>
          <w:rFonts w:ascii="Times New Roman" w:hAnsi="Times New Roman" w:cs="Times New Roman"/>
          <w:i/>
          <w:iCs/>
        </w:rPr>
        <w:t>Diabetology &amp; Metabolic Syndrome</w:t>
      </w:r>
      <w:r w:rsidRPr="00400268">
        <w:rPr>
          <w:rFonts w:ascii="Times New Roman" w:hAnsi="Times New Roman" w:cs="Times New Roman"/>
        </w:rPr>
        <w:t>, 4, 21.</w:t>
      </w:r>
    </w:p>
    <w:p w:rsidR="007E3051" w:rsidRPr="00400268" w:rsidRDefault="007E3051" w:rsidP="007E3051">
      <w:pPr>
        <w:pStyle w:val="ListParagraph"/>
        <w:numPr>
          <w:ilvl w:val="0"/>
          <w:numId w:val="1"/>
        </w:numPr>
        <w:spacing w:line="240" w:lineRule="auto"/>
        <w:jc w:val="both"/>
        <w:rPr>
          <w:rFonts w:ascii="Times New Roman" w:hAnsi="Times New Roman" w:cs="Times New Roman"/>
        </w:rPr>
      </w:pPr>
      <w:r w:rsidRPr="00400268">
        <w:rPr>
          <w:rFonts w:ascii="Times New Roman" w:hAnsi="Times New Roman" w:cs="Times New Roman"/>
        </w:rPr>
        <w:t xml:space="preserve">Fillingim, R.B., King, C.D., Ribeiro-Dasilva, MC., Rahim-Williams, B., Riley J.L. III., 2009. Sex, gender, and pain: a review of recent clinical and experimental findings. </w:t>
      </w:r>
      <w:r w:rsidRPr="00400268">
        <w:rPr>
          <w:rFonts w:ascii="Times New Roman" w:hAnsi="Times New Roman" w:cs="Times New Roman"/>
          <w:i/>
          <w:iCs/>
        </w:rPr>
        <w:t xml:space="preserve">J Pain </w:t>
      </w:r>
      <w:r w:rsidRPr="00400268">
        <w:rPr>
          <w:rFonts w:ascii="Times New Roman" w:hAnsi="Times New Roman" w:cs="Times New Roman"/>
        </w:rPr>
        <w:t>10, 447-85.</w:t>
      </w:r>
    </w:p>
    <w:p w:rsidR="007E3051" w:rsidRPr="00400268" w:rsidRDefault="007E3051" w:rsidP="007E3051">
      <w:pPr>
        <w:pStyle w:val="ListParagraph"/>
        <w:numPr>
          <w:ilvl w:val="0"/>
          <w:numId w:val="1"/>
        </w:numPr>
        <w:spacing w:line="240" w:lineRule="auto"/>
        <w:jc w:val="both"/>
        <w:rPr>
          <w:rFonts w:ascii="Times New Roman" w:hAnsi="Times New Roman" w:cs="Times New Roman"/>
        </w:rPr>
      </w:pPr>
      <w:r w:rsidRPr="00400268">
        <w:rPr>
          <w:rFonts w:ascii="Times New Roman" w:hAnsi="Times New Roman" w:cs="Times New Roman"/>
        </w:rPr>
        <w:t xml:space="preserve">Bartley, E. J., Fillingim R. B., 2013. Sex Differences in Pain: A Brief Review of Clinical and Experimental Findings. Ed. L. Colvin and D. J. Rowbotham. </w:t>
      </w:r>
      <w:r w:rsidRPr="00400268">
        <w:rPr>
          <w:rFonts w:ascii="Times New Roman" w:hAnsi="Times New Roman" w:cs="Times New Roman"/>
          <w:i/>
          <w:iCs/>
        </w:rPr>
        <w:t xml:space="preserve">BJA: British Journal of Anaesthesia, </w:t>
      </w:r>
      <w:r w:rsidRPr="00400268">
        <w:rPr>
          <w:rFonts w:ascii="Times New Roman" w:hAnsi="Times New Roman" w:cs="Times New Roman"/>
        </w:rPr>
        <w:t>111.1, 52–58.</w:t>
      </w:r>
    </w:p>
    <w:p w:rsidR="007E3051" w:rsidRPr="00400268" w:rsidRDefault="007E3051" w:rsidP="007E3051">
      <w:pPr>
        <w:pStyle w:val="ListParagraph"/>
        <w:numPr>
          <w:ilvl w:val="0"/>
          <w:numId w:val="1"/>
        </w:numPr>
        <w:spacing w:line="240" w:lineRule="auto"/>
        <w:jc w:val="both"/>
        <w:rPr>
          <w:rFonts w:ascii="Times New Roman" w:hAnsi="Times New Roman" w:cs="Times New Roman"/>
        </w:rPr>
      </w:pPr>
      <w:r w:rsidRPr="00400268">
        <w:rPr>
          <w:rFonts w:ascii="Times New Roman" w:hAnsi="Times New Roman" w:cs="Times New Roman"/>
        </w:rPr>
        <w:t xml:space="preserve">Perhimpunan Dokter Spesialis Saraf Indonesia (PERDOSSI) dan MERCK Indonesia, 2012. </w:t>
      </w:r>
      <w:r w:rsidRPr="00400268">
        <w:rPr>
          <w:rFonts w:ascii="Times New Roman" w:hAnsi="Times New Roman" w:cs="Times New Roman"/>
          <w:i/>
          <w:iCs/>
        </w:rPr>
        <w:t>Siaran Pers: Neuropati Perifer Diabetes</w:t>
      </w:r>
      <w:r w:rsidRPr="00400268">
        <w:rPr>
          <w:rFonts w:ascii="Times New Roman" w:hAnsi="Times New Roman" w:cs="Times New Roman"/>
        </w:rPr>
        <w:t>. (Online), http://www.merck.co.id/country.id/id/images/Siaran%20Pers%20N5000%20Makassar_4Oct_tcm663_104054.pdf?Version=/ accessed 16 June 2017.</w:t>
      </w:r>
    </w:p>
    <w:p w:rsidR="007E3051" w:rsidRPr="00400268" w:rsidRDefault="007E3051" w:rsidP="007E3051">
      <w:pPr>
        <w:pStyle w:val="ListParagraph"/>
        <w:numPr>
          <w:ilvl w:val="0"/>
          <w:numId w:val="1"/>
        </w:numPr>
        <w:spacing w:line="240" w:lineRule="auto"/>
        <w:jc w:val="both"/>
        <w:rPr>
          <w:rFonts w:ascii="Times New Roman" w:hAnsi="Times New Roman" w:cs="Times New Roman"/>
        </w:rPr>
      </w:pPr>
      <w:r w:rsidRPr="00400268">
        <w:rPr>
          <w:rFonts w:ascii="Times New Roman" w:hAnsi="Times New Roman" w:cs="Times New Roman"/>
        </w:rPr>
        <w:t xml:space="preserve">Lautenbacher, S., Kunz, M., Strate, P., Nielsen, J., Arendt-Nielsen, L., 2005. Age effects onpain thresholds, temporal summation and spatial summation of heat and pressure. </w:t>
      </w:r>
      <w:r w:rsidRPr="00400268">
        <w:rPr>
          <w:rFonts w:ascii="Times New Roman" w:hAnsi="Times New Roman" w:cs="Times New Roman"/>
          <w:i/>
          <w:iCs/>
        </w:rPr>
        <w:t>The Journal of Pain</w:t>
      </w:r>
      <w:r w:rsidRPr="00400268">
        <w:rPr>
          <w:rFonts w:ascii="Times New Roman" w:hAnsi="Times New Roman" w:cs="Times New Roman"/>
        </w:rPr>
        <w:t>, 115(3), 410-8.</w:t>
      </w:r>
    </w:p>
    <w:p w:rsidR="007E3051" w:rsidRPr="00400268" w:rsidRDefault="007E3051" w:rsidP="007E3051">
      <w:pPr>
        <w:pStyle w:val="ListParagraph"/>
        <w:numPr>
          <w:ilvl w:val="0"/>
          <w:numId w:val="1"/>
        </w:numPr>
        <w:spacing w:line="240" w:lineRule="auto"/>
        <w:jc w:val="both"/>
        <w:rPr>
          <w:rFonts w:ascii="Times New Roman" w:hAnsi="Times New Roman" w:cs="Times New Roman"/>
        </w:rPr>
      </w:pPr>
      <w:r w:rsidRPr="00400268">
        <w:rPr>
          <w:rFonts w:ascii="Times New Roman" w:hAnsi="Times New Roman" w:cs="Times New Roman"/>
        </w:rPr>
        <w:t xml:space="preserve">Wandner, L. D., Scipio, C. D., Hirsh, A. T., Torres, C. A., &amp; Robinson, M. E., 2011. The Perception of Pain in Others: How Gender, Race and Age Influence Pain Expectation. </w:t>
      </w:r>
      <w:r w:rsidRPr="00400268">
        <w:rPr>
          <w:rFonts w:ascii="Times New Roman" w:hAnsi="Times New Roman" w:cs="Times New Roman"/>
          <w:i/>
          <w:iCs/>
        </w:rPr>
        <w:t>The Journal of Pain</w:t>
      </w:r>
      <w:r w:rsidRPr="00400268">
        <w:rPr>
          <w:rFonts w:ascii="Times New Roman" w:hAnsi="Times New Roman" w:cs="Times New Roman"/>
        </w:rPr>
        <w:t>, 13(3), 220–227.</w:t>
      </w:r>
    </w:p>
    <w:p w:rsidR="007E3051" w:rsidRPr="00400268" w:rsidRDefault="007E3051" w:rsidP="007E3051">
      <w:pPr>
        <w:pStyle w:val="ListParagraph"/>
        <w:numPr>
          <w:ilvl w:val="0"/>
          <w:numId w:val="1"/>
        </w:numPr>
        <w:spacing w:line="240" w:lineRule="auto"/>
        <w:jc w:val="both"/>
        <w:rPr>
          <w:rFonts w:ascii="Times New Roman" w:hAnsi="Times New Roman" w:cs="Times New Roman"/>
        </w:rPr>
      </w:pPr>
      <w:r w:rsidRPr="00400268">
        <w:rPr>
          <w:rFonts w:ascii="Times New Roman" w:hAnsi="Times New Roman" w:cs="Times New Roman"/>
        </w:rPr>
        <w:t xml:space="preserve">Tesfaye, S., Chaturvedi, N., Eaton, S., et al., 2005. Vascular risk factors and diabetic neuropathy. </w:t>
      </w:r>
      <w:r w:rsidRPr="00400268">
        <w:rPr>
          <w:rFonts w:ascii="Times New Roman" w:hAnsi="Times New Roman" w:cs="Times New Roman"/>
          <w:i/>
          <w:iCs/>
        </w:rPr>
        <w:t>N Engl J Med</w:t>
      </w:r>
      <w:r w:rsidRPr="00400268">
        <w:rPr>
          <w:rFonts w:ascii="Times New Roman" w:hAnsi="Times New Roman" w:cs="Times New Roman"/>
        </w:rPr>
        <w:t>, 352, 341–50.</w:t>
      </w:r>
    </w:p>
    <w:p w:rsidR="007E3051" w:rsidRPr="00400268" w:rsidRDefault="007E3051" w:rsidP="007E3051">
      <w:pPr>
        <w:pStyle w:val="ListParagraph"/>
        <w:numPr>
          <w:ilvl w:val="0"/>
          <w:numId w:val="1"/>
        </w:numPr>
        <w:spacing w:line="240" w:lineRule="auto"/>
        <w:jc w:val="both"/>
        <w:rPr>
          <w:rFonts w:ascii="Times New Roman" w:hAnsi="Times New Roman" w:cs="Times New Roman"/>
        </w:rPr>
      </w:pPr>
      <w:r w:rsidRPr="00400268">
        <w:rPr>
          <w:rFonts w:ascii="Times New Roman" w:hAnsi="Times New Roman" w:cs="Times New Roman"/>
        </w:rPr>
        <w:t xml:space="preserve">Tesfaye, S., Vileikyte, L., Rayman, G., et al., 2011. Painful Diabetic Peripheral Neuropathy: consensus recommendation on diagnosis, assessment and management. </w:t>
      </w:r>
      <w:r w:rsidRPr="00400268">
        <w:rPr>
          <w:rFonts w:ascii="Times New Roman" w:hAnsi="Times New Roman" w:cs="Times New Roman"/>
          <w:i/>
          <w:iCs/>
        </w:rPr>
        <w:t xml:space="preserve">Diabetes Metabolism Research and Reviews </w:t>
      </w:r>
      <w:r w:rsidRPr="00400268">
        <w:rPr>
          <w:rFonts w:ascii="Times New Roman" w:hAnsi="Times New Roman" w:cs="Times New Roman"/>
        </w:rPr>
        <w:t>27(1), 629-38.</w:t>
      </w:r>
    </w:p>
    <w:p w:rsidR="007E3051" w:rsidRPr="00400268" w:rsidRDefault="007E3051" w:rsidP="007E3051">
      <w:pPr>
        <w:pStyle w:val="ListParagraph"/>
        <w:numPr>
          <w:ilvl w:val="0"/>
          <w:numId w:val="1"/>
        </w:numPr>
        <w:spacing w:line="240" w:lineRule="auto"/>
        <w:jc w:val="both"/>
        <w:rPr>
          <w:rFonts w:ascii="Times New Roman" w:hAnsi="Times New Roman" w:cs="Times New Roman"/>
        </w:rPr>
      </w:pPr>
      <w:r w:rsidRPr="00400268">
        <w:rPr>
          <w:rFonts w:ascii="Times New Roman" w:hAnsi="Times New Roman" w:cs="Times New Roman"/>
        </w:rPr>
        <w:t xml:space="preserve">Wiggin, T.D., Sullivan, K.A., Pop-Busui, R., Amato, A., Sima, A.A., Feldman, E.L., 2009. Elevated Triglycerides Correlate With Progression of Diabetic Neuropathy. </w:t>
      </w:r>
      <w:r w:rsidRPr="00400268">
        <w:rPr>
          <w:rFonts w:ascii="Times New Roman" w:hAnsi="Times New Roman" w:cs="Times New Roman"/>
          <w:i/>
          <w:iCs/>
        </w:rPr>
        <w:t>Diabetes</w:t>
      </w:r>
      <w:r w:rsidRPr="00400268">
        <w:rPr>
          <w:rFonts w:ascii="Times New Roman" w:hAnsi="Times New Roman" w:cs="Times New Roman"/>
        </w:rPr>
        <w:t>, 58(7), 1634–1640.</w:t>
      </w:r>
    </w:p>
    <w:p w:rsidR="007E3051" w:rsidRPr="00400268" w:rsidRDefault="007E3051" w:rsidP="007E3051">
      <w:pPr>
        <w:pStyle w:val="ListParagraph"/>
        <w:numPr>
          <w:ilvl w:val="0"/>
          <w:numId w:val="1"/>
        </w:numPr>
        <w:spacing w:line="240" w:lineRule="auto"/>
        <w:jc w:val="both"/>
        <w:rPr>
          <w:rFonts w:ascii="Times New Roman" w:hAnsi="Times New Roman" w:cs="Times New Roman"/>
        </w:rPr>
      </w:pPr>
      <w:r w:rsidRPr="00400268">
        <w:rPr>
          <w:rFonts w:ascii="Times New Roman" w:hAnsi="Times New Roman" w:cs="Times New Roman"/>
        </w:rPr>
        <w:t xml:space="preserve">Schutta, M. H., 2007. Diabetes and hypertension: epidemiology of the relationship and pathophysiology of factors associated with these comorbid conditions. </w:t>
      </w:r>
      <w:r w:rsidRPr="00400268">
        <w:rPr>
          <w:rFonts w:ascii="Times New Roman" w:hAnsi="Times New Roman" w:cs="Times New Roman"/>
          <w:i/>
          <w:iCs/>
        </w:rPr>
        <w:t xml:space="preserve">J Cardiometab Syndr, </w:t>
      </w:r>
      <w:r w:rsidRPr="00400268">
        <w:rPr>
          <w:rFonts w:ascii="Times New Roman" w:hAnsi="Times New Roman" w:cs="Times New Roman"/>
        </w:rPr>
        <w:t>2(2), 124-30.</w:t>
      </w:r>
    </w:p>
    <w:p w:rsidR="007E3051" w:rsidRPr="00400268" w:rsidRDefault="007E3051" w:rsidP="007E3051">
      <w:pPr>
        <w:pStyle w:val="ListParagraph"/>
        <w:numPr>
          <w:ilvl w:val="0"/>
          <w:numId w:val="1"/>
        </w:numPr>
        <w:spacing w:line="240" w:lineRule="auto"/>
        <w:jc w:val="both"/>
        <w:rPr>
          <w:rFonts w:ascii="Times New Roman" w:hAnsi="Times New Roman" w:cs="Times New Roman"/>
        </w:rPr>
      </w:pPr>
      <w:r w:rsidRPr="00400268">
        <w:rPr>
          <w:rFonts w:ascii="Times New Roman" w:hAnsi="Times New Roman" w:cs="Times New Roman"/>
        </w:rPr>
        <w:t xml:space="preserve">National Institute of Diabetes and Digestive and Kidney Disease (NIDDK), 2013. </w:t>
      </w:r>
      <w:r w:rsidRPr="00400268">
        <w:rPr>
          <w:rFonts w:ascii="Times New Roman" w:hAnsi="Times New Roman" w:cs="Times New Roman"/>
          <w:i/>
          <w:iCs/>
        </w:rPr>
        <w:t xml:space="preserve">Nerve Damage (Diabetic Neuropathies) </w:t>
      </w:r>
      <w:r w:rsidRPr="00400268">
        <w:rPr>
          <w:rFonts w:ascii="Times New Roman" w:hAnsi="Times New Roman" w:cs="Times New Roman"/>
        </w:rPr>
        <w:t xml:space="preserve">(Online), </w:t>
      </w:r>
      <w:hyperlink r:id="rId10" w:history="1">
        <w:r w:rsidRPr="00400268">
          <w:rPr>
            <w:rStyle w:val="Hyperlink"/>
            <w:rFonts w:ascii="Times New Roman" w:hAnsi="Times New Roman" w:cs="Times New Roman"/>
          </w:rPr>
          <w:t>https://www.niddk.nih.gov/health-information/diabetes/preventing-diabetes-problems/nerve-damage-diabetic-neuropathies accessed 5 July 2017</w:t>
        </w:r>
      </w:hyperlink>
      <w:r w:rsidRPr="00400268">
        <w:rPr>
          <w:rFonts w:ascii="Times New Roman" w:hAnsi="Times New Roman" w:cs="Times New Roman"/>
        </w:rPr>
        <w:t>.</w:t>
      </w:r>
    </w:p>
    <w:p w:rsidR="007E3051" w:rsidRDefault="007E3051" w:rsidP="007E3051">
      <w:pPr>
        <w:pStyle w:val="ListParagraph"/>
        <w:numPr>
          <w:ilvl w:val="0"/>
          <w:numId w:val="1"/>
        </w:numPr>
        <w:spacing w:line="240" w:lineRule="auto"/>
        <w:jc w:val="both"/>
        <w:rPr>
          <w:rFonts w:ascii="Times New Roman" w:hAnsi="Times New Roman" w:cs="Times New Roman"/>
        </w:rPr>
      </w:pPr>
      <w:r w:rsidRPr="00400268">
        <w:rPr>
          <w:rFonts w:ascii="Times New Roman" w:hAnsi="Times New Roman" w:cs="Times New Roman"/>
        </w:rPr>
        <w:t xml:space="preserve">Pazirandeh, S., Burns, D.L., 2009. </w:t>
      </w:r>
      <w:r w:rsidRPr="00400268">
        <w:rPr>
          <w:rFonts w:ascii="Times New Roman" w:hAnsi="Times New Roman" w:cs="Times New Roman"/>
          <w:i/>
          <w:iCs/>
        </w:rPr>
        <w:t>Overview of water soluble vitamins</w:t>
      </w:r>
      <w:r w:rsidRPr="00400268">
        <w:rPr>
          <w:rFonts w:ascii="Times New Roman" w:hAnsi="Times New Roman" w:cs="Times New Roman"/>
        </w:rPr>
        <w:t>. (Online), http://www.uptodate.com/contents/ accessed 18 November 2015.</w:t>
      </w:r>
    </w:p>
    <w:p w:rsidR="00EF0716" w:rsidRPr="008461EC" w:rsidRDefault="007E3051" w:rsidP="008461EC">
      <w:pPr>
        <w:pStyle w:val="ListParagraph"/>
        <w:numPr>
          <w:ilvl w:val="0"/>
          <w:numId w:val="1"/>
        </w:numPr>
        <w:spacing w:line="240" w:lineRule="auto"/>
        <w:jc w:val="both"/>
        <w:rPr>
          <w:rFonts w:ascii="Times New Roman" w:hAnsi="Times New Roman" w:cs="Times New Roman"/>
        </w:rPr>
      </w:pPr>
      <w:r w:rsidRPr="00C64AC3">
        <w:rPr>
          <w:rFonts w:ascii="Times New Roman" w:hAnsi="Times New Roman" w:cs="Times New Roman"/>
        </w:rPr>
        <w:t xml:space="preserve">Farvid, M.S., Homayouni, F., Amiri, Z., Adelmanesh, F., 2011. Improving neuropathy scores in type 2 diabetic patients using micronutrients supplementation. </w:t>
      </w:r>
      <w:r w:rsidRPr="00C64AC3">
        <w:rPr>
          <w:rFonts w:ascii="Times New Roman" w:hAnsi="Times New Roman" w:cs="Times New Roman"/>
          <w:i/>
          <w:iCs/>
        </w:rPr>
        <w:t>Diabetes research and clinical practice</w:t>
      </w:r>
      <w:r w:rsidR="008461EC">
        <w:rPr>
          <w:rFonts w:ascii="Times New Roman" w:hAnsi="Times New Roman" w:cs="Times New Roman"/>
        </w:rPr>
        <w:t>, 93(20II), 86-94</w:t>
      </w:r>
    </w:p>
    <w:p w:rsidR="00EF0716" w:rsidRDefault="00EF0716">
      <w:pPr>
        <w:rPr>
          <w:lang w:val="id-ID"/>
        </w:rPr>
      </w:pPr>
    </w:p>
    <w:p w:rsidR="00EF0716" w:rsidRDefault="00EF0716">
      <w:pPr>
        <w:rPr>
          <w:lang w:val="id-ID"/>
        </w:rPr>
      </w:pPr>
    </w:p>
    <w:p w:rsidR="00EF0716" w:rsidRDefault="00EF0716">
      <w:pPr>
        <w:rPr>
          <w:lang w:val="id-ID"/>
        </w:rPr>
      </w:pPr>
    </w:p>
    <w:p w:rsidR="00EF0716" w:rsidRDefault="00EF0716">
      <w:pPr>
        <w:rPr>
          <w:lang w:val="id-ID"/>
        </w:rPr>
      </w:pPr>
      <w:r>
        <w:rPr>
          <w:noProof/>
          <w:lang w:eastAsia="en-US"/>
        </w:rPr>
        <w:drawing>
          <wp:inline distT="0" distB="0" distL="0" distR="0" wp14:anchorId="462E716E" wp14:editId="02130720">
            <wp:extent cx="5913434" cy="7326086"/>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l="33807" t="13514" r="32007" b="11149"/>
                    <a:stretch/>
                  </pic:blipFill>
                  <pic:spPr bwMode="auto">
                    <a:xfrm>
                      <a:off x="0" y="0"/>
                      <a:ext cx="5913370" cy="7326007"/>
                    </a:xfrm>
                    <a:prstGeom prst="rect">
                      <a:avLst/>
                    </a:prstGeom>
                    <a:ln>
                      <a:noFill/>
                    </a:ln>
                    <a:extLst>
                      <a:ext uri="{53640926-AAD7-44D8-BBD7-CCE9431645EC}">
                        <a14:shadowObscured xmlns:a14="http://schemas.microsoft.com/office/drawing/2010/main"/>
                      </a:ext>
                    </a:extLst>
                  </pic:spPr>
                </pic:pic>
              </a:graphicData>
            </a:graphic>
          </wp:inline>
        </w:drawing>
      </w:r>
    </w:p>
    <w:p w:rsidR="00EF0716" w:rsidRDefault="00EF0716">
      <w:pPr>
        <w:rPr>
          <w:lang w:val="id-ID"/>
        </w:rPr>
      </w:pPr>
    </w:p>
    <w:p w:rsidR="00EF0716" w:rsidRDefault="00EF0716">
      <w:pPr>
        <w:rPr>
          <w:lang w:val="id-ID"/>
        </w:rPr>
      </w:pPr>
    </w:p>
    <w:p w:rsidR="00EF0716" w:rsidRDefault="00EF0716">
      <w:pPr>
        <w:rPr>
          <w:lang w:val="id-ID"/>
        </w:rPr>
      </w:pPr>
    </w:p>
    <w:p w:rsidR="00EF0716" w:rsidRDefault="00EF0716">
      <w:pPr>
        <w:rPr>
          <w:lang w:val="id-ID"/>
        </w:rPr>
      </w:pPr>
    </w:p>
    <w:p w:rsidR="00EF0716" w:rsidRDefault="00EF0716">
      <w:pPr>
        <w:rPr>
          <w:lang w:val="id-ID"/>
        </w:rPr>
      </w:pPr>
    </w:p>
    <w:p w:rsidR="00B77618" w:rsidRDefault="00B77618">
      <w:pPr>
        <w:rPr>
          <w:noProof/>
          <w:lang w:val="id-ID"/>
        </w:rPr>
      </w:pPr>
    </w:p>
    <w:p w:rsidR="00EF0716" w:rsidRDefault="00EF0716">
      <w:pPr>
        <w:rPr>
          <w:lang w:val="id-ID"/>
        </w:rPr>
      </w:pPr>
      <w:bookmarkStart w:id="0" w:name="_GoBack"/>
      <w:r>
        <w:rPr>
          <w:noProof/>
          <w:lang w:eastAsia="en-US"/>
        </w:rPr>
        <w:drawing>
          <wp:inline distT="0" distB="0" distL="0" distR="0" wp14:anchorId="31C4BE71" wp14:editId="76617325">
            <wp:extent cx="5873199" cy="6357257"/>
            <wp:effectExtent l="0" t="0" r="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srcRect l="33617" t="25675" r="31817" b="7771"/>
                    <a:stretch/>
                  </pic:blipFill>
                  <pic:spPr bwMode="auto">
                    <a:xfrm>
                      <a:off x="0" y="0"/>
                      <a:ext cx="5873139" cy="6357192"/>
                    </a:xfrm>
                    <a:prstGeom prst="rect">
                      <a:avLst/>
                    </a:prstGeom>
                    <a:ln>
                      <a:noFill/>
                    </a:ln>
                    <a:extLst>
                      <a:ext uri="{53640926-AAD7-44D8-BBD7-CCE9431645EC}">
                        <a14:shadowObscured xmlns:a14="http://schemas.microsoft.com/office/drawing/2010/main"/>
                      </a:ext>
                    </a:extLst>
                  </pic:spPr>
                </pic:pic>
              </a:graphicData>
            </a:graphic>
          </wp:inline>
        </w:drawing>
      </w:r>
      <w:bookmarkEnd w:id="0"/>
    </w:p>
    <w:p w:rsidR="00B77618" w:rsidRDefault="00B77618">
      <w:pPr>
        <w:rPr>
          <w:lang w:val="id-ID"/>
        </w:rPr>
      </w:pPr>
    </w:p>
    <w:p w:rsidR="00B77618" w:rsidRDefault="00B77618">
      <w:pPr>
        <w:rPr>
          <w:lang w:val="id-ID"/>
        </w:rPr>
      </w:pPr>
    </w:p>
    <w:p w:rsidR="00B77618" w:rsidRDefault="00B77618">
      <w:pPr>
        <w:rPr>
          <w:lang w:val="id-ID"/>
        </w:rPr>
      </w:pPr>
    </w:p>
    <w:p w:rsidR="00B77618" w:rsidRDefault="00B77618">
      <w:pPr>
        <w:rPr>
          <w:lang w:val="id-ID"/>
        </w:rPr>
      </w:pPr>
    </w:p>
    <w:p w:rsidR="00B77618" w:rsidRDefault="00B77618">
      <w:pPr>
        <w:rPr>
          <w:lang w:val="id-ID"/>
        </w:rPr>
      </w:pPr>
    </w:p>
    <w:p w:rsidR="00B77618" w:rsidRDefault="00B77618">
      <w:pPr>
        <w:rPr>
          <w:lang w:val="id-ID"/>
        </w:rPr>
      </w:pPr>
    </w:p>
    <w:p w:rsidR="00B77618" w:rsidRDefault="00B77618">
      <w:pPr>
        <w:rPr>
          <w:lang w:val="id-ID"/>
        </w:rPr>
      </w:pPr>
    </w:p>
    <w:p w:rsidR="00B77618" w:rsidRDefault="00B77618">
      <w:pPr>
        <w:rPr>
          <w:lang w:val="id-ID"/>
        </w:rPr>
      </w:pPr>
    </w:p>
    <w:p w:rsidR="00B77618" w:rsidRDefault="00B77618">
      <w:pPr>
        <w:rPr>
          <w:lang w:val="id-ID"/>
        </w:rPr>
      </w:pPr>
    </w:p>
    <w:p w:rsidR="00B77618" w:rsidRDefault="00B77618">
      <w:pPr>
        <w:rPr>
          <w:lang w:val="id-ID"/>
        </w:rPr>
      </w:pPr>
    </w:p>
    <w:p w:rsidR="00B77618" w:rsidRDefault="00B77618">
      <w:pPr>
        <w:rPr>
          <w:lang w:val="id-ID"/>
        </w:rPr>
      </w:pPr>
    </w:p>
    <w:p w:rsidR="00B77618" w:rsidRDefault="00B77618">
      <w:pPr>
        <w:rPr>
          <w:lang w:val="id-ID"/>
        </w:rPr>
      </w:pPr>
    </w:p>
    <w:p w:rsidR="00B77618" w:rsidRDefault="00B77618">
      <w:pPr>
        <w:rPr>
          <w:lang w:val="id-ID"/>
        </w:rPr>
      </w:pPr>
      <w:r>
        <w:rPr>
          <w:noProof/>
          <w:lang w:eastAsia="en-US"/>
        </w:rPr>
        <w:lastRenderedPageBreak/>
        <w:drawing>
          <wp:inline distT="0" distB="0" distL="0" distR="0">
            <wp:extent cx="6009164" cy="5086024"/>
            <wp:effectExtent l="4445" t="0" r="0" b="0"/>
            <wp:docPr id="4" name="Picture 4" descr="H:\poster jogja\20170611_122513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poster jogja\20170611_122513 (1).jp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0579" t="3054" r="24992"/>
                    <a:stretch/>
                  </pic:blipFill>
                  <pic:spPr bwMode="auto">
                    <a:xfrm rot="5400000">
                      <a:off x="0" y="0"/>
                      <a:ext cx="6007089" cy="5084268"/>
                    </a:xfrm>
                    <a:prstGeom prst="rect">
                      <a:avLst/>
                    </a:prstGeom>
                    <a:noFill/>
                    <a:ln>
                      <a:noFill/>
                    </a:ln>
                    <a:extLst>
                      <a:ext uri="{53640926-AAD7-44D8-BBD7-CCE9431645EC}">
                        <a14:shadowObscured xmlns:a14="http://schemas.microsoft.com/office/drawing/2010/main"/>
                      </a:ext>
                    </a:extLst>
                  </pic:spPr>
                </pic:pic>
              </a:graphicData>
            </a:graphic>
          </wp:inline>
        </w:drawing>
      </w:r>
    </w:p>
    <w:p w:rsidR="00B77618" w:rsidRDefault="00B77618">
      <w:pPr>
        <w:rPr>
          <w:lang w:val="id-ID"/>
        </w:rPr>
      </w:pPr>
    </w:p>
    <w:p w:rsidR="00B77618" w:rsidRDefault="00B77618">
      <w:pPr>
        <w:rPr>
          <w:lang w:val="id-ID"/>
        </w:rPr>
      </w:pPr>
    </w:p>
    <w:p w:rsidR="00B77618" w:rsidRDefault="00B77618">
      <w:pPr>
        <w:rPr>
          <w:lang w:val="id-ID"/>
        </w:rPr>
      </w:pPr>
    </w:p>
    <w:p w:rsidR="00B77618" w:rsidRDefault="00B77618">
      <w:pPr>
        <w:rPr>
          <w:lang w:val="id-ID"/>
        </w:rPr>
      </w:pPr>
    </w:p>
    <w:p w:rsidR="00B77618" w:rsidRDefault="00B77618">
      <w:pPr>
        <w:rPr>
          <w:lang w:val="id-ID"/>
        </w:rPr>
      </w:pPr>
    </w:p>
    <w:p w:rsidR="00B77618" w:rsidRDefault="00B77618">
      <w:pPr>
        <w:rPr>
          <w:lang w:val="id-ID"/>
        </w:rPr>
      </w:pPr>
    </w:p>
    <w:p w:rsidR="00B77618" w:rsidRDefault="00B77618">
      <w:pPr>
        <w:rPr>
          <w:lang w:val="id-ID"/>
        </w:rPr>
      </w:pPr>
    </w:p>
    <w:p w:rsidR="00B77618" w:rsidRDefault="00B77618">
      <w:pPr>
        <w:rPr>
          <w:lang w:val="id-ID"/>
        </w:rPr>
      </w:pPr>
    </w:p>
    <w:p w:rsidR="00B77618" w:rsidRDefault="00B77618">
      <w:pPr>
        <w:rPr>
          <w:lang w:val="id-ID"/>
        </w:rPr>
      </w:pPr>
      <w:r>
        <w:rPr>
          <w:noProof/>
          <w:lang w:eastAsia="en-US"/>
        </w:rPr>
        <w:lastRenderedPageBreak/>
        <w:drawing>
          <wp:inline distT="0" distB="0" distL="0" distR="0">
            <wp:extent cx="5907355" cy="5416483"/>
            <wp:effectExtent l="0" t="2223" r="0" b="0"/>
            <wp:docPr id="5" name="Picture 5" descr="H:\poster jogja\20170611_122522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poster jogja\20170611_122522 (1).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14938" t="-1879" r="22561"/>
                    <a:stretch/>
                  </pic:blipFill>
                  <pic:spPr bwMode="auto">
                    <a:xfrm rot="5400000">
                      <a:off x="0" y="0"/>
                      <a:ext cx="5919889" cy="5427976"/>
                    </a:xfrm>
                    <a:prstGeom prst="rect">
                      <a:avLst/>
                    </a:prstGeom>
                    <a:noFill/>
                    <a:ln>
                      <a:noFill/>
                    </a:ln>
                    <a:extLst>
                      <a:ext uri="{53640926-AAD7-44D8-BBD7-CCE9431645EC}">
                        <a14:shadowObscured xmlns:a14="http://schemas.microsoft.com/office/drawing/2010/main"/>
                      </a:ext>
                    </a:extLst>
                  </pic:spPr>
                </pic:pic>
              </a:graphicData>
            </a:graphic>
          </wp:inline>
        </w:drawing>
      </w:r>
    </w:p>
    <w:p w:rsidR="00B77618" w:rsidRDefault="00B77618">
      <w:pPr>
        <w:rPr>
          <w:lang w:val="id-ID"/>
        </w:rPr>
      </w:pPr>
    </w:p>
    <w:p w:rsidR="00B77618" w:rsidRDefault="00B77618">
      <w:pPr>
        <w:rPr>
          <w:lang w:val="id-ID"/>
        </w:rPr>
      </w:pPr>
    </w:p>
    <w:p w:rsidR="00B77618" w:rsidRDefault="00B77618">
      <w:pPr>
        <w:rPr>
          <w:lang w:val="id-ID"/>
        </w:rPr>
      </w:pPr>
    </w:p>
    <w:p w:rsidR="00B77618" w:rsidRDefault="00B77618">
      <w:pPr>
        <w:rPr>
          <w:lang w:val="id-ID"/>
        </w:rPr>
      </w:pPr>
    </w:p>
    <w:p w:rsidR="00B77618" w:rsidRDefault="00B77618">
      <w:pPr>
        <w:rPr>
          <w:lang w:val="id-ID"/>
        </w:rPr>
      </w:pPr>
    </w:p>
    <w:p w:rsidR="00B77618" w:rsidRDefault="00B77618">
      <w:pPr>
        <w:rPr>
          <w:lang w:val="id-ID"/>
        </w:rPr>
      </w:pPr>
    </w:p>
    <w:p w:rsidR="00B77618" w:rsidRDefault="00B77618">
      <w:pPr>
        <w:rPr>
          <w:lang w:val="id-ID"/>
        </w:rPr>
      </w:pPr>
    </w:p>
    <w:p w:rsidR="00B77618" w:rsidRDefault="00B77618">
      <w:pPr>
        <w:rPr>
          <w:lang w:val="id-ID"/>
        </w:rPr>
      </w:pPr>
    </w:p>
    <w:p w:rsidR="00B77618" w:rsidRDefault="00B77618">
      <w:pPr>
        <w:rPr>
          <w:lang w:val="id-ID"/>
        </w:rPr>
      </w:pPr>
    </w:p>
    <w:p w:rsidR="00B77618" w:rsidRDefault="00B77618">
      <w:pPr>
        <w:rPr>
          <w:lang w:val="id-ID"/>
        </w:rPr>
      </w:pPr>
    </w:p>
    <w:p w:rsidR="00B77618" w:rsidRDefault="00B77618">
      <w:pPr>
        <w:rPr>
          <w:lang w:val="id-ID"/>
        </w:rPr>
      </w:pPr>
    </w:p>
    <w:p w:rsidR="00B77618" w:rsidRDefault="00B77618">
      <w:pPr>
        <w:rPr>
          <w:lang w:val="id-ID"/>
        </w:rPr>
      </w:pPr>
    </w:p>
    <w:p w:rsidR="00B77618" w:rsidRDefault="00B77618">
      <w:pPr>
        <w:rPr>
          <w:lang w:val="id-ID"/>
        </w:rPr>
      </w:pPr>
    </w:p>
    <w:p w:rsidR="00B77618" w:rsidRDefault="00B77618">
      <w:pPr>
        <w:rPr>
          <w:lang w:val="id-ID"/>
        </w:rPr>
      </w:pPr>
    </w:p>
    <w:p w:rsidR="00B77618" w:rsidRDefault="00B77618">
      <w:pPr>
        <w:rPr>
          <w:lang w:val="id-ID"/>
        </w:rPr>
      </w:pPr>
    </w:p>
    <w:p w:rsidR="00B77618" w:rsidRDefault="00B77618">
      <w:pPr>
        <w:rPr>
          <w:lang w:val="id-ID"/>
        </w:rPr>
      </w:pPr>
    </w:p>
    <w:p w:rsidR="00B77618" w:rsidRDefault="00B77618">
      <w:pPr>
        <w:rPr>
          <w:lang w:val="id-ID"/>
        </w:rPr>
      </w:pPr>
    </w:p>
    <w:p w:rsidR="00B77618" w:rsidRPr="00EF0716" w:rsidRDefault="00B77618">
      <w:pPr>
        <w:rPr>
          <w:lang w:val="id-ID"/>
        </w:rPr>
      </w:pPr>
      <w:r>
        <w:rPr>
          <w:noProof/>
          <w:lang w:eastAsia="en-US"/>
        </w:rPr>
        <w:drawing>
          <wp:inline distT="0" distB="0" distL="0" distR="0">
            <wp:extent cx="5492054" cy="5072348"/>
            <wp:effectExtent l="317" t="0" r="0" b="0"/>
            <wp:docPr id="6" name="Picture 6" descr="H:\poster jogja\20170611_122533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poster jogja\20170611_122533 (1).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4938" t="1739" r="25215"/>
                    <a:stretch/>
                  </pic:blipFill>
                  <pic:spPr bwMode="auto">
                    <a:xfrm rot="5400000">
                      <a:off x="0" y="0"/>
                      <a:ext cx="5493784" cy="5073946"/>
                    </a:xfrm>
                    <a:prstGeom prst="rect">
                      <a:avLst/>
                    </a:prstGeom>
                    <a:noFill/>
                    <a:ln>
                      <a:noFill/>
                    </a:ln>
                    <a:extLst>
                      <a:ext uri="{53640926-AAD7-44D8-BBD7-CCE9431645EC}">
                        <a14:shadowObscured xmlns:a14="http://schemas.microsoft.com/office/drawing/2010/main"/>
                      </a:ext>
                    </a:extLst>
                  </pic:spPr>
                </pic:pic>
              </a:graphicData>
            </a:graphic>
          </wp:inline>
        </w:drawing>
      </w:r>
    </w:p>
    <w:sectPr w:rsidR="00B77618" w:rsidRPr="00EF0716" w:rsidSect="00B14EA0">
      <w:headerReference w:type="default" r:id="rId16"/>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0DF9" w:rsidRDefault="001F0DF9" w:rsidP="007E3051">
      <w:r>
        <w:separator/>
      </w:r>
    </w:p>
  </w:endnote>
  <w:endnote w:type="continuationSeparator" w:id="0">
    <w:p w:rsidR="001F0DF9" w:rsidRDefault="001F0DF9" w:rsidP="007E30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31979597"/>
      <w:docPartObj>
        <w:docPartGallery w:val="Page Numbers (Bottom of Page)"/>
        <w:docPartUnique/>
      </w:docPartObj>
    </w:sdtPr>
    <w:sdtEndPr>
      <w:rPr>
        <w:noProof/>
      </w:rPr>
    </w:sdtEndPr>
    <w:sdtContent>
      <w:p w:rsidR="00B14EA0" w:rsidRDefault="00B14EA0">
        <w:pPr>
          <w:pStyle w:val="Footer"/>
          <w:jc w:val="right"/>
        </w:pPr>
        <w:r>
          <w:fldChar w:fldCharType="begin"/>
        </w:r>
        <w:r>
          <w:instrText xml:space="preserve"> PAGE   \* MERGEFORMAT </w:instrText>
        </w:r>
        <w:r>
          <w:fldChar w:fldCharType="separate"/>
        </w:r>
        <w:r w:rsidR="00EB3C41">
          <w:rPr>
            <w:noProof/>
          </w:rPr>
          <w:t>15</w:t>
        </w:r>
        <w:r>
          <w:rPr>
            <w:noProof/>
          </w:rPr>
          <w:fldChar w:fldCharType="end"/>
        </w:r>
      </w:p>
    </w:sdtContent>
  </w:sdt>
  <w:p w:rsidR="007E3051" w:rsidRDefault="007E305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0DF9" w:rsidRDefault="001F0DF9" w:rsidP="007E3051">
      <w:r>
        <w:separator/>
      </w:r>
    </w:p>
  </w:footnote>
  <w:footnote w:type="continuationSeparator" w:id="0">
    <w:p w:rsidR="001F0DF9" w:rsidRDefault="001F0DF9" w:rsidP="007E305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3051" w:rsidRDefault="007E3051">
    <w:pPr>
      <w:pStyle w:val="Header"/>
      <w:jc w:val="right"/>
    </w:pPr>
  </w:p>
  <w:p w:rsidR="007E3051" w:rsidRDefault="007E305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EB7290"/>
    <w:multiLevelType w:val="hybridMultilevel"/>
    <w:tmpl w:val="F7CCFFAC"/>
    <w:lvl w:ilvl="0" w:tplc="46720BB2">
      <w:start w:val="1"/>
      <w:numFmt w:val="decimal"/>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3051"/>
    <w:rsid w:val="001002B2"/>
    <w:rsid w:val="001F0DF9"/>
    <w:rsid w:val="0039176E"/>
    <w:rsid w:val="004D20AB"/>
    <w:rsid w:val="00535E0E"/>
    <w:rsid w:val="005B0B0C"/>
    <w:rsid w:val="007E3051"/>
    <w:rsid w:val="008461EC"/>
    <w:rsid w:val="00B14EA0"/>
    <w:rsid w:val="00B77618"/>
    <w:rsid w:val="00BC164B"/>
    <w:rsid w:val="00BC5F29"/>
    <w:rsid w:val="00DE21CA"/>
    <w:rsid w:val="00EB3C41"/>
    <w:rsid w:val="00EF0716"/>
    <w:rsid w:val="00F36C02"/>
    <w:rsid w:val="00FD3C25"/>
    <w:rsid w:val="00FE2E8D"/>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5055247-6671-41D4-B145-DC936E99C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3051"/>
    <w:pPr>
      <w:spacing w:after="0" w:line="240" w:lineRule="auto"/>
    </w:pPr>
    <w:rPr>
      <w:rFonts w:ascii="Times New Roman" w:eastAsia="Times New Roman" w:hAnsi="Times New Roman" w:cs="Times New Roman"/>
      <w:sz w:val="24"/>
      <w:szCs w:val="24"/>
      <w:lang w:val="en-US" w:eastAsia="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E3051"/>
    <w:rPr>
      <w:b/>
      <w:bCs/>
    </w:rPr>
  </w:style>
  <w:style w:type="paragraph" w:styleId="BalloonText">
    <w:name w:val="Balloon Text"/>
    <w:basedOn w:val="Normal"/>
    <w:link w:val="BalloonTextChar"/>
    <w:uiPriority w:val="99"/>
    <w:semiHidden/>
    <w:unhideWhenUsed/>
    <w:rsid w:val="007E3051"/>
    <w:rPr>
      <w:rFonts w:ascii="Tahoma" w:hAnsi="Tahoma" w:cs="Tahoma"/>
      <w:sz w:val="16"/>
      <w:szCs w:val="16"/>
    </w:rPr>
  </w:style>
  <w:style w:type="character" w:customStyle="1" w:styleId="BalloonTextChar">
    <w:name w:val="Balloon Text Char"/>
    <w:basedOn w:val="DefaultParagraphFont"/>
    <w:link w:val="BalloonText"/>
    <w:uiPriority w:val="99"/>
    <w:semiHidden/>
    <w:rsid w:val="007E3051"/>
    <w:rPr>
      <w:rFonts w:ascii="Tahoma" w:eastAsia="Times New Roman" w:hAnsi="Tahoma" w:cs="Tahoma"/>
      <w:sz w:val="16"/>
      <w:szCs w:val="16"/>
      <w:lang w:val="en-US" w:eastAsia="id-ID"/>
    </w:rPr>
  </w:style>
  <w:style w:type="table" w:styleId="TableGrid">
    <w:name w:val="Table Grid"/>
    <w:basedOn w:val="TableNormal"/>
    <w:uiPriority w:val="59"/>
    <w:rsid w:val="007E3051"/>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7E3051"/>
    <w:pPr>
      <w:spacing w:after="200" w:line="276" w:lineRule="auto"/>
      <w:ind w:left="720"/>
      <w:contextualSpacing/>
    </w:pPr>
    <w:rPr>
      <w:rFonts w:asciiTheme="minorHAnsi" w:eastAsiaTheme="minorHAnsi" w:hAnsiTheme="minorHAnsi" w:cstheme="minorBidi"/>
      <w:sz w:val="22"/>
      <w:szCs w:val="22"/>
      <w:lang w:val="id-ID" w:eastAsia="en-US"/>
    </w:rPr>
  </w:style>
  <w:style w:type="character" w:customStyle="1" w:styleId="a">
    <w:name w:val="a"/>
    <w:basedOn w:val="DefaultParagraphFont"/>
    <w:rsid w:val="007E3051"/>
  </w:style>
  <w:style w:type="character" w:styleId="Hyperlink">
    <w:name w:val="Hyperlink"/>
    <w:basedOn w:val="DefaultParagraphFont"/>
    <w:uiPriority w:val="99"/>
    <w:unhideWhenUsed/>
    <w:rsid w:val="007E3051"/>
    <w:rPr>
      <w:color w:val="0000FF" w:themeColor="hyperlink"/>
      <w:u w:val="single"/>
    </w:rPr>
  </w:style>
  <w:style w:type="paragraph" w:styleId="Header">
    <w:name w:val="header"/>
    <w:basedOn w:val="Normal"/>
    <w:link w:val="HeaderChar"/>
    <w:uiPriority w:val="99"/>
    <w:unhideWhenUsed/>
    <w:rsid w:val="007E3051"/>
    <w:pPr>
      <w:tabs>
        <w:tab w:val="center" w:pos="4513"/>
        <w:tab w:val="right" w:pos="9026"/>
      </w:tabs>
    </w:pPr>
  </w:style>
  <w:style w:type="character" w:customStyle="1" w:styleId="HeaderChar">
    <w:name w:val="Header Char"/>
    <w:basedOn w:val="DefaultParagraphFont"/>
    <w:link w:val="Header"/>
    <w:uiPriority w:val="99"/>
    <w:rsid w:val="007E3051"/>
    <w:rPr>
      <w:rFonts w:ascii="Times New Roman" w:eastAsia="Times New Roman" w:hAnsi="Times New Roman" w:cs="Times New Roman"/>
      <w:sz w:val="24"/>
      <w:szCs w:val="24"/>
      <w:lang w:val="en-US" w:eastAsia="id-ID"/>
    </w:rPr>
  </w:style>
  <w:style w:type="paragraph" w:styleId="Footer">
    <w:name w:val="footer"/>
    <w:basedOn w:val="Normal"/>
    <w:link w:val="FooterChar"/>
    <w:uiPriority w:val="99"/>
    <w:unhideWhenUsed/>
    <w:rsid w:val="007E3051"/>
    <w:pPr>
      <w:tabs>
        <w:tab w:val="center" w:pos="4513"/>
        <w:tab w:val="right" w:pos="9026"/>
      </w:tabs>
    </w:pPr>
  </w:style>
  <w:style w:type="character" w:customStyle="1" w:styleId="FooterChar">
    <w:name w:val="Footer Char"/>
    <w:basedOn w:val="DefaultParagraphFont"/>
    <w:link w:val="Footer"/>
    <w:uiPriority w:val="99"/>
    <w:rsid w:val="007E3051"/>
    <w:rPr>
      <w:rFonts w:ascii="Times New Roman" w:eastAsia="Times New Roman" w:hAnsi="Times New Roman" w:cs="Times New Roman"/>
      <w:sz w:val="24"/>
      <w:szCs w:val="24"/>
      <w:lang w:val="en-US" w:eastAsia="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4.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3.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image" Target="media/image6.jpeg"/><Relationship Id="rId10" Type="http://schemas.openxmlformats.org/officeDocument/2006/relationships/hyperlink" Target="https://www.niddk.nih.gov/health-information/diabetes/preventing-diabetes-problems/nerve-damage-diabetic-neuropathies%20accessed%205%20July%202017"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image" Target="media/image5.jpe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Sheet1!$B$1</c:f>
              <c:strCache>
                <c:ptCount val="1"/>
                <c:pt idx="0">
                  <c:v>Hipertensi (+)</c:v>
                </c:pt>
              </c:strCache>
            </c:strRef>
          </c:tx>
          <c:cat>
            <c:strRef>
              <c:f>Sheet1!$A$2:$A$4</c:f>
              <c:strCache>
                <c:ptCount val="3"/>
                <c:pt idx="0">
                  <c:v>VAS 1</c:v>
                </c:pt>
                <c:pt idx="1">
                  <c:v>VAS 2</c:v>
                </c:pt>
                <c:pt idx="2">
                  <c:v>VAS 3</c:v>
                </c:pt>
              </c:strCache>
            </c:strRef>
          </c:cat>
          <c:val>
            <c:numRef>
              <c:f>Sheet1!$B$2:$B$4</c:f>
              <c:numCache>
                <c:formatCode>General</c:formatCode>
                <c:ptCount val="3"/>
                <c:pt idx="0">
                  <c:v>3.7600000000000002</c:v>
                </c:pt>
                <c:pt idx="1">
                  <c:v>2.86</c:v>
                </c:pt>
                <c:pt idx="2">
                  <c:v>2.3499999999999996</c:v>
                </c:pt>
              </c:numCache>
            </c:numRef>
          </c:val>
          <c:smooth val="0"/>
          <c:extLst>
            <c:ext xmlns:c16="http://schemas.microsoft.com/office/drawing/2014/chart" uri="{C3380CC4-5D6E-409C-BE32-E72D297353CC}">
              <c16:uniqueId val="{00000000-6B8E-46A2-8DC4-0C83099A6A74}"/>
            </c:ext>
          </c:extLst>
        </c:ser>
        <c:ser>
          <c:idx val="1"/>
          <c:order val="1"/>
          <c:tx>
            <c:strRef>
              <c:f>Sheet1!$C$1</c:f>
              <c:strCache>
                <c:ptCount val="1"/>
                <c:pt idx="0">
                  <c:v>Merokok (+)</c:v>
                </c:pt>
              </c:strCache>
            </c:strRef>
          </c:tx>
          <c:cat>
            <c:strRef>
              <c:f>Sheet1!$A$2:$A$4</c:f>
              <c:strCache>
                <c:ptCount val="3"/>
                <c:pt idx="0">
                  <c:v>VAS 1</c:v>
                </c:pt>
                <c:pt idx="1">
                  <c:v>VAS 2</c:v>
                </c:pt>
                <c:pt idx="2">
                  <c:v>VAS 3</c:v>
                </c:pt>
              </c:strCache>
            </c:strRef>
          </c:cat>
          <c:val>
            <c:numRef>
              <c:f>Sheet1!$C$2:$C$4</c:f>
              <c:numCache>
                <c:formatCode>General</c:formatCode>
                <c:ptCount val="3"/>
                <c:pt idx="0">
                  <c:v>4.1099999999999994</c:v>
                </c:pt>
                <c:pt idx="1">
                  <c:v>3.08</c:v>
                </c:pt>
                <c:pt idx="2">
                  <c:v>2.48</c:v>
                </c:pt>
              </c:numCache>
            </c:numRef>
          </c:val>
          <c:smooth val="0"/>
          <c:extLst>
            <c:ext xmlns:c16="http://schemas.microsoft.com/office/drawing/2014/chart" uri="{C3380CC4-5D6E-409C-BE32-E72D297353CC}">
              <c16:uniqueId val="{00000001-6B8E-46A2-8DC4-0C83099A6A74}"/>
            </c:ext>
          </c:extLst>
        </c:ser>
        <c:ser>
          <c:idx val="2"/>
          <c:order val="2"/>
          <c:tx>
            <c:strRef>
              <c:f>Sheet1!$D$1</c:f>
              <c:strCache>
                <c:ptCount val="1"/>
                <c:pt idx="0">
                  <c:v>Alkohol (+)</c:v>
                </c:pt>
              </c:strCache>
            </c:strRef>
          </c:tx>
          <c:cat>
            <c:strRef>
              <c:f>Sheet1!$A$2:$A$4</c:f>
              <c:strCache>
                <c:ptCount val="3"/>
                <c:pt idx="0">
                  <c:v>VAS 1</c:v>
                </c:pt>
                <c:pt idx="1">
                  <c:v>VAS 2</c:v>
                </c:pt>
                <c:pt idx="2">
                  <c:v>VAS 3</c:v>
                </c:pt>
              </c:strCache>
            </c:strRef>
          </c:cat>
          <c:val>
            <c:numRef>
              <c:f>Sheet1!$D$2:$D$4</c:f>
              <c:numCache>
                <c:formatCode>General</c:formatCode>
                <c:ptCount val="3"/>
                <c:pt idx="0">
                  <c:v>4.8</c:v>
                </c:pt>
                <c:pt idx="1">
                  <c:v>3.6</c:v>
                </c:pt>
                <c:pt idx="2">
                  <c:v>2.8</c:v>
                </c:pt>
              </c:numCache>
            </c:numRef>
          </c:val>
          <c:smooth val="0"/>
          <c:extLst>
            <c:ext xmlns:c16="http://schemas.microsoft.com/office/drawing/2014/chart" uri="{C3380CC4-5D6E-409C-BE32-E72D297353CC}">
              <c16:uniqueId val="{00000002-6B8E-46A2-8DC4-0C83099A6A74}"/>
            </c:ext>
          </c:extLst>
        </c:ser>
        <c:dLbls>
          <c:showLegendKey val="0"/>
          <c:showVal val="0"/>
          <c:showCatName val="0"/>
          <c:showSerName val="0"/>
          <c:showPercent val="0"/>
          <c:showBubbleSize val="0"/>
        </c:dLbls>
        <c:marker val="1"/>
        <c:smooth val="0"/>
        <c:axId val="175461504"/>
        <c:axId val="175463040"/>
      </c:lineChart>
      <c:catAx>
        <c:axId val="175461504"/>
        <c:scaling>
          <c:orientation val="minMax"/>
        </c:scaling>
        <c:delete val="0"/>
        <c:axPos val="b"/>
        <c:numFmt formatCode="General" sourceLinked="0"/>
        <c:majorTickMark val="out"/>
        <c:minorTickMark val="none"/>
        <c:tickLblPos val="nextTo"/>
        <c:crossAx val="175463040"/>
        <c:crosses val="autoZero"/>
        <c:auto val="1"/>
        <c:lblAlgn val="ctr"/>
        <c:lblOffset val="100"/>
        <c:noMultiLvlLbl val="0"/>
      </c:catAx>
      <c:valAx>
        <c:axId val="175463040"/>
        <c:scaling>
          <c:orientation val="minMax"/>
          <c:min val="1.5"/>
        </c:scaling>
        <c:delete val="0"/>
        <c:axPos val="l"/>
        <c:majorGridlines/>
        <c:title>
          <c:tx>
            <c:rich>
              <a:bodyPr rot="-5400000" vert="horz"/>
              <a:lstStyle/>
              <a:p>
                <a:pPr>
                  <a:defRPr/>
                </a:pPr>
                <a:r>
                  <a:rPr lang="en-US"/>
                  <a:t>Rerata</a:t>
                </a:r>
              </a:p>
            </c:rich>
          </c:tx>
          <c:overlay val="0"/>
        </c:title>
        <c:numFmt formatCode="General" sourceLinked="1"/>
        <c:majorTickMark val="out"/>
        <c:minorTickMark val="none"/>
        <c:tickLblPos val="nextTo"/>
        <c:crossAx val="175461504"/>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Sheet1!$B$1</c:f>
              <c:strCache>
                <c:ptCount val="1"/>
                <c:pt idx="0">
                  <c:v>Hipertensi (+)</c:v>
                </c:pt>
              </c:strCache>
            </c:strRef>
          </c:tx>
          <c:cat>
            <c:strRef>
              <c:f>Sheet1!$A$2:$A$4</c:f>
              <c:strCache>
                <c:ptCount val="3"/>
                <c:pt idx="0">
                  <c:v>TSS 1</c:v>
                </c:pt>
                <c:pt idx="1">
                  <c:v>TSS 2</c:v>
                </c:pt>
                <c:pt idx="2">
                  <c:v>TSS 3</c:v>
                </c:pt>
              </c:strCache>
            </c:strRef>
          </c:cat>
          <c:val>
            <c:numRef>
              <c:f>Sheet1!$B$2:$B$4</c:f>
              <c:numCache>
                <c:formatCode>General</c:formatCode>
                <c:ptCount val="3"/>
                <c:pt idx="0">
                  <c:v>7.3599999999999994</c:v>
                </c:pt>
                <c:pt idx="1">
                  <c:v>5.78</c:v>
                </c:pt>
                <c:pt idx="2">
                  <c:v>4.3199999999999994</c:v>
                </c:pt>
              </c:numCache>
            </c:numRef>
          </c:val>
          <c:smooth val="0"/>
          <c:extLst>
            <c:ext xmlns:c16="http://schemas.microsoft.com/office/drawing/2014/chart" uri="{C3380CC4-5D6E-409C-BE32-E72D297353CC}">
              <c16:uniqueId val="{00000000-5EEF-476B-9F49-26212CE5BB96}"/>
            </c:ext>
          </c:extLst>
        </c:ser>
        <c:ser>
          <c:idx val="1"/>
          <c:order val="1"/>
          <c:tx>
            <c:strRef>
              <c:f>Sheet1!$C$1</c:f>
              <c:strCache>
                <c:ptCount val="1"/>
                <c:pt idx="0">
                  <c:v>Merokok (+)</c:v>
                </c:pt>
              </c:strCache>
            </c:strRef>
          </c:tx>
          <c:cat>
            <c:strRef>
              <c:f>Sheet1!$A$2:$A$4</c:f>
              <c:strCache>
                <c:ptCount val="3"/>
                <c:pt idx="0">
                  <c:v>TSS 1</c:v>
                </c:pt>
                <c:pt idx="1">
                  <c:v>TSS 2</c:v>
                </c:pt>
                <c:pt idx="2">
                  <c:v>TSS 3</c:v>
                </c:pt>
              </c:strCache>
            </c:strRef>
          </c:cat>
          <c:val>
            <c:numRef>
              <c:f>Sheet1!$C$2:$C$4</c:f>
              <c:numCache>
                <c:formatCode>General</c:formatCode>
                <c:ptCount val="3"/>
                <c:pt idx="0">
                  <c:v>7.04</c:v>
                </c:pt>
                <c:pt idx="1">
                  <c:v>5.8</c:v>
                </c:pt>
                <c:pt idx="2">
                  <c:v>4.6599999999999993</c:v>
                </c:pt>
              </c:numCache>
            </c:numRef>
          </c:val>
          <c:smooth val="0"/>
          <c:extLst>
            <c:ext xmlns:c16="http://schemas.microsoft.com/office/drawing/2014/chart" uri="{C3380CC4-5D6E-409C-BE32-E72D297353CC}">
              <c16:uniqueId val="{00000001-5EEF-476B-9F49-26212CE5BB96}"/>
            </c:ext>
          </c:extLst>
        </c:ser>
        <c:ser>
          <c:idx val="2"/>
          <c:order val="2"/>
          <c:tx>
            <c:strRef>
              <c:f>Sheet1!$D$1</c:f>
              <c:strCache>
                <c:ptCount val="1"/>
                <c:pt idx="0">
                  <c:v>Alkohol (+)</c:v>
                </c:pt>
              </c:strCache>
            </c:strRef>
          </c:tx>
          <c:cat>
            <c:strRef>
              <c:f>Sheet1!$A$2:$A$4</c:f>
              <c:strCache>
                <c:ptCount val="3"/>
                <c:pt idx="0">
                  <c:v>TSS 1</c:v>
                </c:pt>
                <c:pt idx="1">
                  <c:v>TSS 2</c:v>
                </c:pt>
                <c:pt idx="2">
                  <c:v>TSS 3</c:v>
                </c:pt>
              </c:strCache>
            </c:strRef>
          </c:cat>
          <c:val>
            <c:numRef>
              <c:f>Sheet1!$D$2:$D$4</c:f>
              <c:numCache>
                <c:formatCode>General</c:formatCode>
                <c:ptCount val="3"/>
                <c:pt idx="0">
                  <c:v>7.98</c:v>
                </c:pt>
                <c:pt idx="1">
                  <c:v>6.98</c:v>
                </c:pt>
                <c:pt idx="2">
                  <c:v>5.3199999999999994</c:v>
                </c:pt>
              </c:numCache>
            </c:numRef>
          </c:val>
          <c:smooth val="0"/>
          <c:extLst>
            <c:ext xmlns:c16="http://schemas.microsoft.com/office/drawing/2014/chart" uri="{C3380CC4-5D6E-409C-BE32-E72D297353CC}">
              <c16:uniqueId val="{00000002-5EEF-476B-9F49-26212CE5BB96}"/>
            </c:ext>
          </c:extLst>
        </c:ser>
        <c:dLbls>
          <c:showLegendKey val="0"/>
          <c:showVal val="0"/>
          <c:showCatName val="0"/>
          <c:showSerName val="0"/>
          <c:showPercent val="0"/>
          <c:showBubbleSize val="0"/>
        </c:dLbls>
        <c:marker val="1"/>
        <c:smooth val="0"/>
        <c:axId val="173080960"/>
        <c:axId val="173082496"/>
      </c:lineChart>
      <c:catAx>
        <c:axId val="173080960"/>
        <c:scaling>
          <c:orientation val="minMax"/>
        </c:scaling>
        <c:delete val="0"/>
        <c:axPos val="b"/>
        <c:numFmt formatCode="General" sourceLinked="0"/>
        <c:majorTickMark val="out"/>
        <c:minorTickMark val="none"/>
        <c:tickLblPos val="nextTo"/>
        <c:crossAx val="173082496"/>
        <c:crosses val="autoZero"/>
        <c:auto val="1"/>
        <c:lblAlgn val="ctr"/>
        <c:lblOffset val="100"/>
        <c:noMultiLvlLbl val="0"/>
      </c:catAx>
      <c:valAx>
        <c:axId val="173082496"/>
        <c:scaling>
          <c:orientation val="minMax"/>
          <c:min val="1.5"/>
        </c:scaling>
        <c:delete val="0"/>
        <c:axPos val="l"/>
        <c:majorGridlines/>
        <c:title>
          <c:tx>
            <c:rich>
              <a:bodyPr rot="-5400000" vert="horz"/>
              <a:lstStyle/>
              <a:p>
                <a:pPr>
                  <a:defRPr/>
                </a:pPr>
                <a:r>
                  <a:rPr lang="en-US"/>
                  <a:t>Rerata</a:t>
                </a:r>
              </a:p>
            </c:rich>
          </c:tx>
          <c:overlay val="0"/>
        </c:title>
        <c:numFmt formatCode="General" sourceLinked="1"/>
        <c:majorTickMark val="out"/>
        <c:minorTickMark val="none"/>
        <c:tickLblPos val="nextTo"/>
        <c:crossAx val="173080960"/>
        <c:crosses val="autoZero"/>
        <c:crossBetween val="between"/>
      </c:valAx>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3555</Words>
  <Characters>20269</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23777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MEYVITA Neurologi</cp:lastModifiedBy>
  <cp:revision>2</cp:revision>
  <dcterms:created xsi:type="dcterms:W3CDTF">2020-11-28T18:03:00Z</dcterms:created>
  <dcterms:modified xsi:type="dcterms:W3CDTF">2020-11-28T18:03:00Z</dcterms:modified>
</cp:coreProperties>
</file>