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F5ED21" w14:textId="202BA42F" w:rsidR="00FF7EA7" w:rsidRDefault="00000000">
      <w:pPr>
        <w:spacing w:after="160"/>
        <w:jc w:val="center"/>
      </w:pPr>
      <w:r>
        <w:rPr>
          <w:b/>
          <w:sz w:val="28"/>
        </w:rPr>
        <w:t>RESPONSE TO REVIEWER</w:t>
      </w:r>
    </w:p>
    <w:p w14:paraId="0E96F923" w14:textId="77777777" w:rsidR="00FF7EA7" w:rsidRDefault="00000000">
      <w:pPr>
        <w:spacing w:after="240"/>
        <w:jc w:val="center"/>
      </w:pPr>
      <w:r>
        <w:rPr>
          <w:i/>
        </w:rPr>
        <w:t>Manuscript: “The Effect of Topical 5% Dexpanthenol on Transepidermal Water Loss Values and Skin pH in Patients with a History of Atopic Dermatitis”</w:t>
      </w:r>
    </w:p>
    <w:p w14:paraId="50E067A4" w14:textId="7676F8AF" w:rsidR="00FF7EA7" w:rsidRDefault="00000000">
      <w:pPr>
        <w:jc w:val="both"/>
      </w:pPr>
      <w:r>
        <w:t xml:space="preserve">We thank the reviewer for the careful and constructive assessment. We have revised the manuscript </w:t>
      </w:r>
      <w:r w:rsidR="00445B9B">
        <w:t xml:space="preserve">with the </w:t>
      </w:r>
      <w:r>
        <w:t>comments below, followed by our responses and the corresponding manuscript changes.</w:t>
      </w:r>
    </w:p>
    <w:p w14:paraId="23B0929E" w14:textId="77777777" w:rsidR="00152BD4" w:rsidRDefault="00152BD4" w:rsidP="00445B9B">
      <w:pPr>
        <w:spacing w:before="200" w:after="80"/>
        <w:rPr>
          <w:b/>
          <w:sz w:val="24"/>
        </w:rPr>
      </w:pPr>
      <w:r>
        <w:rPr>
          <w:b/>
          <w:sz w:val="24"/>
        </w:rPr>
        <w:t>METHODOLOGY ERROR</w:t>
      </w:r>
    </w:p>
    <w:p w14:paraId="7773DC44" w14:textId="51A79590" w:rsidR="00445B9B" w:rsidRDefault="00445B9B" w:rsidP="00445B9B">
      <w:pPr>
        <w:spacing w:before="200" w:after="80"/>
      </w:pPr>
      <w:r>
        <w:rPr>
          <w:b/>
          <w:sz w:val="24"/>
        </w:rPr>
        <w:t>1.</w:t>
      </w:r>
      <w:r>
        <w:rPr>
          <w:b/>
          <w:sz w:val="24"/>
        </w:rPr>
        <w:t>1</w:t>
      </w:r>
      <w:r>
        <w:rPr>
          <w:b/>
          <w:sz w:val="24"/>
        </w:rPr>
        <w:t xml:space="preserve">. </w:t>
      </w:r>
      <w:r>
        <w:rPr>
          <w:b/>
          <w:sz w:val="24"/>
        </w:rPr>
        <w:t>Incomplete Randomization Description</w:t>
      </w:r>
    </w:p>
    <w:p w14:paraId="63A9782A" w14:textId="5F71DF0D" w:rsidR="00445B9B" w:rsidRPr="006D29D1" w:rsidRDefault="00445B9B">
      <w:pPr>
        <w:spacing w:before="200" w:after="80"/>
        <w:rPr>
          <w:rFonts w:cs="Times New Roman"/>
          <w:i/>
          <w:iCs/>
          <w:color w:val="111111"/>
          <w:shd w:val="clear" w:color="auto" w:fill="FFFFFF"/>
        </w:rPr>
      </w:pPr>
      <w:r w:rsidRPr="006D29D1">
        <w:rPr>
          <w:rFonts w:cs="Times New Roman"/>
          <w:i/>
          <w:iCs/>
          <w:color w:val="111111"/>
          <w:shd w:val="clear" w:color="auto" w:fill="FFFFFF"/>
        </w:rPr>
        <w:t>Randomization is stated, but method is not described (block, simple random, concealed allocation, etc.</w:t>
      </w:r>
      <w:proofErr w:type="gramStart"/>
      <w:r w:rsidRPr="006D29D1">
        <w:rPr>
          <w:rFonts w:cs="Times New Roman"/>
          <w:i/>
          <w:iCs/>
          <w:color w:val="111111"/>
          <w:shd w:val="clear" w:color="auto" w:fill="FFFFFF"/>
        </w:rPr>
        <w:t>).→</w:t>
      </w:r>
      <w:proofErr w:type="gramEnd"/>
      <w:r w:rsidRPr="006D29D1">
        <w:rPr>
          <w:rFonts w:cs="Times New Roman"/>
          <w:i/>
          <w:iCs/>
          <w:color w:val="111111"/>
          <w:shd w:val="clear" w:color="auto" w:fill="FFFFFF"/>
        </w:rPr>
        <w:t xml:space="preserve"> Reduces reproducibility.</w:t>
      </w:r>
    </w:p>
    <w:p w14:paraId="0DFBF4EB" w14:textId="2521A302" w:rsidR="00445B9B" w:rsidRPr="00445B9B" w:rsidRDefault="00445B9B" w:rsidP="00445B9B">
      <w:pPr>
        <w:spacing w:before="200" w:after="80"/>
        <w:rPr>
          <w:rFonts w:cs="Times New Roman"/>
        </w:rPr>
      </w:pPr>
      <w:r w:rsidRPr="00445B9B">
        <w:rPr>
          <w:rFonts w:cs="Times New Roman"/>
          <w:b/>
        </w:rPr>
        <w:t>1.</w:t>
      </w:r>
      <w:r>
        <w:rPr>
          <w:rFonts w:cs="Times New Roman"/>
          <w:b/>
        </w:rPr>
        <w:t>2</w:t>
      </w:r>
      <w:r w:rsidRPr="00445B9B">
        <w:rPr>
          <w:rFonts w:cs="Times New Roman"/>
          <w:b/>
        </w:rPr>
        <w:t xml:space="preserve">. </w:t>
      </w:r>
      <w:r w:rsidRPr="00445B9B">
        <w:rPr>
          <w:rFonts w:cs="Times New Roman"/>
          <w:b/>
        </w:rPr>
        <w:t>Lack of Blinding Details</w:t>
      </w:r>
    </w:p>
    <w:p w14:paraId="026102F3" w14:textId="77777777" w:rsidR="00445B9B" w:rsidRPr="006D29D1" w:rsidRDefault="00445B9B">
      <w:pPr>
        <w:spacing w:before="200" w:after="80"/>
        <w:rPr>
          <w:rFonts w:cs="Times New Roman"/>
          <w:i/>
          <w:iCs/>
          <w:color w:val="111111"/>
          <w:shd w:val="clear" w:color="auto" w:fill="FFFFFF"/>
        </w:rPr>
      </w:pPr>
      <w:r w:rsidRPr="006D29D1">
        <w:rPr>
          <w:rFonts w:cs="Times New Roman"/>
          <w:i/>
          <w:iCs/>
          <w:color w:val="111111"/>
          <w:shd w:val="clear" w:color="auto" w:fill="FFFFFF"/>
        </w:rPr>
        <w:t>The study is described as double-blinded, but there is no explanation of:</w:t>
      </w:r>
      <w:r w:rsidRPr="006D29D1">
        <w:rPr>
          <w:rFonts w:cs="Times New Roman"/>
          <w:i/>
          <w:iCs/>
          <w:color w:val="111111"/>
        </w:rPr>
        <w:br/>
      </w:r>
      <w:r w:rsidRPr="006D29D1">
        <w:rPr>
          <w:rFonts w:cs="Times New Roman"/>
          <w:i/>
          <w:iCs/>
          <w:color w:val="111111"/>
          <w:shd w:val="clear" w:color="auto" w:fill="FFFFFF"/>
        </w:rPr>
        <w:t>Who was blinded: participants? clinicians? outcome assessors?</w:t>
      </w:r>
      <w:r w:rsidRPr="006D29D1">
        <w:rPr>
          <w:rFonts w:cs="Times New Roman"/>
          <w:i/>
          <w:iCs/>
          <w:color w:val="111111"/>
        </w:rPr>
        <w:br/>
      </w:r>
      <w:r w:rsidRPr="006D29D1">
        <w:rPr>
          <w:rFonts w:cs="Times New Roman"/>
          <w:i/>
          <w:iCs/>
          <w:color w:val="111111"/>
        </w:rPr>
        <w:br/>
      </w:r>
      <w:r w:rsidRPr="006D29D1">
        <w:rPr>
          <w:rFonts w:cs="Times New Roman"/>
          <w:i/>
          <w:iCs/>
          <w:color w:val="111111"/>
          <w:shd w:val="clear" w:color="auto" w:fill="FFFFFF"/>
        </w:rPr>
        <w:t xml:space="preserve">How blinding was maintained, since petrolatum and </w:t>
      </w:r>
      <w:proofErr w:type="spellStart"/>
      <w:r w:rsidRPr="006D29D1">
        <w:rPr>
          <w:rFonts w:cs="Times New Roman"/>
          <w:i/>
          <w:iCs/>
          <w:color w:val="111111"/>
          <w:shd w:val="clear" w:color="auto" w:fill="FFFFFF"/>
        </w:rPr>
        <w:t>dexpanthenol</w:t>
      </w:r>
      <w:proofErr w:type="spellEnd"/>
      <w:r w:rsidRPr="006D29D1">
        <w:rPr>
          <w:rFonts w:cs="Times New Roman"/>
          <w:i/>
          <w:iCs/>
          <w:color w:val="111111"/>
          <w:shd w:val="clear" w:color="auto" w:fill="FFFFFF"/>
        </w:rPr>
        <w:t xml:space="preserve"> have very different </w:t>
      </w:r>
      <w:proofErr w:type="gramStart"/>
      <w:r w:rsidRPr="006D29D1">
        <w:rPr>
          <w:rFonts w:cs="Times New Roman"/>
          <w:i/>
          <w:iCs/>
          <w:color w:val="111111"/>
          <w:shd w:val="clear" w:color="auto" w:fill="FFFFFF"/>
        </w:rPr>
        <w:t>textures.→</w:t>
      </w:r>
      <w:proofErr w:type="gramEnd"/>
      <w:r w:rsidRPr="006D29D1">
        <w:rPr>
          <w:rFonts w:cs="Times New Roman"/>
          <w:i/>
          <w:iCs/>
          <w:color w:val="111111"/>
          <w:shd w:val="clear" w:color="auto" w:fill="FFFFFF"/>
        </w:rPr>
        <w:t xml:space="preserve"> High risk of unblinding bias.</w:t>
      </w:r>
    </w:p>
    <w:p w14:paraId="12D4F8CF" w14:textId="205517A2" w:rsidR="00445B9B" w:rsidRDefault="00445B9B">
      <w:pPr>
        <w:spacing w:before="200" w:after="80"/>
        <w:rPr>
          <w:rFonts w:cs="Times New Roman"/>
          <w:b/>
          <w:bCs/>
          <w:color w:val="111111"/>
          <w:shd w:val="clear" w:color="auto" w:fill="FFFFFF"/>
        </w:rPr>
      </w:pPr>
      <w:r>
        <w:rPr>
          <w:rFonts w:cs="Times New Roman"/>
          <w:b/>
          <w:bCs/>
          <w:color w:val="111111"/>
          <w:shd w:val="clear" w:color="auto" w:fill="FFFFFF"/>
        </w:rPr>
        <w:t xml:space="preserve">Response to 1.1 and 1.2: </w:t>
      </w:r>
    </w:p>
    <w:p w14:paraId="2D589798" w14:textId="77777777" w:rsidR="0083627F" w:rsidRDefault="00445B9B" w:rsidP="0083627F">
      <w:pPr>
        <w:spacing w:before="200" w:after="80"/>
        <w:jc w:val="both"/>
        <w:rPr>
          <w:rFonts w:cs="Times New Roman"/>
          <w:color w:val="111111"/>
          <w:shd w:val="clear" w:color="auto" w:fill="FFFFFF"/>
        </w:rPr>
      </w:pPr>
      <w:r>
        <w:rPr>
          <w:rFonts w:cs="Times New Roman"/>
          <w:color w:val="111111"/>
          <w:shd w:val="clear" w:color="auto" w:fill="FFFFFF"/>
        </w:rPr>
        <w:t xml:space="preserve">We have now revised the manuscript in </w:t>
      </w:r>
      <w:r w:rsidR="0083627F">
        <w:rPr>
          <w:rFonts w:cs="Times New Roman"/>
          <w:color w:val="111111"/>
          <w:shd w:val="clear" w:color="auto" w:fill="FFFFFF"/>
        </w:rPr>
        <w:t>section</w:t>
      </w:r>
      <w:r>
        <w:rPr>
          <w:rFonts w:cs="Times New Roman"/>
          <w:color w:val="111111"/>
          <w:shd w:val="clear" w:color="auto" w:fill="FFFFFF"/>
        </w:rPr>
        <w:t xml:space="preserve"> 2</w:t>
      </w:r>
      <w:r w:rsidR="0083627F">
        <w:rPr>
          <w:rFonts w:cs="Times New Roman"/>
          <w:color w:val="111111"/>
          <w:shd w:val="clear" w:color="auto" w:fill="FFFFFF"/>
        </w:rPr>
        <w:t>. Method</w:t>
      </w:r>
      <w:r>
        <w:rPr>
          <w:rFonts w:cs="Times New Roman"/>
          <w:color w:val="111111"/>
          <w:shd w:val="clear" w:color="auto" w:fill="FFFFFF"/>
        </w:rPr>
        <w:t xml:space="preserve">, paragraph 3: </w:t>
      </w:r>
    </w:p>
    <w:p w14:paraId="68FC2D35" w14:textId="6A55D1F6" w:rsidR="00445B9B" w:rsidRPr="0083627F" w:rsidRDefault="0083627F" w:rsidP="0083627F">
      <w:pPr>
        <w:spacing w:before="200" w:after="80"/>
        <w:jc w:val="both"/>
        <w:rPr>
          <w:rFonts w:cs="Times New Roman"/>
          <w:color w:val="111111"/>
          <w:shd w:val="clear" w:color="auto" w:fill="FFFFFF"/>
        </w:rPr>
      </w:pPr>
      <w:r>
        <w:rPr>
          <w:rFonts w:cs="Times New Roman"/>
          <w:color w:val="111111"/>
          <w:shd w:val="clear" w:color="auto" w:fill="FFFFFF"/>
        </w:rPr>
        <w:t>“</w:t>
      </w:r>
      <w:r w:rsidR="00445B9B" w:rsidRPr="00D90EC2">
        <w:rPr>
          <w:color w:val="000000"/>
        </w:rPr>
        <w:t xml:space="preserve">Subjects were randomly assigned to receive either </w:t>
      </w:r>
      <w:proofErr w:type="spellStart"/>
      <w:r w:rsidR="00445B9B" w:rsidRPr="00D90EC2">
        <w:rPr>
          <w:color w:val="000000"/>
        </w:rPr>
        <w:t>Dexpanthenol</w:t>
      </w:r>
      <w:proofErr w:type="spellEnd"/>
      <w:r w:rsidR="00445B9B" w:rsidRPr="00D90EC2">
        <w:rPr>
          <w:color w:val="000000"/>
        </w:rPr>
        <w:t xml:space="preserve"> 5% (Group A) or 100% Petrolatum (Group B) using a sequence of sequentially numbered, opaque, sealed envelopes. To ensure allocation concealment, both study preparations were packaged in identical, opaque 30 mL containers with matching spatulas, labeled only as 'A' or 'B'. The allocation sequence was generated and assigned by an independent research assistant not involved in subject observation or outcome assessment, and the randomization key remained sealed until the study was completed.</w:t>
      </w:r>
      <w:r>
        <w:rPr>
          <w:color w:val="000000"/>
        </w:rPr>
        <w:t>”</w:t>
      </w:r>
    </w:p>
    <w:p w14:paraId="4BF4D3B2" w14:textId="16775A92" w:rsidR="00FF7EA7" w:rsidRDefault="00000000">
      <w:pPr>
        <w:spacing w:before="200" w:after="80"/>
      </w:pPr>
      <w:r>
        <w:rPr>
          <w:b/>
          <w:sz w:val="24"/>
        </w:rPr>
        <w:t>1.3. Unbalanced Baseline Symptoms</w:t>
      </w:r>
    </w:p>
    <w:p w14:paraId="0A6A3AB2" w14:textId="77777777" w:rsidR="00FF7EA7" w:rsidRDefault="00000000">
      <w:pPr>
        <w:spacing w:after="160" w:line="264" w:lineRule="auto"/>
        <w:ind w:left="504" w:right="216"/>
        <w:jc w:val="both"/>
      </w:pPr>
      <w:r>
        <w:rPr>
          <w:i/>
          <w:sz w:val="21"/>
        </w:rPr>
        <w:t>“Table 1 shows major difference in AD symptoms: Petrolatum group: 38.5% no symptoms; Dexpanthenol group: 46.2% had dry skin + itching. Potential confounder; authors claim ‘homogeneous’, but clinically this is not homogeneous.”</w:t>
      </w:r>
    </w:p>
    <w:p w14:paraId="64F886DC" w14:textId="4352DFF8" w:rsidR="0083627F" w:rsidRDefault="00000000">
      <w:pPr>
        <w:spacing w:after="120"/>
        <w:jc w:val="both"/>
      </w:pPr>
      <w:r>
        <w:rPr>
          <w:b/>
        </w:rPr>
        <w:t>Response</w:t>
      </w:r>
      <w:r w:rsidR="0083627F">
        <w:rPr>
          <w:b/>
        </w:rPr>
        <w:t xml:space="preserve"> to 1.3</w:t>
      </w:r>
      <w:r>
        <w:rPr>
          <w:b/>
        </w:rPr>
        <w:t xml:space="preserve">: </w:t>
      </w:r>
      <w:r>
        <w:t xml:space="preserve">We agree with the reviewer. The revised Results section now explicitly describes the symptom imbalance, and the Discussion and Limitations sections acknowledge it as a potential source of residual confounding. We also clarify that baseline TEWL and skin pH at the non-flaring forearm measurement sites were numerically close between groups (17.35 vs 17.54 g/m²/h and 6.27 vs 6.39, respectively). These objective baseline values reduce, but do not eliminate, concern regarding the symptom imbalance. </w:t>
      </w:r>
    </w:p>
    <w:p w14:paraId="56AF0F29" w14:textId="65C22BB2" w:rsidR="0083627F" w:rsidRDefault="0083627F">
      <w:pPr>
        <w:spacing w:after="120"/>
        <w:jc w:val="both"/>
      </w:pPr>
      <w:r>
        <w:rPr>
          <w:rFonts w:cs="Times New Roman"/>
          <w:color w:val="111111"/>
          <w:shd w:val="clear" w:color="auto" w:fill="FFFFFF"/>
        </w:rPr>
        <w:t xml:space="preserve">We have now revised the manuscript in section </w:t>
      </w:r>
      <w:r>
        <w:rPr>
          <w:rFonts w:cs="Times New Roman"/>
          <w:color w:val="111111"/>
          <w:shd w:val="clear" w:color="auto" w:fill="FFFFFF"/>
        </w:rPr>
        <w:t>3</w:t>
      </w:r>
      <w:r>
        <w:rPr>
          <w:rFonts w:cs="Times New Roman"/>
          <w:color w:val="111111"/>
          <w:shd w:val="clear" w:color="auto" w:fill="FFFFFF"/>
        </w:rPr>
        <w:t>.</w:t>
      </w:r>
      <w:r>
        <w:rPr>
          <w:rFonts w:cs="Times New Roman"/>
          <w:color w:val="111111"/>
          <w:shd w:val="clear" w:color="auto" w:fill="FFFFFF"/>
        </w:rPr>
        <w:t>1 Subjects’ Characteristics:</w:t>
      </w:r>
    </w:p>
    <w:p w14:paraId="44FAF87E" w14:textId="77777777" w:rsidR="0083627F" w:rsidRPr="009D6342" w:rsidRDefault="00000000" w:rsidP="0083627F">
      <w:pPr>
        <w:pBdr>
          <w:top w:val="nil"/>
          <w:left w:val="nil"/>
          <w:bottom w:val="nil"/>
          <w:right w:val="nil"/>
          <w:between w:val="nil"/>
        </w:pBdr>
        <w:jc w:val="both"/>
        <w:rPr>
          <w:color w:val="1B1C1D"/>
        </w:rPr>
      </w:pPr>
      <w:r w:rsidRPr="0083627F">
        <w:rPr>
          <w:iCs/>
          <w:sz w:val="21"/>
        </w:rPr>
        <w:t>“</w:t>
      </w:r>
      <w:r w:rsidR="0083627F" w:rsidRPr="00402EE6">
        <w:rPr>
          <w:color w:val="000000"/>
        </w:rPr>
        <w:t xml:space="preserve">The distribution of baseline AD symptoms differed clinically: 5 of 13 participants (38.5%) in the petrolatum group reported no symptoms, whereas 6 of 13 (46.2%) in the </w:t>
      </w:r>
      <w:proofErr w:type="spellStart"/>
      <w:r w:rsidR="0083627F" w:rsidRPr="00402EE6">
        <w:rPr>
          <w:color w:val="000000"/>
        </w:rPr>
        <w:t>dexpanthenol</w:t>
      </w:r>
      <w:proofErr w:type="spellEnd"/>
      <w:r w:rsidR="0083627F" w:rsidRPr="00402EE6">
        <w:rPr>
          <w:color w:val="000000"/>
        </w:rPr>
        <w:t xml:space="preserve"> group reported both dry skin and itching. Baseline TEWL and skin pH at the non-flaring forearm sites were numerically similar between groups (17.35 vs 17.54 g/m²/h and 6.27 vs 6.39, respectively).</w:t>
      </w:r>
    </w:p>
    <w:p w14:paraId="55EE7B5F" w14:textId="77777777" w:rsidR="0083627F" w:rsidRDefault="0083627F" w:rsidP="0083627F">
      <w:pPr>
        <w:spacing w:after="160" w:line="264" w:lineRule="auto"/>
        <w:ind w:right="216"/>
        <w:jc w:val="both"/>
        <w:rPr>
          <w:bCs/>
        </w:rPr>
      </w:pPr>
      <w:r>
        <w:rPr>
          <w:bCs/>
        </w:rPr>
        <w:t>We also added this matter in section 4.3, paragraph 8, discussing the limitations of this study:</w:t>
      </w:r>
    </w:p>
    <w:p w14:paraId="69178BE6" w14:textId="01F42B7A" w:rsidR="0083627F" w:rsidRPr="0083627F" w:rsidRDefault="0083627F" w:rsidP="0083627F">
      <w:pPr>
        <w:spacing w:after="160" w:line="264" w:lineRule="auto"/>
        <w:ind w:right="216"/>
        <w:jc w:val="both"/>
        <w:rPr>
          <w:rFonts w:eastAsia="Times New Roman" w:cs="Times New Roman"/>
          <w:bCs/>
          <w:color w:val="000000" w:themeColor="text1"/>
        </w:rPr>
      </w:pPr>
      <w:r>
        <w:rPr>
          <w:rFonts w:eastAsia="Times New Roman" w:cs="Times New Roman"/>
          <w:bCs/>
          <w:color w:val="000000" w:themeColor="text1"/>
        </w:rPr>
        <w:lastRenderedPageBreak/>
        <w:t>“</w:t>
      </w:r>
      <w:r w:rsidRPr="003F56FE">
        <w:rPr>
          <w:rFonts w:eastAsia="Times New Roman" w:cs="Times New Roman"/>
          <w:bCs/>
          <w:color w:val="000000" w:themeColor="text1"/>
        </w:rPr>
        <w:t>Despite its strengths, several limitations should be considered. First, the small sample size resulted in a clinically relevant imbalance in self-reported baseline symptoms. Although baseline TEWL and skin pH at the non-flaring measurement sites were numerically similar, residual confounding cannot be excluded.</w:t>
      </w:r>
      <w:r>
        <w:rPr>
          <w:rFonts w:eastAsia="Times New Roman" w:cs="Times New Roman"/>
          <w:bCs/>
          <w:color w:val="000000" w:themeColor="text1"/>
        </w:rPr>
        <w:t>”</w:t>
      </w:r>
      <w:r>
        <w:rPr>
          <w:bCs/>
        </w:rPr>
        <w:t xml:space="preserve"> </w:t>
      </w:r>
    </w:p>
    <w:p w14:paraId="7CF79A87" w14:textId="02CF8519" w:rsidR="00FF7EA7" w:rsidRDefault="00000000">
      <w:pPr>
        <w:spacing w:before="200" w:after="80"/>
      </w:pPr>
      <w:r>
        <w:rPr>
          <w:b/>
          <w:sz w:val="24"/>
        </w:rPr>
        <w:t>1.4. Duration of AD Implausibly High</w:t>
      </w:r>
    </w:p>
    <w:p w14:paraId="41F016D8" w14:textId="77777777" w:rsidR="00FF7EA7" w:rsidRDefault="00000000">
      <w:pPr>
        <w:spacing w:after="160" w:line="264" w:lineRule="auto"/>
        <w:ind w:left="504" w:right="216"/>
        <w:jc w:val="both"/>
      </w:pPr>
      <w:r>
        <w:rPr>
          <w:i/>
          <w:sz w:val="21"/>
        </w:rPr>
        <w:t>“Median duration = 20 years (range 15–35). But participants’ mean age = 30 years. This implies they developed AD at ages 5–10, without discussion of early-childhood onset.”</w:t>
      </w:r>
    </w:p>
    <w:p w14:paraId="280DA087" w14:textId="77777777" w:rsidR="006D29D1" w:rsidRDefault="00000000">
      <w:pPr>
        <w:spacing w:after="120"/>
        <w:jc w:val="both"/>
      </w:pPr>
      <w:r>
        <w:rPr>
          <w:b/>
        </w:rPr>
        <w:t xml:space="preserve">Response: </w:t>
      </w:r>
      <w:r>
        <w:t xml:space="preserve">The duration variable represented the self-reported interval from the participant’s recalled first onset or diagnosis of AD to enrollment; it did not represent 20 years of uninterrupted active disease. Therefore, a median duration of 20 years among adults with a mean age of approximately 30 years is consistent with childhood- or adolescent-onset AD followed by a chronic-relapsing course. </w:t>
      </w:r>
    </w:p>
    <w:p w14:paraId="4CDACFC3" w14:textId="249F2C7E" w:rsidR="006D29D1" w:rsidRDefault="006D29D1">
      <w:pPr>
        <w:spacing w:after="120"/>
        <w:jc w:val="both"/>
      </w:pPr>
      <w:r>
        <w:t>We have revised this in section 4.1. Subjects Characteristics Paragraph 1:</w:t>
      </w:r>
      <w:r w:rsidR="00000000">
        <w:t xml:space="preserve"> </w:t>
      </w:r>
    </w:p>
    <w:p w14:paraId="72EC8796" w14:textId="43196D46" w:rsidR="006D29D1" w:rsidRPr="00C36859" w:rsidRDefault="006D29D1" w:rsidP="006D29D1">
      <w:pPr>
        <w:jc w:val="both"/>
        <w:rPr>
          <w:color w:val="000000" w:themeColor="text1"/>
        </w:rPr>
      </w:pPr>
      <w:r>
        <w:rPr>
          <w:color w:val="000000" w:themeColor="text1"/>
        </w:rPr>
        <w:t>“</w:t>
      </w:r>
      <w:r w:rsidRPr="00C36859">
        <w:rPr>
          <w:color w:val="000000" w:themeColor="text1"/>
        </w:rPr>
        <w:t xml:space="preserve">Most of the subjects in each group were female and the mean age was 30.23 ± 3.37 years in the 100% petrolatum group and 31.00 ± 4.51 years in the 5% </w:t>
      </w:r>
      <w:proofErr w:type="spellStart"/>
      <w:r w:rsidRPr="00C36859">
        <w:rPr>
          <w:color w:val="000000" w:themeColor="text1"/>
        </w:rPr>
        <w:t>dexpanthenol</w:t>
      </w:r>
      <w:proofErr w:type="spellEnd"/>
      <w:r w:rsidRPr="00C36859">
        <w:rPr>
          <w:color w:val="000000" w:themeColor="text1"/>
        </w:rPr>
        <w:t xml:space="preserve"> group. Median duration of AD was 20 years in both groups [20.0 (15-35) and 20.0 (15-25)]. Duration of AD was self-reported as the elapsed time from the participant's recalled first onset or diagnosis of AD to study enrollment; it did not represent uninterrupted active disease. In adults with a mean age of approximately 30 years, this duration broadly corresponds to onset during childhood or adolescence. However, because onset was recalled retrospectively, measurement error is possible.</w:t>
      </w:r>
      <w:r>
        <w:rPr>
          <w:color w:val="000000" w:themeColor="text1"/>
        </w:rPr>
        <w:t>”</w:t>
      </w:r>
    </w:p>
    <w:p w14:paraId="41E32ABA" w14:textId="156AB802" w:rsidR="006D29D1" w:rsidRDefault="006D29D1" w:rsidP="006D29D1">
      <w:pPr>
        <w:spacing w:after="160" w:line="264" w:lineRule="auto"/>
        <w:ind w:right="216"/>
        <w:jc w:val="both"/>
        <w:rPr>
          <w:bCs/>
        </w:rPr>
      </w:pPr>
      <w:r>
        <w:t xml:space="preserve">We also mentioned this in study limitations, </w:t>
      </w:r>
      <w:r>
        <w:rPr>
          <w:bCs/>
        </w:rPr>
        <w:t>section 4.3, paragraph 8</w:t>
      </w:r>
      <w:r>
        <w:rPr>
          <w:bCs/>
        </w:rPr>
        <w:t>:</w:t>
      </w:r>
      <w:r>
        <w:rPr>
          <w:bCs/>
        </w:rPr>
        <w:t xml:space="preserve"> </w:t>
      </w:r>
    </w:p>
    <w:p w14:paraId="0D0E26A0" w14:textId="77E94AA0" w:rsidR="006D29D1" w:rsidRPr="006D29D1" w:rsidRDefault="006D29D1">
      <w:pPr>
        <w:spacing w:after="120"/>
        <w:jc w:val="both"/>
        <w:rPr>
          <w:rFonts w:eastAsia="Times New Roman" w:cs="Times New Roman"/>
          <w:bCs/>
          <w:color w:val="000000" w:themeColor="text1"/>
        </w:rPr>
      </w:pPr>
      <w:r>
        <w:t>“</w:t>
      </w:r>
      <w:r w:rsidRPr="003F56FE">
        <w:rPr>
          <w:rFonts w:eastAsia="Times New Roman" w:cs="Times New Roman"/>
          <w:bCs/>
          <w:color w:val="000000" w:themeColor="text1"/>
        </w:rPr>
        <w:t>Second, AD duration was self-reported and may be affected by recall bias.</w:t>
      </w:r>
      <w:r>
        <w:rPr>
          <w:rFonts w:eastAsia="Times New Roman" w:cs="Times New Roman"/>
          <w:bCs/>
          <w:color w:val="000000" w:themeColor="text1"/>
        </w:rPr>
        <w:t>”</w:t>
      </w:r>
    </w:p>
    <w:p w14:paraId="35893537" w14:textId="6E31CF65" w:rsidR="00FF7EA7" w:rsidRDefault="00000000">
      <w:pPr>
        <w:spacing w:before="200" w:after="80"/>
      </w:pPr>
      <w:r>
        <w:rPr>
          <w:b/>
          <w:sz w:val="24"/>
        </w:rPr>
        <w:t>1.5. Inconsistency Between Objective and Conclusion</w:t>
      </w:r>
    </w:p>
    <w:p w14:paraId="6BCB5C90" w14:textId="77777777" w:rsidR="00FF7EA7" w:rsidRDefault="00000000">
      <w:pPr>
        <w:spacing w:after="160" w:line="264" w:lineRule="auto"/>
        <w:ind w:left="504" w:right="216"/>
        <w:jc w:val="both"/>
      </w:pPr>
      <w:r>
        <w:rPr>
          <w:i/>
          <w:sz w:val="21"/>
        </w:rPr>
        <w:t>“Data show dexpanthenol significantly reduced TEWL and pH more than petrolatum, but the text occasionally refers to petrolatum’s superiority earlier in the Discussion, creating confusion.”</w:t>
      </w:r>
    </w:p>
    <w:p w14:paraId="73AAFB7E" w14:textId="353FBB30" w:rsidR="00FF7EA7" w:rsidRDefault="00000000">
      <w:pPr>
        <w:spacing w:after="120"/>
        <w:jc w:val="both"/>
      </w:pPr>
      <w:r>
        <w:rPr>
          <w:b/>
        </w:rPr>
        <w:t xml:space="preserve">Response: </w:t>
      </w:r>
      <w:r>
        <w:t xml:space="preserve">We </w:t>
      </w:r>
      <w:r w:rsidR="006D29D1">
        <w:t>apologize for this matter. T</w:t>
      </w:r>
      <w:r>
        <w:t>he wording was misleading and has been re</w:t>
      </w:r>
      <w:r w:rsidR="006D29D1">
        <w:t>vised</w:t>
      </w:r>
      <w:r>
        <w:t>.</w:t>
      </w:r>
    </w:p>
    <w:p w14:paraId="46F2DC0D" w14:textId="7091DA08" w:rsidR="006D29D1" w:rsidRDefault="006D29D1">
      <w:pPr>
        <w:spacing w:after="120"/>
        <w:jc w:val="both"/>
        <w:rPr>
          <w:bCs/>
        </w:rPr>
      </w:pPr>
      <w:r>
        <w:rPr>
          <w:bCs/>
        </w:rPr>
        <w:t xml:space="preserve">We have revised this in section 4.3 Paragraph 6 summarizing the comparable efficacy of </w:t>
      </w:r>
      <w:proofErr w:type="spellStart"/>
      <w:r w:rsidRPr="006D29D1">
        <w:rPr>
          <w:iCs/>
          <w:sz w:val="21"/>
        </w:rPr>
        <w:t>dexpanthenol</w:t>
      </w:r>
      <w:proofErr w:type="spellEnd"/>
      <w:r>
        <w:rPr>
          <w:i/>
          <w:sz w:val="21"/>
        </w:rPr>
        <w:t xml:space="preserve"> </w:t>
      </w:r>
      <w:r>
        <w:rPr>
          <w:iCs/>
          <w:sz w:val="21"/>
        </w:rPr>
        <w:t>and petrolatum</w:t>
      </w:r>
      <w:r>
        <w:rPr>
          <w:bCs/>
        </w:rPr>
        <w:t>:</w:t>
      </w:r>
    </w:p>
    <w:p w14:paraId="70C14076" w14:textId="45F198A9" w:rsidR="00FF7EA7" w:rsidRPr="006D29D1" w:rsidRDefault="006D29D1" w:rsidP="006D29D1">
      <w:pPr>
        <w:jc w:val="both"/>
        <w:rPr>
          <w:color w:val="000000" w:themeColor="text1"/>
          <w:lang w:val="id-ID"/>
        </w:rPr>
      </w:pPr>
      <w:r>
        <w:rPr>
          <w:color w:val="000000" w:themeColor="text1"/>
          <w:lang w:val="id-ID"/>
        </w:rPr>
        <w:t>“</w:t>
      </w:r>
      <w:proofErr w:type="spellStart"/>
      <w:r w:rsidRPr="00C36859">
        <w:rPr>
          <w:color w:val="000000" w:themeColor="text1"/>
          <w:lang w:val="id-ID"/>
        </w:rPr>
        <w:t>Both</w:t>
      </w:r>
      <w:proofErr w:type="spellEnd"/>
      <w:r w:rsidRPr="00C36859">
        <w:rPr>
          <w:color w:val="000000" w:themeColor="text1"/>
          <w:lang w:val="id-ID"/>
        </w:rPr>
        <w:t xml:space="preserve"> 100% petrolatum </w:t>
      </w:r>
      <w:proofErr w:type="spellStart"/>
      <w:r w:rsidRPr="00C36859">
        <w:rPr>
          <w:color w:val="000000" w:themeColor="text1"/>
          <w:lang w:val="id-ID"/>
        </w:rPr>
        <w:t>and</w:t>
      </w:r>
      <w:proofErr w:type="spellEnd"/>
      <w:r w:rsidRPr="00C36859">
        <w:rPr>
          <w:color w:val="000000" w:themeColor="text1"/>
          <w:lang w:val="id-ID"/>
        </w:rPr>
        <w:t xml:space="preserve"> 5% </w:t>
      </w:r>
      <w:proofErr w:type="spellStart"/>
      <w:r w:rsidRPr="00C36859">
        <w:rPr>
          <w:color w:val="000000" w:themeColor="text1"/>
          <w:lang w:val="id-ID"/>
        </w:rPr>
        <w:t>dexpanthenol</w:t>
      </w:r>
      <w:proofErr w:type="spellEnd"/>
      <w:r w:rsidRPr="00C36859">
        <w:rPr>
          <w:color w:val="000000" w:themeColor="text1"/>
          <w:lang w:val="id-ID"/>
        </w:rPr>
        <w:t xml:space="preserve"> </w:t>
      </w:r>
      <w:proofErr w:type="spellStart"/>
      <w:r w:rsidRPr="00C36859">
        <w:rPr>
          <w:color w:val="000000" w:themeColor="text1"/>
          <w:lang w:val="id-ID"/>
        </w:rPr>
        <w:t>significantly</w:t>
      </w:r>
      <w:proofErr w:type="spellEnd"/>
      <w:r w:rsidRPr="00C36859">
        <w:rPr>
          <w:color w:val="000000" w:themeColor="text1"/>
          <w:lang w:val="id-ID"/>
        </w:rPr>
        <w:t xml:space="preserve"> </w:t>
      </w:r>
      <w:proofErr w:type="spellStart"/>
      <w:r w:rsidRPr="00C36859">
        <w:rPr>
          <w:color w:val="000000" w:themeColor="text1"/>
          <w:lang w:val="id-ID"/>
        </w:rPr>
        <w:t>reduced</w:t>
      </w:r>
      <w:proofErr w:type="spellEnd"/>
      <w:r w:rsidRPr="00C36859">
        <w:rPr>
          <w:color w:val="000000" w:themeColor="text1"/>
          <w:lang w:val="id-ID"/>
        </w:rPr>
        <w:t xml:space="preserve"> TEWL </w:t>
      </w:r>
      <w:proofErr w:type="spellStart"/>
      <w:r w:rsidRPr="00C36859">
        <w:rPr>
          <w:color w:val="000000" w:themeColor="text1"/>
          <w:lang w:val="id-ID"/>
        </w:rPr>
        <w:t>and</w:t>
      </w:r>
      <w:proofErr w:type="spellEnd"/>
      <w:r w:rsidRPr="00C36859">
        <w:rPr>
          <w:color w:val="000000" w:themeColor="text1"/>
          <w:lang w:val="id-ID"/>
        </w:rPr>
        <w:t xml:space="preserve"> </w:t>
      </w:r>
      <w:proofErr w:type="spellStart"/>
      <w:r w:rsidRPr="00C36859">
        <w:rPr>
          <w:color w:val="000000" w:themeColor="text1"/>
          <w:lang w:val="id-ID"/>
        </w:rPr>
        <w:t>skin</w:t>
      </w:r>
      <w:proofErr w:type="spellEnd"/>
      <w:r w:rsidRPr="00C36859">
        <w:rPr>
          <w:color w:val="000000" w:themeColor="text1"/>
          <w:lang w:val="id-ID"/>
        </w:rPr>
        <w:t xml:space="preserve"> </w:t>
      </w:r>
      <w:proofErr w:type="spellStart"/>
      <w:r w:rsidRPr="00C36859">
        <w:rPr>
          <w:color w:val="000000" w:themeColor="text1"/>
          <w:lang w:val="id-ID"/>
        </w:rPr>
        <w:t>pH</w:t>
      </w:r>
      <w:proofErr w:type="spellEnd"/>
      <w:r w:rsidRPr="00C36859">
        <w:rPr>
          <w:color w:val="000000" w:themeColor="text1"/>
          <w:lang w:val="id-ID"/>
        </w:rPr>
        <w:t xml:space="preserve"> </w:t>
      </w:r>
      <w:proofErr w:type="spellStart"/>
      <w:r w:rsidRPr="00C36859">
        <w:rPr>
          <w:color w:val="000000" w:themeColor="text1"/>
          <w:lang w:val="id-ID"/>
        </w:rPr>
        <w:t>after</w:t>
      </w:r>
      <w:proofErr w:type="spellEnd"/>
      <w:r w:rsidRPr="00C36859">
        <w:rPr>
          <w:color w:val="000000" w:themeColor="text1"/>
          <w:lang w:val="id-ID"/>
        </w:rPr>
        <w:t xml:space="preserve"> 4 </w:t>
      </w:r>
      <w:proofErr w:type="spellStart"/>
      <w:r w:rsidRPr="00C36859">
        <w:rPr>
          <w:color w:val="000000" w:themeColor="text1"/>
          <w:lang w:val="id-ID"/>
        </w:rPr>
        <w:t>weeks</w:t>
      </w:r>
      <w:proofErr w:type="spellEnd"/>
      <w:r w:rsidRPr="00C36859">
        <w:rPr>
          <w:color w:val="000000" w:themeColor="text1"/>
          <w:lang w:val="id-ID"/>
        </w:rPr>
        <w:t xml:space="preserve">. </w:t>
      </w:r>
      <w:proofErr w:type="spellStart"/>
      <w:r w:rsidRPr="00C36859">
        <w:rPr>
          <w:color w:val="000000" w:themeColor="text1"/>
          <w:lang w:val="id-ID"/>
        </w:rPr>
        <w:t>However</w:t>
      </w:r>
      <w:proofErr w:type="spellEnd"/>
      <w:r w:rsidRPr="00C36859">
        <w:rPr>
          <w:color w:val="000000" w:themeColor="text1"/>
          <w:lang w:val="id-ID"/>
        </w:rPr>
        <w:t xml:space="preserve">, </w:t>
      </w:r>
      <w:proofErr w:type="spellStart"/>
      <w:r w:rsidRPr="00C36859">
        <w:rPr>
          <w:color w:val="000000" w:themeColor="text1"/>
          <w:lang w:val="id-ID"/>
        </w:rPr>
        <w:t>the</w:t>
      </w:r>
      <w:proofErr w:type="spellEnd"/>
      <w:r w:rsidRPr="00C36859">
        <w:rPr>
          <w:color w:val="000000" w:themeColor="text1"/>
          <w:lang w:val="id-ID"/>
        </w:rPr>
        <w:t xml:space="preserve"> </w:t>
      </w:r>
      <w:proofErr w:type="spellStart"/>
      <w:r w:rsidRPr="00C36859">
        <w:rPr>
          <w:color w:val="000000" w:themeColor="text1"/>
          <w:lang w:val="id-ID"/>
        </w:rPr>
        <w:t>decrease</w:t>
      </w:r>
      <w:proofErr w:type="spellEnd"/>
      <w:r w:rsidRPr="00C36859">
        <w:rPr>
          <w:color w:val="000000" w:themeColor="text1"/>
          <w:lang w:val="id-ID"/>
        </w:rPr>
        <w:t xml:space="preserve"> </w:t>
      </w:r>
      <w:proofErr w:type="spellStart"/>
      <w:r w:rsidRPr="00C36859">
        <w:rPr>
          <w:color w:val="000000" w:themeColor="text1"/>
          <w:lang w:val="id-ID"/>
        </w:rPr>
        <w:t>was</w:t>
      </w:r>
      <w:proofErr w:type="spellEnd"/>
      <w:r w:rsidRPr="00C36859">
        <w:rPr>
          <w:color w:val="000000" w:themeColor="text1"/>
          <w:lang w:val="id-ID"/>
        </w:rPr>
        <w:t xml:space="preserve"> </w:t>
      </w:r>
      <w:proofErr w:type="spellStart"/>
      <w:r w:rsidRPr="00C36859">
        <w:rPr>
          <w:color w:val="000000" w:themeColor="text1"/>
          <w:lang w:val="id-ID"/>
        </w:rPr>
        <w:t>greater</w:t>
      </w:r>
      <w:proofErr w:type="spellEnd"/>
      <w:r w:rsidRPr="00C36859">
        <w:rPr>
          <w:color w:val="000000" w:themeColor="text1"/>
          <w:lang w:val="id-ID"/>
        </w:rPr>
        <w:t xml:space="preserve"> </w:t>
      </w:r>
      <w:proofErr w:type="spellStart"/>
      <w:r w:rsidRPr="00C36859">
        <w:rPr>
          <w:color w:val="000000" w:themeColor="text1"/>
          <w:lang w:val="id-ID"/>
        </w:rPr>
        <w:t>with</w:t>
      </w:r>
      <w:proofErr w:type="spellEnd"/>
      <w:r w:rsidRPr="00C36859">
        <w:rPr>
          <w:color w:val="000000" w:themeColor="text1"/>
          <w:lang w:val="id-ID"/>
        </w:rPr>
        <w:t xml:space="preserve"> </w:t>
      </w:r>
      <w:proofErr w:type="spellStart"/>
      <w:r w:rsidRPr="00C36859">
        <w:rPr>
          <w:color w:val="000000" w:themeColor="text1"/>
          <w:lang w:val="id-ID"/>
        </w:rPr>
        <w:t>dexpanthenol</w:t>
      </w:r>
      <w:proofErr w:type="spellEnd"/>
      <w:r w:rsidRPr="00C36859">
        <w:rPr>
          <w:color w:val="000000" w:themeColor="text1"/>
          <w:lang w:val="id-ID"/>
        </w:rPr>
        <w:t xml:space="preserve">. </w:t>
      </w:r>
      <w:proofErr w:type="spellStart"/>
      <w:r w:rsidRPr="00C36859">
        <w:rPr>
          <w:color w:val="000000" w:themeColor="text1"/>
          <w:lang w:val="id-ID"/>
        </w:rPr>
        <w:t>Change</w:t>
      </w:r>
      <w:proofErr w:type="spellEnd"/>
      <w:r w:rsidRPr="00C36859">
        <w:rPr>
          <w:color w:val="000000" w:themeColor="text1"/>
          <w:lang w:val="id-ID"/>
        </w:rPr>
        <w:t xml:space="preserve"> </w:t>
      </w:r>
      <w:proofErr w:type="spellStart"/>
      <w:r w:rsidRPr="00C36859">
        <w:rPr>
          <w:color w:val="000000" w:themeColor="text1"/>
          <w:lang w:val="id-ID"/>
        </w:rPr>
        <w:t>was</w:t>
      </w:r>
      <w:proofErr w:type="spellEnd"/>
      <w:r w:rsidRPr="00C36859">
        <w:rPr>
          <w:color w:val="000000" w:themeColor="text1"/>
          <w:lang w:val="id-ID"/>
        </w:rPr>
        <w:t xml:space="preserve"> </w:t>
      </w:r>
      <w:proofErr w:type="spellStart"/>
      <w:r w:rsidRPr="00C36859">
        <w:rPr>
          <w:color w:val="000000" w:themeColor="text1"/>
          <w:lang w:val="id-ID"/>
        </w:rPr>
        <w:t>defined</w:t>
      </w:r>
      <w:proofErr w:type="spellEnd"/>
      <w:r w:rsidRPr="00C36859">
        <w:rPr>
          <w:color w:val="000000" w:themeColor="text1"/>
          <w:lang w:val="id-ID"/>
        </w:rPr>
        <w:t xml:space="preserve"> as </w:t>
      </w:r>
      <w:proofErr w:type="spellStart"/>
      <w:r w:rsidRPr="00C36859">
        <w:rPr>
          <w:color w:val="000000" w:themeColor="text1"/>
          <w:lang w:val="id-ID"/>
        </w:rPr>
        <w:t>week</w:t>
      </w:r>
      <w:proofErr w:type="spellEnd"/>
      <w:r w:rsidRPr="00C36859">
        <w:rPr>
          <w:color w:val="000000" w:themeColor="text1"/>
          <w:lang w:val="id-ID"/>
        </w:rPr>
        <w:t xml:space="preserve"> 4 minus </w:t>
      </w:r>
      <w:proofErr w:type="spellStart"/>
      <w:r w:rsidRPr="00C36859">
        <w:rPr>
          <w:color w:val="000000" w:themeColor="text1"/>
          <w:lang w:val="id-ID"/>
        </w:rPr>
        <w:t>baseline</w:t>
      </w:r>
      <w:proofErr w:type="spellEnd"/>
      <w:r w:rsidRPr="00C36859">
        <w:rPr>
          <w:color w:val="000000" w:themeColor="text1"/>
          <w:lang w:val="id-ID"/>
        </w:rPr>
        <w:t xml:space="preserve">, </w:t>
      </w:r>
      <w:proofErr w:type="spellStart"/>
      <w:r w:rsidRPr="00C36859">
        <w:rPr>
          <w:color w:val="000000" w:themeColor="text1"/>
          <w:lang w:val="id-ID"/>
        </w:rPr>
        <w:t>therefore</w:t>
      </w:r>
      <w:proofErr w:type="spellEnd"/>
      <w:r w:rsidRPr="00C36859">
        <w:rPr>
          <w:color w:val="000000" w:themeColor="text1"/>
          <w:lang w:val="id-ID"/>
        </w:rPr>
        <w:t xml:space="preserve"> </w:t>
      </w:r>
      <w:proofErr w:type="spellStart"/>
      <w:r w:rsidRPr="00C36859">
        <w:rPr>
          <w:color w:val="000000" w:themeColor="text1"/>
          <w:lang w:val="id-ID"/>
        </w:rPr>
        <w:t>more</w:t>
      </w:r>
      <w:proofErr w:type="spellEnd"/>
      <w:r w:rsidRPr="00C36859">
        <w:rPr>
          <w:color w:val="000000" w:themeColor="text1"/>
          <w:lang w:val="id-ID"/>
        </w:rPr>
        <w:t xml:space="preserve"> </w:t>
      </w:r>
      <w:proofErr w:type="spellStart"/>
      <w:r w:rsidRPr="00C36859">
        <w:rPr>
          <w:color w:val="000000" w:themeColor="text1"/>
          <w:lang w:val="id-ID"/>
        </w:rPr>
        <w:t>negative</w:t>
      </w:r>
      <w:proofErr w:type="spellEnd"/>
      <w:r w:rsidRPr="00C36859">
        <w:rPr>
          <w:color w:val="000000" w:themeColor="text1"/>
          <w:lang w:val="id-ID"/>
        </w:rPr>
        <w:t xml:space="preserve"> </w:t>
      </w:r>
      <w:proofErr w:type="spellStart"/>
      <w:r w:rsidRPr="00C36859">
        <w:rPr>
          <w:color w:val="000000" w:themeColor="text1"/>
          <w:lang w:val="id-ID"/>
        </w:rPr>
        <w:t>mean</w:t>
      </w:r>
      <w:proofErr w:type="spellEnd"/>
      <w:r w:rsidRPr="00C36859">
        <w:rPr>
          <w:color w:val="000000" w:themeColor="text1"/>
          <w:lang w:val="id-ID"/>
        </w:rPr>
        <w:t xml:space="preserve"> </w:t>
      </w:r>
      <w:proofErr w:type="spellStart"/>
      <w:r w:rsidRPr="00C36859">
        <w:rPr>
          <w:color w:val="000000" w:themeColor="text1"/>
          <w:lang w:val="id-ID"/>
        </w:rPr>
        <w:t>change</w:t>
      </w:r>
      <w:proofErr w:type="spellEnd"/>
      <w:r w:rsidRPr="00C36859">
        <w:rPr>
          <w:color w:val="000000" w:themeColor="text1"/>
          <w:lang w:val="id-ID"/>
        </w:rPr>
        <w:t xml:space="preserve"> in TEWL (-7.58 ± 0.37 vs -5.19 ± 0.75 g/m²/h; p&lt;0.001) </w:t>
      </w:r>
      <w:proofErr w:type="spellStart"/>
      <w:r w:rsidRPr="00C36859">
        <w:rPr>
          <w:color w:val="000000" w:themeColor="text1"/>
          <w:lang w:val="id-ID"/>
        </w:rPr>
        <w:t>and</w:t>
      </w:r>
      <w:proofErr w:type="spellEnd"/>
      <w:r w:rsidRPr="00C36859">
        <w:rPr>
          <w:color w:val="000000" w:themeColor="text1"/>
          <w:lang w:val="id-ID"/>
        </w:rPr>
        <w:t xml:space="preserve"> </w:t>
      </w:r>
      <w:proofErr w:type="spellStart"/>
      <w:r w:rsidRPr="00C36859">
        <w:rPr>
          <w:color w:val="000000" w:themeColor="text1"/>
          <w:lang w:val="id-ID"/>
        </w:rPr>
        <w:t>skin</w:t>
      </w:r>
      <w:proofErr w:type="spellEnd"/>
      <w:r w:rsidRPr="00C36859">
        <w:rPr>
          <w:color w:val="000000" w:themeColor="text1"/>
          <w:lang w:val="id-ID"/>
        </w:rPr>
        <w:t xml:space="preserve"> </w:t>
      </w:r>
      <w:proofErr w:type="spellStart"/>
      <w:r w:rsidRPr="00C36859">
        <w:rPr>
          <w:color w:val="000000" w:themeColor="text1"/>
          <w:lang w:val="id-ID"/>
        </w:rPr>
        <w:t>pH</w:t>
      </w:r>
      <w:proofErr w:type="spellEnd"/>
      <w:r w:rsidRPr="00C36859">
        <w:rPr>
          <w:color w:val="000000" w:themeColor="text1"/>
          <w:lang w:val="id-ID"/>
        </w:rPr>
        <w:t xml:space="preserve"> (-0.68 ± 0.08 vs -0.33 ± 0.03; p&lt;0.001) </w:t>
      </w:r>
      <w:proofErr w:type="spellStart"/>
      <w:r w:rsidRPr="00C36859">
        <w:rPr>
          <w:color w:val="000000" w:themeColor="text1"/>
          <w:lang w:val="id-ID"/>
        </w:rPr>
        <w:t>indicates</w:t>
      </w:r>
      <w:proofErr w:type="spellEnd"/>
      <w:r w:rsidRPr="00C36859">
        <w:rPr>
          <w:color w:val="000000" w:themeColor="text1"/>
          <w:lang w:val="id-ID"/>
        </w:rPr>
        <w:t xml:space="preserve"> a </w:t>
      </w:r>
      <w:proofErr w:type="spellStart"/>
      <w:r w:rsidRPr="00C36859">
        <w:rPr>
          <w:color w:val="000000" w:themeColor="text1"/>
          <w:lang w:val="id-ID"/>
        </w:rPr>
        <w:t>greater</w:t>
      </w:r>
      <w:proofErr w:type="spellEnd"/>
      <w:r w:rsidRPr="00C36859">
        <w:rPr>
          <w:color w:val="000000" w:themeColor="text1"/>
          <w:lang w:val="id-ID"/>
        </w:rPr>
        <w:t xml:space="preserve"> </w:t>
      </w:r>
      <w:proofErr w:type="spellStart"/>
      <w:r w:rsidRPr="00C36859">
        <w:rPr>
          <w:color w:val="000000" w:themeColor="text1"/>
          <w:lang w:val="id-ID"/>
        </w:rPr>
        <w:t>reduction</w:t>
      </w:r>
      <w:proofErr w:type="spellEnd"/>
      <w:r w:rsidRPr="00C36859">
        <w:rPr>
          <w:color w:val="000000" w:themeColor="text1"/>
          <w:lang w:val="id-ID"/>
        </w:rPr>
        <w:t xml:space="preserve"> </w:t>
      </w:r>
      <w:proofErr w:type="spellStart"/>
      <w:r w:rsidRPr="00C36859">
        <w:rPr>
          <w:color w:val="000000" w:themeColor="text1"/>
          <w:lang w:val="id-ID"/>
        </w:rPr>
        <w:t>with</w:t>
      </w:r>
      <w:proofErr w:type="spellEnd"/>
      <w:r w:rsidRPr="00C36859">
        <w:rPr>
          <w:color w:val="000000" w:themeColor="text1"/>
          <w:lang w:val="id-ID"/>
        </w:rPr>
        <w:t xml:space="preserve"> </w:t>
      </w:r>
      <w:proofErr w:type="spellStart"/>
      <w:r w:rsidRPr="00C36859">
        <w:rPr>
          <w:color w:val="000000" w:themeColor="text1"/>
          <w:lang w:val="id-ID"/>
        </w:rPr>
        <w:t>dexpanthenol</w:t>
      </w:r>
      <w:proofErr w:type="spellEnd"/>
      <w:r w:rsidRPr="00C36859">
        <w:rPr>
          <w:color w:val="000000" w:themeColor="text1"/>
          <w:lang w:val="id-ID"/>
        </w:rPr>
        <w:t xml:space="preserve"> </w:t>
      </w:r>
      <w:proofErr w:type="spellStart"/>
      <w:r w:rsidRPr="00C36859">
        <w:rPr>
          <w:color w:val="000000" w:themeColor="text1"/>
          <w:lang w:val="id-ID"/>
        </w:rPr>
        <w:t>than</w:t>
      </w:r>
      <w:proofErr w:type="spellEnd"/>
      <w:r w:rsidRPr="00C36859">
        <w:rPr>
          <w:color w:val="000000" w:themeColor="text1"/>
          <w:lang w:val="id-ID"/>
        </w:rPr>
        <w:t xml:space="preserve"> </w:t>
      </w:r>
      <w:proofErr w:type="spellStart"/>
      <w:r w:rsidRPr="00C36859">
        <w:rPr>
          <w:color w:val="000000" w:themeColor="text1"/>
          <w:lang w:val="id-ID"/>
        </w:rPr>
        <w:t>with</w:t>
      </w:r>
      <w:proofErr w:type="spellEnd"/>
      <w:r w:rsidRPr="00C36859">
        <w:rPr>
          <w:color w:val="000000" w:themeColor="text1"/>
          <w:lang w:val="id-ID"/>
        </w:rPr>
        <w:t xml:space="preserve"> petrolatum. </w:t>
      </w:r>
      <w:proofErr w:type="spellStart"/>
      <w:r w:rsidRPr="00C36859">
        <w:rPr>
          <w:color w:val="000000" w:themeColor="text1"/>
          <w:lang w:val="id-ID"/>
        </w:rPr>
        <w:t>Based</w:t>
      </w:r>
      <w:proofErr w:type="spellEnd"/>
      <w:r w:rsidRPr="00C36859">
        <w:rPr>
          <w:color w:val="000000" w:themeColor="text1"/>
          <w:lang w:val="id-ID"/>
        </w:rPr>
        <w:t xml:space="preserve"> </w:t>
      </w:r>
      <w:proofErr w:type="spellStart"/>
      <w:r w:rsidRPr="00C36859">
        <w:rPr>
          <w:color w:val="000000" w:themeColor="text1"/>
          <w:lang w:val="id-ID"/>
        </w:rPr>
        <w:t>on</w:t>
      </w:r>
      <w:proofErr w:type="spellEnd"/>
      <w:r w:rsidRPr="00C36859">
        <w:rPr>
          <w:color w:val="000000" w:themeColor="text1"/>
          <w:lang w:val="id-ID"/>
        </w:rPr>
        <w:t xml:space="preserve"> </w:t>
      </w:r>
      <w:proofErr w:type="spellStart"/>
      <w:r w:rsidRPr="00C36859">
        <w:rPr>
          <w:color w:val="000000" w:themeColor="text1"/>
          <w:lang w:val="id-ID"/>
        </w:rPr>
        <w:t>the</w:t>
      </w:r>
      <w:proofErr w:type="spellEnd"/>
      <w:r w:rsidRPr="00C36859">
        <w:rPr>
          <w:color w:val="000000" w:themeColor="text1"/>
          <w:lang w:val="id-ID"/>
        </w:rPr>
        <w:t xml:space="preserve"> </w:t>
      </w:r>
      <w:proofErr w:type="spellStart"/>
      <w:r w:rsidRPr="00C36859">
        <w:rPr>
          <w:color w:val="000000" w:themeColor="text1"/>
          <w:lang w:val="id-ID"/>
        </w:rPr>
        <w:t>findings</w:t>
      </w:r>
      <w:proofErr w:type="spellEnd"/>
      <w:r w:rsidRPr="00C36859">
        <w:rPr>
          <w:color w:val="000000" w:themeColor="text1"/>
          <w:lang w:val="id-ID"/>
        </w:rPr>
        <w:t xml:space="preserve"> </w:t>
      </w:r>
      <w:proofErr w:type="spellStart"/>
      <w:r w:rsidRPr="00C36859">
        <w:rPr>
          <w:color w:val="000000" w:themeColor="text1"/>
          <w:lang w:val="id-ID"/>
        </w:rPr>
        <w:t>above</w:t>
      </w:r>
      <w:proofErr w:type="spellEnd"/>
      <w:r w:rsidRPr="00C36859">
        <w:rPr>
          <w:color w:val="000000" w:themeColor="text1"/>
          <w:lang w:val="id-ID"/>
        </w:rPr>
        <w:t xml:space="preserve">, </w:t>
      </w:r>
      <w:proofErr w:type="spellStart"/>
      <w:r w:rsidRPr="00C36859">
        <w:rPr>
          <w:color w:val="000000" w:themeColor="text1"/>
          <w:lang w:val="id-ID"/>
        </w:rPr>
        <w:t>administration</w:t>
      </w:r>
      <w:proofErr w:type="spellEnd"/>
      <w:r w:rsidRPr="00C36859">
        <w:rPr>
          <w:color w:val="000000" w:themeColor="text1"/>
          <w:lang w:val="id-ID"/>
        </w:rPr>
        <w:t xml:space="preserve"> </w:t>
      </w:r>
      <w:proofErr w:type="spellStart"/>
      <w:r w:rsidRPr="00C36859">
        <w:rPr>
          <w:color w:val="000000" w:themeColor="text1"/>
          <w:lang w:val="id-ID"/>
        </w:rPr>
        <w:t>of</w:t>
      </w:r>
      <w:proofErr w:type="spellEnd"/>
      <w:r w:rsidRPr="00C36859">
        <w:rPr>
          <w:color w:val="000000" w:themeColor="text1"/>
          <w:lang w:val="id-ID"/>
        </w:rPr>
        <w:t xml:space="preserve"> 5% </w:t>
      </w:r>
      <w:proofErr w:type="spellStart"/>
      <w:r w:rsidRPr="00C36859">
        <w:rPr>
          <w:color w:val="000000" w:themeColor="text1"/>
          <w:lang w:val="id-ID"/>
        </w:rPr>
        <w:t>dexpanthenol</w:t>
      </w:r>
      <w:proofErr w:type="spellEnd"/>
      <w:r w:rsidRPr="00C36859">
        <w:rPr>
          <w:color w:val="000000" w:themeColor="text1"/>
          <w:lang w:val="id-ID"/>
        </w:rPr>
        <w:t xml:space="preserve"> </w:t>
      </w:r>
      <w:proofErr w:type="spellStart"/>
      <w:r w:rsidRPr="00C36859">
        <w:rPr>
          <w:color w:val="000000" w:themeColor="text1"/>
          <w:lang w:val="id-ID"/>
        </w:rPr>
        <w:t>for</w:t>
      </w:r>
      <w:proofErr w:type="spellEnd"/>
      <w:r w:rsidRPr="00C36859">
        <w:rPr>
          <w:color w:val="000000" w:themeColor="text1"/>
          <w:lang w:val="id-ID"/>
        </w:rPr>
        <w:t xml:space="preserve"> 4 </w:t>
      </w:r>
      <w:proofErr w:type="spellStart"/>
      <w:r w:rsidRPr="00C36859">
        <w:rPr>
          <w:color w:val="000000" w:themeColor="text1"/>
          <w:lang w:val="id-ID"/>
        </w:rPr>
        <w:t>weeks</w:t>
      </w:r>
      <w:proofErr w:type="spellEnd"/>
      <w:r w:rsidRPr="00C36859">
        <w:rPr>
          <w:color w:val="000000" w:themeColor="text1"/>
          <w:lang w:val="id-ID"/>
        </w:rPr>
        <w:t xml:space="preserve"> </w:t>
      </w:r>
      <w:proofErr w:type="spellStart"/>
      <w:r w:rsidRPr="00C36859">
        <w:rPr>
          <w:color w:val="000000" w:themeColor="text1"/>
          <w:lang w:val="id-ID"/>
        </w:rPr>
        <w:t>is</w:t>
      </w:r>
      <w:proofErr w:type="spellEnd"/>
      <w:r w:rsidRPr="00C36859">
        <w:rPr>
          <w:color w:val="000000" w:themeColor="text1"/>
          <w:lang w:val="id-ID"/>
        </w:rPr>
        <w:t xml:space="preserve"> superior </w:t>
      </w:r>
      <w:proofErr w:type="spellStart"/>
      <w:r w:rsidRPr="00C36859">
        <w:rPr>
          <w:color w:val="000000" w:themeColor="text1"/>
          <w:lang w:val="id-ID"/>
        </w:rPr>
        <w:t>to</w:t>
      </w:r>
      <w:proofErr w:type="spellEnd"/>
      <w:r w:rsidRPr="00C36859">
        <w:rPr>
          <w:color w:val="000000" w:themeColor="text1"/>
          <w:lang w:val="id-ID"/>
        </w:rPr>
        <w:t xml:space="preserve"> 100% petrolatum in </w:t>
      </w:r>
      <w:proofErr w:type="spellStart"/>
      <w:r w:rsidRPr="00C36859">
        <w:rPr>
          <w:color w:val="000000" w:themeColor="text1"/>
          <w:lang w:val="id-ID"/>
        </w:rPr>
        <w:t>reducing</w:t>
      </w:r>
      <w:proofErr w:type="spellEnd"/>
      <w:r w:rsidRPr="00C36859">
        <w:rPr>
          <w:color w:val="000000" w:themeColor="text1"/>
          <w:lang w:val="id-ID"/>
        </w:rPr>
        <w:t xml:space="preserve"> TEWL </w:t>
      </w:r>
      <w:proofErr w:type="spellStart"/>
      <w:r w:rsidRPr="00C36859">
        <w:rPr>
          <w:color w:val="000000" w:themeColor="text1"/>
          <w:lang w:val="id-ID"/>
        </w:rPr>
        <w:t>and</w:t>
      </w:r>
      <w:proofErr w:type="spellEnd"/>
      <w:r w:rsidRPr="00C36859">
        <w:rPr>
          <w:color w:val="000000" w:themeColor="text1"/>
          <w:lang w:val="id-ID"/>
        </w:rPr>
        <w:t xml:space="preserve"> </w:t>
      </w:r>
      <w:proofErr w:type="spellStart"/>
      <w:r w:rsidRPr="00C36859">
        <w:rPr>
          <w:color w:val="000000" w:themeColor="text1"/>
          <w:lang w:val="id-ID"/>
        </w:rPr>
        <w:t>pH</w:t>
      </w:r>
      <w:proofErr w:type="spellEnd"/>
      <w:r w:rsidRPr="00C36859">
        <w:rPr>
          <w:color w:val="000000" w:themeColor="text1"/>
          <w:lang w:val="id-ID"/>
        </w:rPr>
        <w:t>.</w:t>
      </w:r>
      <w:r>
        <w:rPr>
          <w:color w:val="000000" w:themeColor="text1"/>
          <w:lang w:val="id-ID"/>
        </w:rPr>
        <w:t>”</w:t>
      </w:r>
    </w:p>
    <w:p w14:paraId="5EFA3806" w14:textId="07EE4232" w:rsidR="006D29D1" w:rsidRDefault="006D29D1" w:rsidP="006D29D1">
      <w:pPr>
        <w:spacing w:before="200" w:after="80"/>
      </w:pPr>
      <w:r>
        <w:rPr>
          <w:b/>
          <w:sz w:val="24"/>
        </w:rPr>
        <w:t>1.</w:t>
      </w:r>
      <w:r>
        <w:rPr>
          <w:b/>
          <w:sz w:val="24"/>
        </w:rPr>
        <w:t>6</w:t>
      </w:r>
      <w:r>
        <w:rPr>
          <w:b/>
          <w:sz w:val="24"/>
        </w:rPr>
        <w:t xml:space="preserve">. </w:t>
      </w:r>
      <w:r>
        <w:rPr>
          <w:b/>
          <w:sz w:val="24"/>
        </w:rPr>
        <w:t>Missing Sample Size Calculation</w:t>
      </w:r>
    </w:p>
    <w:p w14:paraId="404419E4" w14:textId="52F32F12" w:rsidR="006D29D1" w:rsidRPr="00B643F7" w:rsidRDefault="006D29D1" w:rsidP="00B643F7">
      <w:pPr>
        <w:spacing w:after="160" w:line="264" w:lineRule="auto"/>
        <w:ind w:left="504" w:right="216"/>
        <w:jc w:val="both"/>
        <w:rPr>
          <w:i/>
          <w:sz w:val="21"/>
        </w:rPr>
      </w:pPr>
      <w:r>
        <w:rPr>
          <w:i/>
          <w:sz w:val="21"/>
        </w:rPr>
        <w:t>“</w:t>
      </w:r>
      <w:r w:rsidR="00B643F7" w:rsidRPr="00B643F7">
        <w:rPr>
          <w:i/>
          <w:sz w:val="21"/>
        </w:rPr>
        <w:t>No justification of sample size or power analysis</w:t>
      </w:r>
      <w:r>
        <w:rPr>
          <w:i/>
          <w:sz w:val="21"/>
        </w:rPr>
        <w:t>”</w:t>
      </w:r>
    </w:p>
    <w:p w14:paraId="0FA22642" w14:textId="4F17BDDD" w:rsidR="006D29D1" w:rsidRDefault="006D29D1" w:rsidP="006D29D1">
      <w:pPr>
        <w:spacing w:after="120"/>
        <w:jc w:val="both"/>
      </w:pPr>
      <w:r>
        <w:rPr>
          <w:b/>
        </w:rPr>
        <w:t xml:space="preserve">Response: </w:t>
      </w:r>
      <w:r>
        <w:t>We apologize for this matter.</w:t>
      </w:r>
      <w:r w:rsidR="00B643F7">
        <w:t xml:space="preserve"> The justification of sample size is now added. </w:t>
      </w:r>
    </w:p>
    <w:p w14:paraId="73677BC6" w14:textId="19DD3BA2" w:rsidR="00B643F7" w:rsidRDefault="00B643F7" w:rsidP="006D29D1">
      <w:pPr>
        <w:spacing w:after="120"/>
        <w:jc w:val="both"/>
      </w:pPr>
      <w:r>
        <w:t xml:space="preserve">We revised this in section 2, Paragraph 2: </w:t>
      </w:r>
    </w:p>
    <w:p w14:paraId="2922FAFA" w14:textId="20DB7F16" w:rsidR="00B643F7" w:rsidRDefault="00B643F7" w:rsidP="00B643F7">
      <w:pPr>
        <w:pBdr>
          <w:top w:val="nil"/>
          <w:left w:val="nil"/>
          <w:bottom w:val="nil"/>
          <w:right w:val="nil"/>
          <w:between w:val="nil"/>
        </w:pBdr>
        <w:jc w:val="both"/>
        <w:rPr>
          <w:color w:val="000000"/>
        </w:rPr>
      </w:pPr>
      <w:r>
        <w:rPr>
          <w:color w:val="000000"/>
        </w:rPr>
        <w:t>“</w:t>
      </w:r>
      <w:r>
        <w:rPr>
          <w:color w:val="000000"/>
        </w:rPr>
        <w:t>S</w:t>
      </w:r>
      <w:r w:rsidRPr="00E04800">
        <w:rPr>
          <w:color w:val="000000"/>
        </w:rPr>
        <w:t>ample size was calculated using the formula for hypothesis testing regarding the difference in means between two populations in a parallel-group, pre- and post-test design. We referred to a previous study by Stettler et al., and based on the calculation, the minimum sample size required for each group was 10 participants, resulting in a total minimum sample size of 20 participants.</w:t>
      </w:r>
      <w:r>
        <w:rPr>
          <w:color w:val="000000"/>
        </w:rPr>
        <w:t>”</w:t>
      </w:r>
    </w:p>
    <w:p w14:paraId="1C625324" w14:textId="77777777" w:rsidR="00B643F7" w:rsidRDefault="00B643F7" w:rsidP="006D29D1">
      <w:pPr>
        <w:spacing w:after="120"/>
        <w:jc w:val="both"/>
      </w:pPr>
    </w:p>
    <w:p w14:paraId="5AD3EBA5" w14:textId="5A6E1CCD" w:rsidR="006D29D1" w:rsidRDefault="006D29D1" w:rsidP="006D29D1">
      <w:pPr>
        <w:spacing w:before="200" w:after="80"/>
      </w:pPr>
      <w:r>
        <w:rPr>
          <w:b/>
          <w:sz w:val="24"/>
        </w:rPr>
        <w:t>1.</w:t>
      </w:r>
      <w:r w:rsidR="00B643F7">
        <w:rPr>
          <w:b/>
          <w:sz w:val="24"/>
        </w:rPr>
        <w:t>7</w:t>
      </w:r>
      <w:r>
        <w:rPr>
          <w:b/>
          <w:sz w:val="24"/>
        </w:rPr>
        <w:t xml:space="preserve">. </w:t>
      </w:r>
      <w:r w:rsidR="00B643F7">
        <w:rPr>
          <w:b/>
          <w:sz w:val="24"/>
        </w:rPr>
        <w:t>Outcome Measurement Bias</w:t>
      </w:r>
    </w:p>
    <w:p w14:paraId="0F040BF6" w14:textId="05B2784D" w:rsidR="006D29D1" w:rsidRPr="00B643F7" w:rsidRDefault="006D29D1" w:rsidP="00B643F7">
      <w:pPr>
        <w:spacing w:after="160" w:line="264" w:lineRule="auto"/>
        <w:ind w:left="504" w:right="216"/>
        <w:jc w:val="both"/>
        <w:rPr>
          <w:i/>
          <w:sz w:val="21"/>
        </w:rPr>
      </w:pPr>
      <w:r w:rsidRPr="00B643F7">
        <w:rPr>
          <w:i/>
          <w:sz w:val="21"/>
        </w:rPr>
        <w:t>“</w:t>
      </w:r>
      <w:r w:rsidR="00B643F7" w:rsidRPr="00B643F7">
        <w:rPr>
          <w:rFonts w:cs="Times New Roman"/>
          <w:i/>
          <w:color w:val="111111"/>
          <w:sz w:val="21"/>
          <w:szCs w:val="21"/>
          <w:shd w:val="clear" w:color="auto" w:fill="FFFFFF"/>
        </w:rPr>
        <w:t>Only forearm is used—yet AD flare areas vary widely.</w:t>
      </w:r>
      <w:r w:rsidR="00B643F7" w:rsidRPr="00B643F7">
        <w:rPr>
          <w:rFonts w:cs="Times New Roman"/>
          <w:i/>
          <w:color w:val="111111"/>
          <w:sz w:val="21"/>
          <w:szCs w:val="21"/>
        </w:rPr>
        <w:t xml:space="preserve"> </w:t>
      </w:r>
      <w:r w:rsidR="00B643F7" w:rsidRPr="00B643F7">
        <w:rPr>
          <w:rFonts w:cs="Times New Roman"/>
          <w:i/>
          <w:color w:val="111111"/>
          <w:sz w:val="21"/>
          <w:szCs w:val="21"/>
          <w:shd w:val="clear" w:color="auto" w:fill="FFFFFF"/>
        </w:rPr>
        <w:t>Should discuss representativeness.</w:t>
      </w:r>
      <w:r>
        <w:rPr>
          <w:i/>
          <w:sz w:val="21"/>
        </w:rPr>
        <w:t>”</w:t>
      </w:r>
    </w:p>
    <w:p w14:paraId="3E91BFF2" w14:textId="3C9260BD" w:rsidR="006D29D1" w:rsidRPr="0068518B" w:rsidRDefault="006D29D1" w:rsidP="0068518B">
      <w:pPr>
        <w:spacing w:after="120"/>
        <w:jc w:val="both"/>
        <w:rPr>
          <w:rFonts w:cs="Times New Roman"/>
        </w:rPr>
      </w:pPr>
      <w:r>
        <w:rPr>
          <w:b/>
        </w:rPr>
        <w:t xml:space="preserve">Response: </w:t>
      </w:r>
      <w:r w:rsidR="00B643F7">
        <w:t xml:space="preserve">Forearm is used </w:t>
      </w:r>
      <w:r w:rsidR="0068518B">
        <w:t xml:space="preserve">as representative measurement area as it </w:t>
      </w:r>
      <w:r w:rsidR="0068518B" w:rsidRPr="0068518B">
        <w:rPr>
          <w:rFonts w:cs="Times New Roman"/>
          <w:color w:val="212121"/>
          <w:shd w:val="clear" w:color="auto" w:fill="FFFFFF"/>
        </w:rPr>
        <w:t>is representative of the face for measuring skin hydration and biomechanical properties, and relevant for the assessment of the efficacy of cosmetic products</w:t>
      </w:r>
      <w:r w:rsidR="0068518B">
        <w:rPr>
          <w:rFonts w:cs="Times New Roman"/>
          <w:color w:val="212121"/>
          <w:shd w:val="clear" w:color="auto" w:fill="FFFFFF"/>
        </w:rPr>
        <w:t>.</w:t>
      </w:r>
    </w:p>
    <w:p w14:paraId="586044ED" w14:textId="4D53DDDB" w:rsidR="00FF7EA7" w:rsidRDefault="00000000">
      <w:pPr>
        <w:spacing w:before="200" w:after="80"/>
      </w:pPr>
      <w:r>
        <w:rPr>
          <w:b/>
          <w:sz w:val="24"/>
        </w:rPr>
        <w:t>1.8. Complaint Assessment Is Unbalanced</w:t>
      </w:r>
    </w:p>
    <w:p w14:paraId="00413023" w14:textId="77777777" w:rsidR="00FF7EA7" w:rsidRDefault="00000000">
      <w:pPr>
        <w:spacing w:after="160" w:line="264" w:lineRule="auto"/>
        <w:ind w:left="504" w:right="216"/>
        <w:jc w:val="both"/>
      </w:pPr>
      <w:r>
        <w:rPr>
          <w:i/>
          <w:sz w:val="21"/>
        </w:rPr>
        <w:t>“Complaint outcome is binary (0% vs 100% difference). No validated tool or scale used. High risk of detection bias because petrolatum is known to feel sticky.”</w:t>
      </w:r>
    </w:p>
    <w:p w14:paraId="67C21578" w14:textId="77777777" w:rsidR="0068518B" w:rsidRDefault="00000000">
      <w:pPr>
        <w:spacing w:after="120"/>
        <w:jc w:val="both"/>
      </w:pPr>
      <w:r>
        <w:rPr>
          <w:b/>
        </w:rPr>
        <w:t xml:space="preserve">Response: </w:t>
      </w:r>
      <w:r>
        <w:t xml:space="preserve">The application-related complaint assessment was a binary, self-reported, non-validated measure and cannot support a definitive conclusion regarding comparative tolerability, adherence, or patient preference. </w:t>
      </w:r>
      <w:r w:rsidR="0068518B">
        <w:t>A</w:t>
      </w:r>
      <w:r>
        <w:t xml:space="preserve">lthough the trial was designed as double-blind, the recognizable sticky and greasy characteristics of petrolatum could have allowed participants to infer their allocation, creating a high risk of reporting or detection bias for this subjective outcome. </w:t>
      </w:r>
    </w:p>
    <w:p w14:paraId="7050A452" w14:textId="3CADAB56" w:rsidR="0068518B" w:rsidRDefault="0068518B">
      <w:pPr>
        <w:spacing w:after="120"/>
        <w:jc w:val="both"/>
      </w:pPr>
      <w:r>
        <w:t>We acknowledged and revised this matter as limitation of this study in section 4.3 paragraph 8:</w:t>
      </w:r>
    </w:p>
    <w:p w14:paraId="605AA641" w14:textId="59953AD9" w:rsidR="0068518B" w:rsidRDefault="0068518B">
      <w:pPr>
        <w:spacing w:after="120"/>
        <w:jc w:val="both"/>
      </w:pPr>
      <w:r>
        <w:t>“…</w:t>
      </w:r>
      <w:r w:rsidRPr="003F56FE">
        <w:rPr>
          <w:rFonts w:eastAsia="Times New Roman" w:cs="Times New Roman"/>
          <w:bCs/>
          <w:color w:val="000000" w:themeColor="text1"/>
        </w:rPr>
        <w:t>Third, application-related complaints were assessed using a non-validated self-report. Petrolatum has recognizable sticky and greasy nature, therefore participant blinding may have been compromised for this subjective outcome, creating a high risk of reporting or detection bias. These complaint data should therefore be regarded as exploratory and do not establish superior adherence or tolerability.</w:t>
      </w:r>
      <w:r>
        <w:rPr>
          <w:rFonts w:eastAsia="Times New Roman" w:cs="Times New Roman"/>
          <w:bCs/>
          <w:color w:val="000000" w:themeColor="text1"/>
        </w:rPr>
        <w:t>”</w:t>
      </w:r>
    </w:p>
    <w:p w14:paraId="085C2912" w14:textId="27B944D6" w:rsidR="00152BD4" w:rsidRPr="00152BD4" w:rsidRDefault="00152BD4" w:rsidP="00152BD4">
      <w:pPr>
        <w:rPr>
          <w:rFonts w:cs="Times New Roman"/>
          <w:b/>
          <w:bCs/>
          <w:color w:val="111111"/>
          <w:sz w:val="24"/>
          <w:szCs w:val="24"/>
          <w:shd w:val="clear" w:color="auto" w:fill="FFFFFF"/>
        </w:rPr>
      </w:pPr>
      <w:r w:rsidRPr="00152BD4">
        <w:rPr>
          <w:rFonts w:cs="Times New Roman"/>
          <w:b/>
          <w:bCs/>
          <w:color w:val="111111"/>
          <w:sz w:val="24"/>
          <w:szCs w:val="24"/>
          <w:shd w:val="clear" w:color="auto" w:fill="FFFFFF"/>
        </w:rPr>
        <w:t>TYPOGRAPHICAL &amp; FORMATTING ERRORS</w:t>
      </w:r>
    </w:p>
    <w:p w14:paraId="1A7978F9" w14:textId="61A60E3E" w:rsidR="00152BD4" w:rsidRDefault="00152BD4" w:rsidP="00152BD4">
      <w:pPr>
        <w:rPr>
          <w:rFonts w:cs="Times New Roman"/>
          <w:color w:val="111111"/>
          <w:sz w:val="24"/>
          <w:szCs w:val="24"/>
          <w:shd w:val="clear" w:color="auto" w:fill="FFFFFF"/>
        </w:rPr>
      </w:pPr>
      <w:r w:rsidRPr="00152BD4">
        <w:rPr>
          <w:rFonts w:cs="Times New Roman"/>
          <w:b/>
          <w:bCs/>
          <w:color w:val="111111"/>
          <w:sz w:val="24"/>
          <w:szCs w:val="24"/>
          <w:shd w:val="clear" w:color="auto" w:fill="FFFFFF"/>
        </w:rPr>
        <w:t>2.1. Repeated spacing / punctuation issues</w:t>
      </w:r>
    </w:p>
    <w:p w14:paraId="52FF70B3" w14:textId="77777777" w:rsidR="00152BD4" w:rsidRPr="00152BD4" w:rsidRDefault="00152BD4" w:rsidP="00152BD4">
      <w:pPr>
        <w:pStyle w:val="ListParagraph"/>
        <w:numPr>
          <w:ilvl w:val="0"/>
          <w:numId w:val="10"/>
        </w:numPr>
        <w:rPr>
          <w:rFonts w:cs="Times New Roman"/>
          <w:b/>
          <w:bCs/>
          <w:color w:val="111111"/>
          <w:sz w:val="24"/>
          <w:szCs w:val="24"/>
          <w:shd w:val="clear" w:color="auto" w:fill="FFFFFF"/>
        </w:rPr>
      </w:pPr>
      <w:r w:rsidRPr="00152BD4">
        <w:rPr>
          <w:rFonts w:cs="Times New Roman"/>
          <w:color w:val="111111"/>
          <w:sz w:val="24"/>
          <w:szCs w:val="24"/>
          <w:shd w:val="clear" w:color="auto" w:fill="FFFFFF"/>
        </w:rPr>
        <w:t>“pH values were” → extra invisible character.</w:t>
      </w:r>
    </w:p>
    <w:p w14:paraId="2C525298" w14:textId="77777777" w:rsidR="00152BD4" w:rsidRPr="00152BD4" w:rsidRDefault="00152BD4" w:rsidP="00152BD4">
      <w:pPr>
        <w:pStyle w:val="ListParagraph"/>
        <w:numPr>
          <w:ilvl w:val="0"/>
          <w:numId w:val="10"/>
        </w:numPr>
        <w:rPr>
          <w:rFonts w:cs="Times New Roman"/>
          <w:b/>
          <w:bCs/>
          <w:color w:val="111111"/>
          <w:sz w:val="24"/>
          <w:szCs w:val="24"/>
          <w:shd w:val="clear" w:color="auto" w:fill="FFFFFF"/>
        </w:rPr>
      </w:pPr>
      <w:r w:rsidRPr="00152BD4">
        <w:rPr>
          <w:rFonts w:cs="Times New Roman"/>
          <w:color w:val="111111"/>
          <w:sz w:val="24"/>
          <w:szCs w:val="24"/>
          <w:shd w:val="clear" w:color="auto" w:fill="FFFFFF"/>
        </w:rPr>
        <w:t>“</w:t>
      </w:r>
      <w:proofErr w:type="gramStart"/>
      <w:r w:rsidRPr="00152BD4">
        <w:rPr>
          <w:rFonts w:cs="Times New Roman"/>
          <w:color w:val="111111"/>
          <w:sz w:val="24"/>
          <w:szCs w:val="24"/>
          <w:shd w:val="clear" w:color="auto" w:fill="FFFFFF"/>
        </w:rPr>
        <w:t>parallel</w:t>
      </w:r>
      <w:proofErr w:type="gramEnd"/>
      <w:r w:rsidRPr="00152BD4">
        <w:rPr>
          <w:rFonts w:cs="Times New Roman"/>
          <w:color w:val="111111"/>
          <w:sz w:val="24"/>
          <w:szCs w:val="24"/>
          <w:shd w:val="clear" w:color="auto" w:fill="FFFFFF"/>
        </w:rPr>
        <w:t xml:space="preserve"> group, pre and post-test treatment” → missing hyphens: pre- and post-test</w:t>
      </w:r>
    </w:p>
    <w:p w14:paraId="04B3CA9C" w14:textId="77777777" w:rsidR="00152BD4" w:rsidRPr="00152BD4" w:rsidRDefault="00152BD4" w:rsidP="00152BD4">
      <w:pPr>
        <w:pStyle w:val="ListParagraph"/>
        <w:numPr>
          <w:ilvl w:val="0"/>
          <w:numId w:val="10"/>
        </w:numPr>
        <w:rPr>
          <w:rFonts w:cs="Times New Roman"/>
          <w:b/>
          <w:bCs/>
          <w:color w:val="111111"/>
          <w:sz w:val="24"/>
          <w:szCs w:val="24"/>
          <w:shd w:val="clear" w:color="auto" w:fill="FFFFFF"/>
        </w:rPr>
      </w:pPr>
      <w:r w:rsidRPr="00152BD4">
        <w:rPr>
          <w:rFonts w:cs="Times New Roman"/>
          <w:color w:val="111111"/>
          <w:sz w:val="24"/>
          <w:szCs w:val="24"/>
          <w:shd w:val="clear" w:color="auto" w:fill="FFFFFF"/>
        </w:rPr>
        <w:t>Numerous double spaces and inconsistent indentations.</w:t>
      </w:r>
    </w:p>
    <w:p w14:paraId="7676F5B4" w14:textId="40BF64B1" w:rsidR="00152BD4" w:rsidRPr="00152BD4" w:rsidRDefault="00152BD4" w:rsidP="00152BD4">
      <w:pPr>
        <w:rPr>
          <w:rFonts w:cs="Times New Roman"/>
          <w:color w:val="111111"/>
          <w:sz w:val="24"/>
          <w:szCs w:val="24"/>
          <w:shd w:val="clear" w:color="auto" w:fill="FFFFFF"/>
        </w:rPr>
      </w:pPr>
      <w:r w:rsidRPr="00152BD4">
        <w:rPr>
          <w:rFonts w:cs="Times New Roman"/>
          <w:b/>
          <w:bCs/>
          <w:color w:val="111111"/>
          <w:sz w:val="24"/>
          <w:szCs w:val="24"/>
          <w:shd w:val="clear" w:color="auto" w:fill="FFFFFF"/>
        </w:rPr>
        <w:t>Response</w:t>
      </w:r>
      <w:r>
        <w:rPr>
          <w:rFonts w:cs="Times New Roman"/>
          <w:color w:val="111111"/>
          <w:sz w:val="24"/>
          <w:szCs w:val="24"/>
          <w:shd w:val="clear" w:color="auto" w:fill="FFFFFF"/>
        </w:rPr>
        <w:t>: We apologize for this matter. We have revised the errors above.</w:t>
      </w:r>
    </w:p>
    <w:p w14:paraId="69B59245" w14:textId="00707CF8" w:rsidR="00152BD4" w:rsidRPr="00152BD4" w:rsidRDefault="00152BD4" w:rsidP="00152BD4">
      <w:pPr>
        <w:rPr>
          <w:rFonts w:cs="Times New Roman"/>
          <w:b/>
          <w:bCs/>
          <w:color w:val="111111"/>
          <w:sz w:val="24"/>
          <w:szCs w:val="24"/>
          <w:shd w:val="clear" w:color="auto" w:fill="FFFFFF"/>
        </w:rPr>
      </w:pPr>
      <w:r w:rsidRPr="00152BD4">
        <w:rPr>
          <w:rFonts w:cs="Times New Roman"/>
          <w:b/>
          <w:bCs/>
          <w:color w:val="111111"/>
          <w:sz w:val="24"/>
          <w:szCs w:val="24"/>
          <w:shd w:val="clear" w:color="auto" w:fill="FFFFFF"/>
        </w:rPr>
        <w:t>2.2. Incorrect Use of Superscripts / Units</w:t>
      </w:r>
    </w:p>
    <w:p w14:paraId="4A882CF2" w14:textId="77777777" w:rsidR="00152BD4" w:rsidRDefault="00152BD4" w:rsidP="00152BD4">
      <w:pPr>
        <w:pStyle w:val="ListParagraph"/>
        <w:numPr>
          <w:ilvl w:val="0"/>
          <w:numId w:val="12"/>
        </w:numPr>
        <w:rPr>
          <w:rFonts w:cs="Times New Roman"/>
          <w:color w:val="111111"/>
          <w:sz w:val="24"/>
          <w:szCs w:val="24"/>
        </w:rPr>
      </w:pPr>
      <w:r w:rsidRPr="00152BD4">
        <w:rPr>
          <w:rFonts w:cs="Times New Roman"/>
          <w:color w:val="111111"/>
          <w:sz w:val="24"/>
          <w:szCs w:val="24"/>
          <w:shd w:val="clear" w:color="auto" w:fill="FFFFFF"/>
        </w:rPr>
        <w:t xml:space="preserve">TEWL unit sometimes written incorrectly as “g/hour/m2”, should </w:t>
      </w:r>
      <w:proofErr w:type="spellStart"/>
      <w:proofErr w:type="gramStart"/>
      <w:r w:rsidRPr="00152BD4">
        <w:rPr>
          <w:rFonts w:cs="Times New Roman"/>
          <w:color w:val="111111"/>
          <w:sz w:val="24"/>
          <w:szCs w:val="24"/>
          <w:shd w:val="clear" w:color="auto" w:fill="FFFFFF"/>
        </w:rPr>
        <w:t>be:g</w:t>
      </w:r>
      <w:proofErr w:type="spellEnd"/>
      <w:proofErr w:type="gramEnd"/>
      <w:r w:rsidRPr="00152BD4">
        <w:rPr>
          <w:rFonts w:cs="Times New Roman"/>
          <w:color w:val="111111"/>
          <w:sz w:val="24"/>
          <w:szCs w:val="24"/>
          <w:shd w:val="clear" w:color="auto" w:fill="FFFFFF"/>
        </w:rPr>
        <w:t>/h/m² (consistent dermatology standard).</w:t>
      </w:r>
    </w:p>
    <w:p w14:paraId="7805F1B7" w14:textId="65312AFC" w:rsidR="00152BD4" w:rsidRPr="00152BD4" w:rsidRDefault="00152BD4" w:rsidP="00152BD4">
      <w:pPr>
        <w:pStyle w:val="ListParagraph"/>
        <w:numPr>
          <w:ilvl w:val="0"/>
          <w:numId w:val="12"/>
        </w:numPr>
        <w:rPr>
          <w:rFonts w:cs="Times New Roman"/>
          <w:color w:val="111111"/>
          <w:sz w:val="24"/>
          <w:szCs w:val="24"/>
        </w:rPr>
      </w:pPr>
      <w:r w:rsidRPr="00152BD4">
        <w:rPr>
          <w:rFonts w:cs="Times New Roman"/>
          <w:color w:val="111111"/>
          <w:sz w:val="24"/>
          <w:szCs w:val="24"/>
          <w:shd w:val="clear" w:color="auto" w:fill="FFFFFF"/>
        </w:rPr>
        <w:t>Percentages written inconsistently: “(38.5%)” vs “38.5%”.</w:t>
      </w:r>
    </w:p>
    <w:p w14:paraId="1716F2F1" w14:textId="77777777" w:rsidR="00152BD4" w:rsidRPr="00152BD4" w:rsidRDefault="00152BD4" w:rsidP="00152BD4">
      <w:pPr>
        <w:rPr>
          <w:rFonts w:cs="Times New Roman"/>
          <w:color w:val="111111"/>
          <w:sz w:val="24"/>
          <w:szCs w:val="24"/>
          <w:shd w:val="clear" w:color="auto" w:fill="FFFFFF"/>
        </w:rPr>
      </w:pPr>
      <w:r w:rsidRPr="00152BD4">
        <w:rPr>
          <w:rFonts w:cs="Times New Roman"/>
          <w:b/>
          <w:bCs/>
          <w:color w:val="111111"/>
          <w:sz w:val="24"/>
          <w:szCs w:val="24"/>
          <w:shd w:val="clear" w:color="auto" w:fill="FFFFFF"/>
        </w:rPr>
        <w:t>Response</w:t>
      </w:r>
      <w:r>
        <w:rPr>
          <w:rFonts w:cs="Times New Roman"/>
          <w:color w:val="111111"/>
          <w:sz w:val="24"/>
          <w:szCs w:val="24"/>
          <w:shd w:val="clear" w:color="auto" w:fill="FFFFFF"/>
        </w:rPr>
        <w:t>: We apologize for this matter. We have revised the errors above.</w:t>
      </w:r>
    </w:p>
    <w:p w14:paraId="75B957E6" w14:textId="0FDEF912" w:rsidR="00152BD4" w:rsidRPr="00152BD4" w:rsidRDefault="00152BD4" w:rsidP="00152BD4">
      <w:pPr>
        <w:rPr>
          <w:rFonts w:cs="Times New Roman"/>
          <w:b/>
          <w:bCs/>
          <w:color w:val="111111"/>
          <w:sz w:val="24"/>
          <w:szCs w:val="24"/>
          <w:shd w:val="clear" w:color="auto" w:fill="FFFFFF"/>
        </w:rPr>
      </w:pPr>
      <w:r w:rsidRPr="00152BD4">
        <w:rPr>
          <w:rFonts w:cs="Times New Roman"/>
          <w:color w:val="111111"/>
          <w:sz w:val="24"/>
          <w:szCs w:val="24"/>
        </w:rPr>
        <w:br/>
      </w:r>
      <w:r w:rsidRPr="00152BD4">
        <w:rPr>
          <w:rFonts w:cs="Times New Roman"/>
          <w:b/>
          <w:bCs/>
          <w:color w:val="111111"/>
          <w:sz w:val="24"/>
          <w:szCs w:val="24"/>
          <w:shd w:val="clear" w:color="auto" w:fill="FFFFFF"/>
        </w:rPr>
        <w:t>2.3. Grammar Errors</w:t>
      </w:r>
    </w:p>
    <w:p w14:paraId="58284D71" w14:textId="77777777" w:rsidR="00152BD4" w:rsidRPr="00152BD4" w:rsidRDefault="00152BD4" w:rsidP="00152BD4">
      <w:pPr>
        <w:pStyle w:val="ListParagraph"/>
        <w:numPr>
          <w:ilvl w:val="0"/>
          <w:numId w:val="11"/>
        </w:numPr>
        <w:rPr>
          <w:rFonts w:cs="Times New Roman"/>
          <w:color w:val="111111"/>
          <w:sz w:val="24"/>
          <w:szCs w:val="24"/>
          <w:shd w:val="clear" w:color="auto" w:fill="FFFFFF"/>
        </w:rPr>
      </w:pPr>
      <w:r w:rsidRPr="00152BD4">
        <w:rPr>
          <w:rFonts w:cs="Times New Roman"/>
          <w:color w:val="111111"/>
          <w:sz w:val="24"/>
          <w:szCs w:val="24"/>
          <w:shd w:val="clear" w:color="auto" w:fill="FFFFFF"/>
        </w:rPr>
        <w:t>“</w:t>
      </w:r>
      <w:proofErr w:type="gramStart"/>
      <w:r w:rsidRPr="00152BD4">
        <w:rPr>
          <w:rFonts w:cs="Times New Roman"/>
          <w:color w:val="111111"/>
          <w:sz w:val="24"/>
          <w:szCs w:val="24"/>
          <w:shd w:val="clear" w:color="auto" w:fill="FFFFFF"/>
        </w:rPr>
        <w:t>complaints</w:t>
      </w:r>
      <w:proofErr w:type="gramEnd"/>
      <w:r w:rsidRPr="00152BD4">
        <w:rPr>
          <w:rFonts w:cs="Times New Roman"/>
          <w:color w:val="111111"/>
          <w:sz w:val="24"/>
          <w:szCs w:val="24"/>
          <w:shd w:val="clear" w:color="auto" w:fill="FFFFFF"/>
        </w:rPr>
        <w:t xml:space="preserve"> of sticky and greasy” → complaints of stickiness and greasiness</w:t>
      </w:r>
    </w:p>
    <w:p w14:paraId="5D076FFC" w14:textId="7F5E1A6A" w:rsidR="00152BD4" w:rsidRPr="00152BD4" w:rsidRDefault="00152BD4" w:rsidP="00152BD4">
      <w:pPr>
        <w:pStyle w:val="ListParagraph"/>
        <w:numPr>
          <w:ilvl w:val="0"/>
          <w:numId w:val="11"/>
        </w:numPr>
        <w:rPr>
          <w:rFonts w:cs="Times New Roman"/>
          <w:color w:val="111111"/>
          <w:sz w:val="24"/>
          <w:szCs w:val="24"/>
          <w:shd w:val="clear" w:color="auto" w:fill="FFFFFF"/>
        </w:rPr>
      </w:pPr>
      <w:r w:rsidRPr="00152BD4">
        <w:rPr>
          <w:rFonts w:cs="Times New Roman"/>
          <w:color w:val="111111"/>
          <w:sz w:val="24"/>
          <w:szCs w:val="24"/>
          <w:shd w:val="clear" w:color="auto" w:fill="FFFFFF"/>
        </w:rPr>
        <w:t>“</w:t>
      </w:r>
      <w:proofErr w:type="gramStart"/>
      <w:r w:rsidRPr="00152BD4">
        <w:rPr>
          <w:rFonts w:cs="Times New Roman"/>
          <w:color w:val="111111"/>
          <w:sz w:val="24"/>
          <w:szCs w:val="24"/>
          <w:shd w:val="clear" w:color="auto" w:fill="FFFFFF"/>
        </w:rPr>
        <w:t>was</w:t>
      </w:r>
      <w:proofErr w:type="gramEnd"/>
      <w:r w:rsidRPr="00152BD4">
        <w:rPr>
          <w:rFonts w:cs="Times New Roman"/>
          <w:color w:val="111111"/>
          <w:sz w:val="24"/>
          <w:szCs w:val="24"/>
          <w:shd w:val="clear" w:color="auto" w:fill="FFFFFF"/>
        </w:rPr>
        <w:t xml:space="preserve"> employed” in inclusion criteria line is grammatically misplaced.</w:t>
      </w:r>
    </w:p>
    <w:p w14:paraId="01600BAA" w14:textId="77777777" w:rsidR="00152BD4" w:rsidRPr="00152BD4" w:rsidRDefault="00152BD4" w:rsidP="00152BD4">
      <w:pPr>
        <w:rPr>
          <w:rFonts w:cs="Times New Roman"/>
          <w:color w:val="111111"/>
          <w:sz w:val="24"/>
          <w:szCs w:val="24"/>
          <w:shd w:val="clear" w:color="auto" w:fill="FFFFFF"/>
        </w:rPr>
      </w:pPr>
      <w:r w:rsidRPr="00152BD4">
        <w:rPr>
          <w:rFonts w:cs="Times New Roman"/>
          <w:b/>
          <w:bCs/>
          <w:color w:val="111111"/>
          <w:sz w:val="24"/>
          <w:szCs w:val="24"/>
          <w:shd w:val="clear" w:color="auto" w:fill="FFFFFF"/>
        </w:rPr>
        <w:t>Response</w:t>
      </w:r>
      <w:r>
        <w:rPr>
          <w:rFonts w:cs="Times New Roman"/>
          <w:color w:val="111111"/>
          <w:sz w:val="24"/>
          <w:szCs w:val="24"/>
          <w:shd w:val="clear" w:color="auto" w:fill="FFFFFF"/>
        </w:rPr>
        <w:t>: We apologize for this matter. We have revised the errors above.</w:t>
      </w:r>
    </w:p>
    <w:p w14:paraId="4DB234F6" w14:textId="77777777" w:rsidR="00D85EA5" w:rsidRDefault="00152BD4" w:rsidP="00152BD4">
      <w:pPr>
        <w:rPr>
          <w:rFonts w:cs="Times New Roman"/>
          <w:b/>
          <w:bCs/>
          <w:color w:val="111111"/>
          <w:sz w:val="24"/>
          <w:szCs w:val="24"/>
          <w:shd w:val="clear" w:color="auto" w:fill="FFFFFF"/>
        </w:rPr>
      </w:pPr>
      <w:r w:rsidRPr="00152BD4">
        <w:rPr>
          <w:rFonts w:cs="Times New Roman"/>
          <w:color w:val="111111"/>
          <w:sz w:val="24"/>
          <w:szCs w:val="24"/>
        </w:rPr>
        <w:lastRenderedPageBreak/>
        <w:br/>
      </w:r>
      <w:r w:rsidRPr="00152BD4">
        <w:rPr>
          <w:rFonts w:cs="Times New Roman"/>
          <w:color w:val="111111"/>
          <w:sz w:val="24"/>
          <w:szCs w:val="24"/>
        </w:rPr>
        <w:br/>
      </w:r>
      <w:r w:rsidRPr="00152BD4">
        <w:rPr>
          <w:rFonts w:cs="Times New Roman"/>
          <w:b/>
          <w:bCs/>
          <w:color w:val="111111"/>
          <w:sz w:val="24"/>
          <w:szCs w:val="24"/>
          <w:shd w:val="clear" w:color="auto" w:fill="FFFFFF"/>
        </w:rPr>
        <w:t>2.4. Missing Articles &amp; Unclear Phrasing</w:t>
      </w:r>
    </w:p>
    <w:p w14:paraId="539CF1CE" w14:textId="607D9B0D" w:rsidR="00152BD4" w:rsidRPr="00D85EA5" w:rsidRDefault="00152BD4" w:rsidP="00152BD4">
      <w:pPr>
        <w:rPr>
          <w:rFonts w:cs="Times New Roman"/>
          <w:b/>
          <w:bCs/>
          <w:color w:val="111111"/>
          <w:sz w:val="24"/>
          <w:szCs w:val="24"/>
          <w:shd w:val="clear" w:color="auto" w:fill="FFFFFF"/>
        </w:rPr>
      </w:pPr>
      <w:r w:rsidRPr="00152BD4">
        <w:rPr>
          <w:rFonts w:cs="Times New Roman"/>
          <w:color w:val="111111"/>
          <w:sz w:val="24"/>
          <w:szCs w:val="24"/>
        </w:rPr>
        <w:br/>
      </w:r>
      <w:r w:rsidRPr="00152BD4">
        <w:rPr>
          <w:rFonts w:cs="Times New Roman"/>
          <w:i/>
          <w:iCs/>
          <w:color w:val="111111"/>
          <w:sz w:val="24"/>
          <w:szCs w:val="24"/>
          <w:shd w:val="clear" w:color="auto" w:fill="FFFFFF"/>
        </w:rPr>
        <w:t xml:space="preserve">“Subjects were randomized to receive topical 5% </w:t>
      </w:r>
      <w:proofErr w:type="spellStart"/>
      <w:r w:rsidRPr="00152BD4">
        <w:rPr>
          <w:rFonts w:cs="Times New Roman"/>
          <w:i/>
          <w:iCs/>
          <w:color w:val="111111"/>
          <w:sz w:val="24"/>
          <w:szCs w:val="24"/>
          <w:shd w:val="clear" w:color="auto" w:fill="FFFFFF"/>
        </w:rPr>
        <w:t>Dexpanthenol</w:t>
      </w:r>
      <w:proofErr w:type="spellEnd"/>
      <w:r w:rsidRPr="00152BD4">
        <w:rPr>
          <w:rFonts w:cs="Times New Roman"/>
          <w:i/>
          <w:iCs/>
          <w:color w:val="111111"/>
          <w:sz w:val="24"/>
          <w:szCs w:val="24"/>
          <w:shd w:val="clear" w:color="auto" w:fill="FFFFFF"/>
        </w:rPr>
        <w:t xml:space="preserve"> or 100% Petrolatum.”→ Should specify which side of forearm or one per subject vs group-level randomization.</w:t>
      </w:r>
    </w:p>
    <w:p w14:paraId="57AE786D" w14:textId="63ECA6FD" w:rsidR="00152BD4" w:rsidRPr="00152BD4" w:rsidRDefault="00152BD4" w:rsidP="00152BD4">
      <w:pPr>
        <w:rPr>
          <w:rFonts w:cs="Times New Roman"/>
          <w:color w:val="111111"/>
          <w:sz w:val="24"/>
          <w:szCs w:val="24"/>
          <w:shd w:val="clear" w:color="auto" w:fill="FFFFFF"/>
        </w:rPr>
      </w:pPr>
      <w:r w:rsidRPr="00152BD4">
        <w:rPr>
          <w:rFonts w:cs="Times New Roman"/>
          <w:b/>
          <w:bCs/>
          <w:color w:val="111111"/>
          <w:sz w:val="24"/>
          <w:szCs w:val="24"/>
          <w:shd w:val="clear" w:color="auto" w:fill="FFFFFF"/>
        </w:rPr>
        <w:t>Response</w:t>
      </w:r>
      <w:r>
        <w:rPr>
          <w:rFonts w:cs="Times New Roman"/>
          <w:color w:val="111111"/>
          <w:sz w:val="24"/>
          <w:szCs w:val="24"/>
          <w:shd w:val="clear" w:color="auto" w:fill="FFFFFF"/>
        </w:rPr>
        <w:t xml:space="preserve">: </w:t>
      </w:r>
      <w:r>
        <w:rPr>
          <w:rFonts w:cs="Times New Roman"/>
          <w:color w:val="111111"/>
          <w:sz w:val="24"/>
          <w:szCs w:val="24"/>
          <w:shd w:val="clear" w:color="auto" w:fill="FFFFFF"/>
        </w:rPr>
        <w:t>Thank you for addressing this confusion.</w:t>
      </w:r>
      <w:r>
        <w:rPr>
          <w:rFonts w:cs="Times New Roman"/>
          <w:color w:val="111111"/>
          <w:sz w:val="24"/>
          <w:szCs w:val="24"/>
          <w:shd w:val="clear" w:color="auto" w:fill="FFFFFF"/>
        </w:rPr>
        <w:t xml:space="preserve"> We have revised </w:t>
      </w:r>
      <w:r>
        <w:rPr>
          <w:rFonts w:cs="Times New Roman"/>
          <w:color w:val="111111"/>
          <w:sz w:val="24"/>
          <w:szCs w:val="24"/>
          <w:shd w:val="clear" w:color="auto" w:fill="FFFFFF"/>
        </w:rPr>
        <w:t>this in section 2 paragraph 4.</w:t>
      </w:r>
    </w:p>
    <w:p w14:paraId="5B4EC2B7" w14:textId="7EF52C52" w:rsidR="00152BD4" w:rsidRPr="008C1E40" w:rsidRDefault="00152BD4" w:rsidP="00152BD4">
      <w:pPr>
        <w:pBdr>
          <w:top w:val="nil"/>
          <w:left w:val="nil"/>
          <w:bottom w:val="nil"/>
          <w:right w:val="nil"/>
          <w:between w:val="nil"/>
        </w:pBdr>
        <w:jc w:val="both"/>
        <w:rPr>
          <w:color w:val="000000" w:themeColor="text1"/>
        </w:rPr>
      </w:pPr>
      <w:r>
        <w:rPr>
          <w:color w:val="000000" w:themeColor="text1"/>
        </w:rPr>
        <w:t>“</w:t>
      </w:r>
      <w:r w:rsidRPr="008C1E40">
        <w:rPr>
          <w:color w:val="000000" w:themeColor="text1"/>
        </w:rPr>
        <w:t xml:space="preserve">Subjects were instructed to apply 1 fingertip unit (FTU) to </w:t>
      </w:r>
      <w:r w:rsidRPr="00152BD4">
        <w:rPr>
          <w:b/>
          <w:bCs/>
          <w:color w:val="000000" w:themeColor="text1"/>
        </w:rPr>
        <w:t>each volar forearm</w:t>
      </w:r>
      <w:r w:rsidRPr="008C1E40">
        <w:rPr>
          <w:color w:val="000000" w:themeColor="text1"/>
        </w:rPr>
        <w:t xml:space="preserve"> application area (approximately 2% body surface area in total), twice daily immediately after bathing for 4 weeks. The variables assessed were TEWL and pH, measured using TM 300® (Courage &amp; </w:t>
      </w:r>
      <w:proofErr w:type="spellStart"/>
      <w:r w:rsidRPr="008C1E40">
        <w:rPr>
          <w:color w:val="000000" w:themeColor="text1"/>
        </w:rPr>
        <w:t>Khazaka</w:t>
      </w:r>
      <w:proofErr w:type="spellEnd"/>
      <w:r w:rsidRPr="008C1E40">
        <w:rPr>
          <w:color w:val="000000" w:themeColor="text1"/>
        </w:rPr>
        <w:t xml:space="preserve">, Cologne, Germany). Measurements were taken twice, namely baseline and after 4 weeks of treatment. At each visit, </w:t>
      </w:r>
      <w:r w:rsidRPr="00152BD4">
        <w:rPr>
          <w:b/>
          <w:bCs/>
          <w:color w:val="000000" w:themeColor="text1"/>
        </w:rPr>
        <w:t xml:space="preserve">3 measurements were taken on </w:t>
      </w:r>
      <w:r w:rsidRPr="00152BD4">
        <w:rPr>
          <w:b/>
          <w:bCs/>
          <w:color w:val="000000" w:themeColor="text1"/>
        </w:rPr>
        <w:t>each</w:t>
      </w:r>
      <w:r w:rsidRPr="00152BD4">
        <w:rPr>
          <w:b/>
          <w:bCs/>
          <w:color w:val="000000" w:themeColor="text1"/>
        </w:rPr>
        <w:t xml:space="preserve"> volar side of the forearm and the average value was taken</w:t>
      </w:r>
      <w:r w:rsidRPr="008C1E40">
        <w:rPr>
          <w:color w:val="000000" w:themeColor="text1"/>
        </w:rPr>
        <w:t>. At the beginning of the study, patients were also asked about any complaints of atopic dermatitis, history of skin care product use, and bathing habits including frequency, water temperature, and soap commonly used by the sample. Subjects were considered to have dropped out if an allergic reaction was found during the study.</w:t>
      </w:r>
      <w:r>
        <w:rPr>
          <w:color w:val="000000" w:themeColor="text1"/>
        </w:rPr>
        <w:t>”</w:t>
      </w:r>
    </w:p>
    <w:p w14:paraId="344B28CB" w14:textId="29BD7BE2" w:rsidR="00152BD4" w:rsidRPr="00152BD4" w:rsidRDefault="00152BD4" w:rsidP="00152BD4">
      <w:pPr>
        <w:rPr>
          <w:rFonts w:cs="Times New Roman"/>
          <w:b/>
          <w:bCs/>
          <w:color w:val="111111"/>
          <w:sz w:val="24"/>
          <w:szCs w:val="24"/>
          <w:shd w:val="clear" w:color="auto" w:fill="FFFFFF"/>
        </w:rPr>
      </w:pPr>
      <w:r w:rsidRPr="00152BD4">
        <w:rPr>
          <w:rFonts w:cs="Times New Roman"/>
          <w:color w:val="111111"/>
          <w:sz w:val="24"/>
          <w:szCs w:val="24"/>
        </w:rPr>
        <w:br/>
      </w:r>
      <w:r w:rsidRPr="00152BD4">
        <w:rPr>
          <w:rFonts w:cs="Times New Roman"/>
          <w:b/>
          <w:bCs/>
          <w:color w:val="111111"/>
          <w:sz w:val="24"/>
          <w:szCs w:val="24"/>
          <w:shd w:val="clear" w:color="auto" w:fill="FFFFFF"/>
        </w:rPr>
        <w:t>2.5. Figure Captions &amp; Tables Need Standardization</w:t>
      </w:r>
    </w:p>
    <w:p w14:paraId="0FE84879" w14:textId="77777777" w:rsidR="00152BD4" w:rsidRDefault="00152BD4" w:rsidP="00152BD4">
      <w:pPr>
        <w:pStyle w:val="ListParagraph"/>
        <w:numPr>
          <w:ilvl w:val="0"/>
          <w:numId w:val="13"/>
        </w:numPr>
        <w:rPr>
          <w:rFonts w:cs="Times New Roman"/>
          <w:color w:val="111111"/>
          <w:sz w:val="24"/>
          <w:szCs w:val="24"/>
        </w:rPr>
      </w:pPr>
      <w:r w:rsidRPr="00152BD4">
        <w:rPr>
          <w:rFonts w:cs="Times New Roman"/>
          <w:color w:val="111111"/>
          <w:sz w:val="24"/>
          <w:szCs w:val="24"/>
          <w:shd w:val="clear" w:color="auto" w:fill="FFFFFF"/>
        </w:rPr>
        <w:t>Figures lack figure numbers, axis labels not shown.</w:t>
      </w:r>
    </w:p>
    <w:p w14:paraId="20F5D83F" w14:textId="40D6EA53" w:rsidR="00152BD4" w:rsidRPr="00152BD4" w:rsidRDefault="00152BD4" w:rsidP="00152BD4">
      <w:pPr>
        <w:pStyle w:val="ListParagraph"/>
        <w:numPr>
          <w:ilvl w:val="0"/>
          <w:numId w:val="13"/>
        </w:numPr>
        <w:rPr>
          <w:rFonts w:cs="Times New Roman"/>
          <w:color w:val="111111"/>
          <w:sz w:val="24"/>
          <w:szCs w:val="24"/>
        </w:rPr>
      </w:pPr>
      <w:r w:rsidRPr="00152BD4">
        <w:rPr>
          <w:rFonts w:cs="Times New Roman"/>
          <w:color w:val="111111"/>
          <w:sz w:val="24"/>
          <w:szCs w:val="24"/>
          <w:shd w:val="clear" w:color="auto" w:fill="FFFFFF"/>
        </w:rPr>
        <w:t>Table formats inconsistent (some use ±, some use +).</w:t>
      </w:r>
    </w:p>
    <w:p w14:paraId="3CE74C71" w14:textId="77777777" w:rsidR="00152BD4" w:rsidRPr="00152BD4" w:rsidRDefault="00152BD4" w:rsidP="00152BD4">
      <w:pPr>
        <w:rPr>
          <w:rFonts w:cs="Times New Roman"/>
          <w:color w:val="111111"/>
          <w:sz w:val="24"/>
          <w:szCs w:val="24"/>
          <w:shd w:val="clear" w:color="auto" w:fill="FFFFFF"/>
        </w:rPr>
      </w:pPr>
      <w:r w:rsidRPr="00152BD4">
        <w:rPr>
          <w:rFonts w:cs="Times New Roman"/>
          <w:b/>
          <w:bCs/>
          <w:color w:val="111111"/>
          <w:sz w:val="24"/>
          <w:szCs w:val="24"/>
          <w:shd w:val="clear" w:color="auto" w:fill="FFFFFF"/>
        </w:rPr>
        <w:t>Response</w:t>
      </w:r>
      <w:r>
        <w:rPr>
          <w:rFonts w:cs="Times New Roman"/>
          <w:color w:val="111111"/>
          <w:sz w:val="24"/>
          <w:szCs w:val="24"/>
          <w:shd w:val="clear" w:color="auto" w:fill="FFFFFF"/>
        </w:rPr>
        <w:t>: We apologize for this matter. We have revised the errors above.</w:t>
      </w:r>
    </w:p>
    <w:p w14:paraId="4268C079" w14:textId="33856EBB" w:rsidR="00152BD4" w:rsidRPr="00152BD4" w:rsidRDefault="00152BD4" w:rsidP="00152BD4">
      <w:pPr>
        <w:rPr>
          <w:rFonts w:cs="Times New Roman"/>
          <w:color w:val="111111"/>
          <w:sz w:val="24"/>
          <w:szCs w:val="24"/>
          <w:shd w:val="clear" w:color="auto" w:fill="FFFFFF"/>
        </w:rPr>
      </w:pPr>
      <w:r w:rsidRPr="00152BD4">
        <w:rPr>
          <w:rFonts w:cs="Times New Roman"/>
          <w:color w:val="111111"/>
          <w:sz w:val="24"/>
          <w:szCs w:val="24"/>
        </w:rPr>
        <w:br/>
      </w:r>
      <w:r w:rsidRPr="00152BD4">
        <w:rPr>
          <w:rFonts w:cs="Times New Roman"/>
          <w:b/>
          <w:bCs/>
          <w:color w:val="111111"/>
          <w:sz w:val="24"/>
          <w:szCs w:val="24"/>
          <w:shd w:val="clear" w:color="auto" w:fill="FFFFFF"/>
        </w:rPr>
        <w:t>2.6. Chemical Names Formatting Inconsistent</w:t>
      </w:r>
    </w:p>
    <w:p w14:paraId="47ACBBCC" w14:textId="77777777" w:rsidR="00152BD4" w:rsidRPr="00152BD4" w:rsidRDefault="00152BD4" w:rsidP="00152BD4">
      <w:pPr>
        <w:rPr>
          <w:rFonts w:cs="Times New Roman"/>
          <w:i/>
          <w:iCs/>
          <w:color w:val="111111"/>
          <w:sz w:val="24"/>
          <w:szCs w:val="24"/>
          <w:shd w:val="clear" w:color="auto" w:fill="FFFFFF"/>
        </w:rPr>
      </w:pPr>
      <w:r w:rsidRPr="00152BD4">
        <w:rPr>
          <w:rFonts w:cs="Times New Roman"/>
          <w:i/>
          <w:iCs/>
          <w:color w:val="111111"/>
          <w:sz w:val="24"/>
          <w:szCs w:val="24"/>
          <w:shd w:val="clear" w:color="auto" w:fill="FFFFFF"/>
        </w:rPr>
        <w:t>Chemical naming paragraph is too long and inconsistent with scientific formatting norms.</w:t>
      </w:r>
    </w:p>
    <w:p w14:paraId="106C6E09" w14:textId="1F91EE11" w:rsidR="00152BD4" w:rsidRDefault="00152BD4" w:rsidP="00152BD4">
      <w:pPr>
        <w:rPr>
          <w:rFonts w:cs="Times New Roman"/>
          <w:color w:val="111111"/>
          <w:sz w:val="24"/>
          <w:szCs w:val="24"/>
          <w:shd w:val="clear" w:color="auto" w:fill="FFFFFF"/>
        </w:rPr>
      </w:pPr>
      <w:r w:rsidRPr="00152BD4">
        <w:rPr>
          <w:rFonts w:cs="Times New Roman"/>
          <w:b/>
          <w:bCs/>
          <w:color w:val="111111"/>
          <w:sz w:val="24"/>
          <w:szCs w:val="24"/>
          <w:shd w:val="clear" w:color="auto" w:fill="FFFFFF"/>
        </w:rPr>
        <w:t>Response</w:t>
      </w:r>
      <w:r>
        <w:rPr>
          <w:rFonts w:cs="Times New Roman"/>
          <w:color w:val="111111"/>
          <w:sz w:val="24"/>
          <w:szCs w:val="24"/>
          <w:shd w:val="clear" w:color="auto" w:fill="FFFFFF"/>
        </w:rPr>
        <w:t xml:space="preserve">: We apologize for this </w:t>
      </w:r>
      <w:r>
        <w:rPr>
          <w:rFonts w:cs="Times New Roman"/>
          <w:color w:val="111111"/>
          <w:sz w:val="24"/>
          <w:szCs w:val="24"/>
          <w:shd w:val="clear" w:color="auto" w:fill="FFFFFF"/>
        </w:rPr>
        <w:t>error</w:t>
      </w:r>
      <w:r>
        <w:rPr>
          <w:rFonts w:cs="Times New Roman"/>
          <w:color w:val="111111"/>
          <w:sz w:val="24"/>
          <w:szCs w:val="24"/>
          <w:shd w:val="clear" w:color="auto" w:fill="FFFFFF"/>
        </w:rPr>
        <w:t xml:space="preserve">. </w:t>
      </w:r>
      <w:r>
        <w:rPr>
          <w:rFonts w:cs="Times New Roman"/>
          <w:color w:val="111111"/>
          <w:sz w:val="24"/>
          <w:szCs w:val="24"/>
          <w:shd w:val="clear" w:color="auto" w:fill="FFFFFF"/>
        </w:rPr>
        <w:t>To our knowledge, the error made was the chemical name of pantothenic acid.</w:t>
      </w:r>
      <w:r>
        <w:rPr>
          <w:rFonts w:cs="Times New Roman"/>
          <w:color w:val="111111"/>
          <w:sz w:val="24"/>
          <w:szCs w:val="24"/>
          <w:shd w:val="clear" w:color="auto" w:fill="FFFFFF"/>
        </w:rPr>
        <w:t xml:space="preserve"> </w:t>
      </w:r>
      <w:r>
        <w:rPr>
          <w:rFonts w:cs="Times New Roman"/>
          <w:color w:val="111111"/>
          <w:sz w:val="24"/>
          <w:szCs w:val="24"/>
          <w:shd w:val="clear" w:color="auto" w:fill="FFFFFF"/>
        </w:rPr>
        <w:t>We have revised them as follows.</w:t>
      </w:r>
    </w:p>
    <w:p w14:paraId="74BC1EA8" w14:textId="4051EBA7" w:rsidR="00152BD4" w:rsidRDefault="00152BD4" w:rsidP="00152BD4">
      <w:pPr>
        <w:rPr>
          <w:rFonts w:eastAsia="Calibri" w:cs="Times New Roman"/>
        </w:rPr>
      </w:pPr>
      <w:r>
        <w:rPr>
          <w:rFonts w:eastAsia="Calibri" w:cs="Times New Roman"/>
        </w:rPr>
        <w:t>“</w:t>
      </w:r>
      <w:proofErr w:type="spellStart"/>
      <w:r w:rsidRPr="001A244A">
        <w:rPr>
          <w:rFonts w:eastAsia="Calibri" w:cs="Times New Roman"/>
        </w:rPr>
        <w:t>Dexpanthenol</w:t>
      </w:r>
      <w:proofErr w:type="spellEnd"/>
      <w:r w:rsidRPr="001A244A">
        <w:rPr>
          <w:rFonts w:eastAsia="Calibri" w:cs="Times New Roman"/>
        </w:rPr>
        <w:t xml:space="preserve"> is an alcoholic derivative of pantothenic acid or vitamin B5. </w:t>
      </w:r>
      <w:r w:rsidRPr="00152BD4">
        <w:rPr>
          <w:rFonts w:eastAsia="Calibri" w:cs="Times New Roman"/>
        </w:rPr>
        <w:t xml:space="preserve">Pantothenic acid </w:t>
      </w:r>
      <w:r w:rsidRPr="00152BD4">
        <w:rPr>
          <w:rFonts w:eastAsia="Calibri" w:cs="Times New Roman"/>
          <w:b/>
          <w:bCs/>
        </w:rPr>
        <w:t>(C9H17O5N)</w:t>
      </w:r>
      <w:r w:rsidRPr="00152BD4">
        <w:rPr>
          <w:rFonts w:eastAsia="Calibri" w:cs="Times New Roman"/>
        </w:rPr>
        <w:t xml:space="preserve">: </w:t>
      </w:r>
      <w:r w:rsidRPr="001A244A">
        <w:rPr>
          <w:rFonts w:eastAsia="Calibri" w:cs="Times New Roman"/>
        </w:rPr>
        <w:t xml:space="preserve">is chemically known as </w:t>
      </w:r>
      <w:r w:rsidRPr="00152BD4">
        <w:rPr>
          <w:rFonts w:eastAsia="Calibri" w:cs="Times New Roman"/>
          <w:b/>
          <w:bCs/>
        </w:rPr>
        <w:t>3-[(2,4-Dihydroxy-3,3-dimethylbutanoyl) amino] propanoic acid</w:t>
      </w:r>
      <w:r>
        <w:rPr>
          <w:rFonts w:eastAsia="Calibri" w:cs="Times New Roman"/>
        </w:rPr>
        <w:t>”</w:t>
      </w:r>
    </w:p>
    <w:p w14:paraId="2C87851B" w14:textId="632858FC" w:rsidR="00152BD4" w:rsidRDefault="00152BD4" w:rsidP="00152BD4">
      <w:pPr>
        <w:rPr>
          <w:rFonts w:eastAsia="Calibri" w:cs="Times New Roman"/>
        </w:rPr>
      </w:pPr>
      <w:r>
        <w:rPr>
          <w:rFonts w:eastAsia="Calibri" w:cs="Times New Roman"/>
        </w:rPr>
        <w:t>To:</w:t>
      </w:r>
    </w:p>
    <w:p w14:paraId="7E1E74F3" w14:textId="1A4EA00C" w:rsidR="00FF7EA7" w:rsidRPr="00152BD4" w:rsidRDefault="00152BD4" w:rsidP="00152BD4">
      <w:pPr>
        <w:rPr>
          <w:rFonts w:cs="Times New Roman"/>
          <w:color w:val="111111"/>
          <w:sz w:val="24"/>
          <w:szCs w:val="24"/>
          <w:shd w:val="clear" w:color="auto" w:fill="FFFFFF"/>
        </w:rPr>
      </w:pPr>
      <w:proofErr w:type="spellStart"/>
      <w:r w:rsidRPr="00152BD4">
        <w:rPr>
          <w:rFonts w:eastAsia="Calibri"/>
        </w:rPr>
        <w:t>Dexpanthenol</w:t>
      </w:r>
      <w:proofErr w:type="spellEnd"/>
      <w:r w:rsidRPr="00152BD4">
        <w:rPr>
          <w:rFonts w:eastAsia="Calibri"/>
        </w:rPr>
        <w:t xml:space="preserve"> is an alcoholic derivative of pantothenic acid (Vitamin B5). Pantothenic acid </w:t>
      </w:r>
      <w:r w:rsidRPr="00152BD4">
        <w:rPr>
          <w:rFonts w:eastAsia="Calibri"/>
          <w:b/>
          <w:bCs/>
        </w:rPr>
        <w:t>(C</w:t>
      </w:r>
      <w:r w:rsidRPr="00152BD4">
        <w:rPr>
          <w:rFonts w:eastAsia="Calibri"/>
          <w:b/>
          <w:bCs/>
          <w:vertAlign w:val="subscript"/>
        </w:rPr>
        <w:t>9</w:t>
      </w:r>
      <w:r w:rsidRPr="00152BD4">
        <w:rPr>
          <w:rFonts w:eastAsia="Calibri"/>
          <w:b/>
          <w:bCs/>
        </w:rPr>
        <w:t>H</w:t>
      </w:r>
      <w:r w:rsidRPr="00152BD4">
        <w:rPr>
          <w:rFonts w:eastAsia="Calibri"/>
          <w:b/>
          <w:bCs/>
          <w:vertAlign w:val="subscript"/>
        </w:rPr>
        <w:t>17</w:t>
      </w:r>
      <w:r w:rsidRPr="00152BD4">
        <w:rPr>
          <w:rFonts w:eastAsia="Calibri"/>
          <w:b/>
          <w:bCs/>
        </w:rPr>
        <w:t>NO</w:t>
      </w:r>
      <w:r w:rsidRPr="00152BD4">
        <w:rPr>
          <w:rFonts w:eastAsia="Calibri"/>
          <w:b/>
          <w:bCs/>
          <w:vertAlign w:val="subscript"/>
        </w:rPr>
        <w:t>5</w:t>
      </w:r>
      <w:r w:rsidRPr="00152BD4">
        <w:rPr>
          <w:rFonts w:eastAsia="Calibri"/>
          <w:b/>
          <w:bCs/>
        </w:rPr>
        <w:t>)</w:t>
      </w:r>
      <w:r w:rsidRPr="00152BD4">
        <w:rPr>
          <w:rFonts w:eastAsia="Calibri"/>
        </w:rPr>
        <w:t xml:space="preserve">: is chemically known as </w:t>
      </w:r>
      <w:r w:rsidRPr="00152BD4">
        <w:rPr>
          <w:rFonts w:eastAsia="Calibri"/>
          <w:b/>
          <w:bCs/>
        </w:rPr>
        <w:t>3-[(2,4-Dihydroxy-3,3-</w:t>
      </w:r>
      <w:proofErr w:type="gramStart"/>
      <w:r w:rsidRPr="00152BD4">
        <w:rPr>
          <w:rFonts w:eastAsia="Calibri"/>
          <w:b/>
          <w:bCs/>
        </w:rPr>
        <w:t>dimethylbutanoyl)amino</w:t>
      </w:r>
      <w:proofErr w:type="gramEnd"/>
      <w:r w:rsidRPr="00152BD4">
        <w:rPr>
          <w:rFonts w:eastAsia="Calibri"/>
          <w:b/>
          <w:bCs/>
        </w:rPr>
        <w:t>] propanoic acid</w:t>
      </w:r>
    </w:p>
    <w:p w14:paraId="4711DCF4" w14:textId="77777777" w:rsidR="0068518B" w:rsidRDefault="00000000">
      <w:pPr>
        <w:spacing w:before="200" w:after="80"/>
        <w:rPr>
          <w:b/>
          <w:sz w:val="24"/>
        </w:rPr>
      </w:pPr>
      <w:r>
        <w:rPr>
          <w:b/>
          <w:sz w:val="24"/>
        </w:rPr>
        <w:t>Additional correction</w:t>
      </w:r>
      <w:r w:rsidR="0068518B">
        <w:rPr>
          <w:b/>
          <w:sz w:val="24"/>
        </w:rPr>
        <w:t>:</w:t>
      </w:r>
    </w:p>
    <w:p w14:paraId="71797AEC" w14:textId="3AC5887C" w:rsidR="00FF7EA7" w:rsidRDefault="00000000">
      <w:pPr>
        <w:spacing w:before="200" w:after="80"/>
      </w:pPr>
      <w:r>
        <w:rPr>
          <w:b/>
          <w:sz w:val="24"/>
        </w:rPr>
        <w:t>Group-specific percentages</w:t>
      </w:r>
    </w:p>
    <w:p w14:paraId="5C6D981C" w14:textId="77777777" w:rsidR="00FF7EA7" w:rsidRDefault="00000000">
      <w:pPr>
        <w:spacing w:after="120"/>
        <w:jc w:val="both"/>
      </w:pPr>
      <w:r>
        <w:rPr>
          <w:b/>
        </w:rPr>
        <w:t xml:space="preserve">Correction made: </w:t>
      </w:r>
      <w:r>
        <w:t xml:space="preserve">While revising Table 1, we identified that the original sex percentages were calculated using the total number of female or male participants rather than the denominator of each randomized group. We corrected the values to 8/13 (61.5%) female and 5/13 (38.5%) male in the </w:t>
      </w:r>
      <w:r>
        <w:lastRenderedPageBreak/>
        <w:t>petrolatum group, and 9/13 (69.2%) female and 4/13 (30.8%) male in the dexpanthenol group. This correction does not alter the analysis or conclusions.</w:t>
      </w:r>
    </w:p>
    <w:p w14:paraId="7371450F" w14:textId="1CA48BEE" w:rsidR="00FF7EA7" w:rsidRDefault="00FF7EA7">
      <w:pPr>
        <w:spacing w:before="200" w:after="0"/>
        <w:jc w:val="both"/>
      </w:pPr>
    </w:p>
    <w:sectPr w:rsidR="00FF7EA7" w:rsidSect="00445B9B">
      <w:pgSz w:w="11900" w:h="16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CD6D04"/>
    <w:multiLevelType w:val="hybridMultilevel"/>
    <w:tmpl w:val="FA203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347CAB"/>
    <w:multiLevelType w:val="hybridMultilevel"/>
    <w:tmpl w:val="81564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340D3F"/>
    <w:multiLevelType w:val="hybridMultilevel"/>
    <w:tmpl w:val="DD7EA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195C3A"/>
    <w:multiLevelType w:val="hybridMultilevel"/>
    <w:tmpl w:val="17DA834E"/>
    <w:lvl w:ilvl="0" w:tplc="6E1831B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2E1E42"/>
    <w:multiLevelType w:val="hybridMultilevel"/>
    <w:tmpl w:val="EEEA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3559498">
    <w:abstractNumId w:val="8"/>
  </w:num>
  <w:num w:numId="2" w16cid:durableId="94862894">
    <w:abstractNumId w:val="6"/>
  </w:num>
  <w:num w:numId="3" w16cid:durableId="207228970">
    <w:abstractNumId w:val="5"/>
  </w:num>
  <w:num w:numId="4" w16cid:durableId="2068409775">
    <w:abstractNumId w:val="4"/>
  </w:num>
  <w:num w:numId="5" w16cid:durableId="311175782">
    <w:abstractNumId w:val="7"/>
  </w:num>
  <w:num w:numId="6" w16cid:durableId="489641214">
    <w:abstractNumId w:val="3"/>
  </w:num>
  <w:num w:numId="7" w16cid:durableId="925772614">
    <w:abstractNumId w:val="2"/>
  </w:num>
  <w:num w:numId="8" w16cid:durableId="469985384">
    <w:abstractNumId w:val="1"/>
  </w:num>
  <w:num w:numId="9" w16cid:durableId="972255306">
    <w:abstractNumId w:val="0"/>
  </w:num>
  <w:num w:numId="10" w16cid:durableId="1636524400">
    <w:abstractNumId w:val="10"/>
  </w:num>
  <w:num w:numId="11" w16cid:durableId="1624120033">
    <w:abstractNumId w:val="11"/>
  </w:num>
  <w:num w:numId="12" w16cid:durableId="1077484776">
    <w:abstractNumId w:val="9"/>
  </w:num>
  <w:num w:numId="13" w16cid:durableId="1453741187">
    <w:abstractNumId w:val="13"/>
  </w:num>
  <w:num w:numId="14" w16cid:durableId="206813804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2BD4"/>
    <w:rsid w:val="0029639D"/>
    <w:rsid w:val="00326F90"/>
    <w:rsid w:val="00445B9B"/>
    <w:rsid w:val="0068518B"/>
    <w:rsid w:val="006D29D1"/>
    <w:rsid w:val="0083627F"/>
    <w:rsid w:val="00AA1D8D"/>
    <w:rsid w:val="00B47730"/>
    <w:rsid w:val="00B643F7"/>
    <w:rsid w:val="00C67339"/>
    <w:rsid w:val="00CB0664"/>
    <w:rsid w:val="00D85EA5"/>
    <w:rsid w:val="00FC693F"/>
    <w:rsid w:val="00FF7E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D97E92"/>
  <w14:defaultImageDpi w14:val="300"/>
  <w15:docId w15:val="{9EB08349-8A7A-7A44-8F52-CAABB240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Author</cp:lastModifiedBy>
  <cp:revision>2</cp:revision>
  <dcterms:created xsi:type="dcterms:W3CDTF">2026-08-29T13:42:00Z</dcterms:created>
  <dcterms:modified xsi:type="dcterms:W3CDTF">2026-08-29T13:42:00Z</dcterms:modified>
  <cp:category/>
</cp:coreProperties>
</file>