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444B0" w14:textId="77777777" w:rsidR="00E92697" w:rsidRDefault="00505D2E" w:rsidP="00CC5864">
      <w:pPr>
        <w:suppressAutoHyphens/>
        <w:autoSpaceDE w:val="0"/>
        <w:autoSpaceDN w:val="0"/>
        <w:adjustRightInd w:val="0"/>
        <w:spacing w:after="0" w:line="360" w:lineRule="auto"/>
        <w:jc w:val="center"/>
        <w:textAlignment w:val="center"/>
        <w:rPr>
          <w:rFonts w:ascii="Times New Roman" w:hAnsi="Times New Roman" w:cs="Times New Roman"/>
          <w:b/>
          <w:sz w:val="28"/>
          <w:szCs w:val="28"/>
        </w:rPr>
      </w:pPr>
      <w:r w:rsidRPr="00E92697">
        <w:rPr>
          <w:rFonts w:ascii="Times New Roman" w:hAnsi="Times New Roman" w:cs="Times New Roman"/>
          <w:b/>
          <w:sz w:val="28"/>
          <w:szCs w:val="28"/>
        </w:rPr>
        <w:t xml:space="preserve">KAPASITAS INOVASI PROGRAM DANA PEMBANGUNAN WILAYAH KELURAHAN DALAM MENDUKUNG PERCEPATAN </w:t>
      </w:r>
    </w:p>
    <w:p w14:paraId="62C36866" w14:textId="1C0A1BAC" w:rsidR="00474C9E" w:rsidRPr="00E92697" w:rsidRDefault="00505D2E" w:rsidP="00CC5864">
      <w:pPr>
        <w:suppressAutoHyphens/>
        <w:autoSpaceDE w:val="0"/>
        <w:autoSpaceDN w:val="0"/>
        <w:adjustRightInd w:val="0"/>
        <w:spacing w:after="0" w:line="360" w:lineRule="auto"/>
        <w:jc w:val="center"/>
        <w:textAlignment w:val="center"/>
        <w:rPr>
          <w:rFonts w:ascii="Times New Roman" w:hAnsi="Times New Roman" w:cs="Times New Roman"/>
          <w:b/>
          <w:sz w:val="28"/>
          <w:szCs w:val="28"/>
          <w:lang w:val="en-US"/>
        </w:rPr>
      </w:pPr>
      <w:r w:rsidRPr="00E92697">
        <w:rPr>
          <w:rFonts w:ascii="Times New Roman" w:hAnsi="Times New Roman" w:cs="Times New Roman"/>
          <w:b/>
          <w:sz w:val="28"/>
          <w:szCs w:val="28"/>
        </w:rPr>
        <w:t>DAN PEMERATAAN PEMBANGUNAN DAERAH</w:t>
      </w:r>
    </w:p>
    <w:p w14:paraId="14E247AE" w14:textId="77777777" w:rsidR="00505D2E" w:rsidRPr="00540EEC" w:rsidRDefault="00505D2E" w:rsidP="00CC5864">
      <w:pPr>
        <w:suppressAutoHyphens/>
        <w:autoSpaceDE w:val="0"/>
        <w:autoSpaceDN w:val="0"/>
        <w:adjustRightInd w:val="0"/>
        <w:spacing w:after="0" w:line="360" w:lineRule="auto"/>
        <w:jc w:val="center"/>
        <w:textAlignment w:val="center"/>
        <w:rPr>
          <w:rFonts w:ascii="Times New Roman" w:hAnsi="Times New Roman" w:cs="Times New Roman"/>
          <w:b/>
          <w:bCs/>
          <w:color w:val="000000"/>
          <w:sz w:val="20"/>
          <w:szCs w:val="20"/>
          <w:lang w:val="en-US"/>
        </w:rPr>
      </w:pPr>
    </w:p>
    <w:p w14:paraId="7D88F71B" w14:textId="5FC0025D" w:rsidR="00474C9E" w:rsidRPr="00540EEC" w:rsidRDefault="00505D2E" w:rsidP="00CC5864">
      <w:pPr>
        <w:suppressAutoHyphens/>
        <w:autoSpaceDE w:val="0"/>
        <w:autoSpaceDN w:val="0"/>
        <w:adjustRightInd w:val="0"/>
        <w:spacing w:after="0" w:line="360" w:lineRule="auto"/>
        <w:jc w:val="center"/>
        <w:textAlignment w:val="center"/>
        <w:rPr>
          <w:rFonts w:ascii="Times New Roman" w:hAnsi="Times New Roman" w:cs="Times New Roman"/>
          <w:b/>
          <w:bCs/>
          <w:color w:val="000000"/>
          <w:lang w:val="en-US"/>
        </w:rPr>
      </w:pPr>
      <w:r w:rsidRPr="00540EEC">
        <w:rPr>
          <w:rFonts w:ascii="Times New Roman" w:hAnsi="Times New Roman" w:cs="Times New Roman"/>
          <w:b/>
          <w:bCs/>
          <w:sz w:val="24"/>
          <w:szCs w:val="24"/>
        </w:rPr>
        <w:t>Siti Khaerunissa</w:t>
      </w:r>
      <w:r w:rsidRPr="00540EEC">
        <w:rPr>
          <w:rFonts w:ascii="Times New Roman" w:hAnsi="Times New Roman" w:cs="Times New Roman"/>
          <w:b/>
          <w:bCs/>
          <w:color w:val="000000"/>
          <w:vertAlign w:val="superscript"/>
          <w:lang w:val="en-US"/>
        </w:rPr>
        <w:t xml:space="preserve"> </w:t>
      </w:r>
      <w:r w:rsidR="00474C9E" w:rsidRPr="00540EEC">
        <w:rPr>
          <w:rFonts w:ascii="Times New Roman" w:hAnsi="Times New Roman" w:cs="Times New Roman"/>
          <w:b/>
          <w:bCs/>
          <w:color w:val="000000"/>
          <w:vertAlign w:val="superscript"/>
          <w:lang w:val="en-US"/>
        </w:rPr>
        <w:t>1</w:t>
      </w:r>
      <w:r w:rsidR="00474C9E" w:rsidRPr="00540EEC">
        <w:rPr>
          <w:rFonts w:ascii="Times New Roman" w:hAnsi="Times New Roman" w:cs="Times New Roman"/>
          <w:b/>
          <w:bCs/>
          <w:color w:val="000000"/>
          <w:lang w:val="en-US"/>
        </w:rPr>
        <w:t xml:space="preserve">, </w:t>
      </w:r>
      <w:r w:rsidRPr="00540EEC">
        <w:rPr>
          <w:rFonts w:ascii="Times New Roman" w:hAnsi="Times New Roman" w:cs="Times New Roman"/>
          <w:b/>
          <w:bCs/>
          <w:color w:val="000000"/>
          <w:lang w:val="en-US"/>
        </w:rPr>
        <w:t>Budi Hasanah</w:t>
      </w:r>
      <w:r w:rsidRPr="00540EEC">
        <w:rPr>
          <w:rFonts w:ascii="Times New Roman" w:hAnsi="Times New Roman" w:cs="Times New Roman"/>
          <w:b/>
          <w:bCs/>
          <w:color w:val="000000"/>
          <w:vertAlign w:val="superscript"/>
          <w:lang w:val="en-US"/>
        </w:rPr>
        <w:t>2</w:t>
      </w:r>
      <w:r w:rsidR="00474C9E" w:rsidRPr="00540EEC">
        <w:rPr>
          <w:rFonts w:ascii="Times New Roman" w:hAnsi="Times New Roman" w:cs="Times New Roman"/>
          <w:b/>
          <w:bCs/>
          <w:color w:val="000000"/>
          <w:lang w:val="en-US"/>
        </w:rPr>
        <w:t xml:space="preserve">, dan </w:t>
      </w:r>
      <w:r w:rsidRPr="00540EEC">
        <w:rPr>
          <w:rFonts w:ascii="Times New Roman" w:hAnsi="Times New Roman" w:cs="Times New Roman"/>
          <w:b/>
          <w:bCs/>
          <w:color w:val="000000"/>
          <w:lang w:val="en-US"/>
        </w:rPr>
        <w:t>Ahmad Sururi</w:t>
      </w:r>
      <w:r w:rsidRPr="00540EEC">
        <w:rPr>
          <w:rFonts w:ascii="Times New Roman" w:hAnsi="Times New Roman" w:cs="Times New Roman"/>
          <w:b/>
          <w:bCs/>
          <w:color w:val="000000"/>
          <w:vertAlign w:val="superscript"/>
          <w:lang w:val="en-US"/>
        </w:rPr>
        <w:t>3</w:t>
      </w:r>
      <w:r w:rsidR="00CC5864">
        <w:rPr>
          <w:rFonts w:ascii="Times New Roman" w:hAnsi="Times New Roman" w:cs="Times New Roman"/>
          <w:b/>
          <w:bCs/>
          <w:color w:val="000000"/>
          <w:vertAlign w:val="superscript"/>
          <w:lang w:val="en-US"/>
        </w:rPr>
        <w:t>*</w:t>
      </w:r>
      <w:r w:rsidR="00474C9E" w:rsidRPr="00540EEC">
        <w:rPr>
          <w:rFonts w:ascii="Times New Roman" w:hAnsi="Times New Roman" w:cs="Times New Roman"/>
          <w:b/>
          <w:bCs/>
          <w:color w:val="000000"/>
          <w:lang w:val="en-US"/>
        </w:rPr>
        <w:t xml:space="preserve"> </w:t>
      </w:r>
    </w:p>
    <w:p w14:paraId="0A7CAFC9" w14:textId="002393FA" w:rsidR="00474C9E" w:rsidRPr="00540EEC" w:rsidRDefault="00505D2E" w:rsidP="00CC5864">
      <w:pPr>
        <w:suppressAutoHyphens/>
        <w:autoSpaceDE w:val="0"/>
        <w:autoSpaceDN w:val="0"/>
        <w:adjustRightInd w:val="0"/>
        <w:spacing w:after="0" w:line="360" w:lineRule="auto"/>
        <w:jc w:val="center"/>
        <w:textAlignment w:val="center"/>
        <w:rPr>
          <w:rFonts w:ascii="Times New Roman" w:hAnsi="Times New Roman" w:cs="Times New Roman"/>
          <w:color w:val="000000"/>
          <w:sz w:val="20"/>
          <w:szCs w:val="20"/>
          <w:lang w:val="en-US"/>
        </w:rPr>
      </w:pPr>
      <w:r w:rsidRPr="00540EEC">
        <w:rPr>
          <w:rFonts w:ascii="Times New Roman" w:hAnsi="Times New Roman" w:cs="Times New Roman"/>
          <w:sz w:val="20"/>
          <w:szCs w:val="20"/>
          <w:vertAlign w:val="superscript"/>
          <w:lang w:val="en-US"/>
        </w:rPr>
        <w:t>1</w:t>
      </w:r>
      <w:r w:rsidRPr="00540EEC">
        <w:rPr>
          <w:rFonts w:ascii="Times New Roman" w:hAnsi="Times New Roman" w:cs="Times New Roman"/>
          <w:sz w:val="20"/>
          <w:szCs w:val="20"/>
          <w:lang w:val="en-US"/>
        </w:rPr>
        <w:t xml:space="preserve">Universitas </w:t>
      </w:r>
      <w:proofErr w:type="spellStart"/>
      <w:r w:rsidRPr="00540EEC">
        <w:rPr>
          <w:rFonts w:ascii="Times New Roman" w:hAnsi="Times New Roman" w:cs="Times New Roman"/>
          <w:sz w:val="20"/>
          <w:szCs w:val="20"/>
          <w:lang w:val="en-US"/>
        </w:rPr>
        <w:t>Serang</w:t>
      </w:r>
      <w:proofErr w:type="spellEnd"/>
      <w:r w:rsidRPr="00540EEC">
        <w:rPr>
          <w:rFonts w:ascii="Times New Roman" w:hAnsi="Times New Roman" w:cs="Times New Roman"/>
          <w:sz w:val="20"/>
          <w:szCs w:val="20"/>
          <w:lang w:val="en-US"/>
        </w:rPr>
        <w:t xml:space="preserve"> Raya</w:t>
      </w:r>
      <w:r w:rsidR="000D56AB" w:rsidRPr="00540EEC">
        <w:rPr>
          <w:rFonts w:ascii="Times New Roman" w:hAnsi="Times New Roman" w:cs="Times New Roman"/>
          <w:color w:val="000000"/>
          <w:sz w:val="20"/>
          <w:szCs w:val="20"/>
          <w:lang w:val="en-US"/>
        </w:rPr>
        <w:t xml:space="preserve">, </w:t>
      </w:r>
      <w:r w:rsidRPr="00540EEC">
        <w:rPr>
          <w:rFonts w:ascii="Times New Roman" w:hAnsi="Times New Roman" w:cs="Times New Roman"/>
          <w:color w:val="000000"/>
          <w:sz w:val="20"/>
          <w:szCs w:val="20"/>
          <w:lang w:val="en-US"/>
        </w:rPr>
        <w:t xml:space="preserve">Jalan Raya </w:t>
      </w:r>
      <w:proofErr w:type="spellStart"/>
      <w:r w:rsidRPr="00540EEC">
        <w:rPr>
          <w:rFonts w:ascii="Times New Roman" w:hAnsi="Times New Roman" w:cs="Times New Roman"/>
          <w:color w:val="000000"/>
          <w:sz w:val="20"/>
          <w:szCs w:val="20"/>
          <w:lang w:val="en-US"/>
        </w:rPr>
        <w:t>Serang</w:t>
      </w:r>
      <w:proofErr w:type="spellEnd"/>
      <w:r w:rsidRPr="00540EEC">
        <w:rPr>
          <w:rFonts w:ascii="Times New Roman" w:hAnsi="Times New Roman" w:cs="Times New Roman"/>
          <w:color w:val="000000"/>
          <w:sz w:val="20"/>
          <w:szCs w:val="20"/>
          <w:lang w:val="en-US"/>
        </w:rPr>
        <w:t xml:space="preserve"> – </w:t>
      </w:r>
      <w:proofErr w:type="spellStart"/>
      <w:r w:rsidRPr="00540EEC">
        <w:rPr>
          <w:rFonts w:ascii="Times New Roman" w:hAnsi="Times New Roman" w:cs="Times New Roman"/>
          <w:color w:val="000000"/>
          <w:sz w:val="20"/>
          <w:szCs w:val="20"/>
          <w:lang w:val="en-US"/>
        </w:rPr>
        <w:t>Cilegon</w:t>
      </w:r>
      <w:proofErr w:type="spellEnd"/>
      <w:r w:rsidRPr="00540EEC">
        <w:rPr>
          <w:rFonts w:ascii="Times New Roman" w:hAnsi="Times New Roman" w:cs="Times New Roman"/>
          <w:color w:val="000000"/>
          <w:sz w:val="20"/>
          <w:szCs w:val="20"/>
          <w:lang w:val="en-US"/>
        </w:rPr>
        <w:t xml:space="preserve"> Kota </w:t>
      </w:r>
      <w:proofErr w:type="spellStart"/>
      <w:r w:rsidRPr="00540EEC">
        <w:rPr>
          <w:rFonts w:ascii="Times New Roman" w:hAnsi="Times New Roman" w:cs="Times New Roman"/>
          <w:color w:val="000000"/>
          <w:sz w:val="20"/>
          <w:szCs w:val="20"/>
          <w:lang w:val="en-US"/>
        </w:rPr>
        <w:t>Serang</w:t>
      </w:r>
      <w:proofErr w:type="spellEnd"/>
    </w:p>
    <w:p w14:paraId="190726BE" w14:textId="39AAF874" w:rsidR="00505D2E" w:rsidRPr="00540EEC" w:rsidRDefault="00505D2E" w:rsidP="00CC5864">
      <w:pPr>
        <w:suppressAutoHyphens/>
        <w:autoSpaceDE w:val="0"/>
        <w:autoSpaceDN w:val="0"/>
        <w:adjustRightInd w:val="0"/>
        <w:spacing w:after="0" w:line="360" w:lineRule="auto"/>
        <w:jc w:val="center"/>
        <w:textAlignment w:val="center"/>
        <w:rPr>
          <w:rFonts w:ascii="Times New Roman" w:hAnsi="Times New Roman" w:cs="Times New Roman"/>
          <w:color w:val="000000"/>
          <w:sz w:val="20"/>
          <w:szCs w:val="20"/>
          <w:lang w:val="en-US"/>
        </w:rPr>
      </w:pPr>
      <w:r w:rsidRPr="00540EEC">
        <w:rPr>
          <w:rFonts w:ascii="Times New Roman" w:hAnsi="Times New Roman" w:cs="Times New Roman"/>
          <w:sz w:val="20"/>
          <w:szCs w:val="20"/>
          <w:vertAlign w:val="superscript"/>
          <w:lang w:val="en-US"/>
        </w:rPr>
        <w:t>2</w:t>
      </w:r>
      <w:r w:rsidRPr="00540EEC">
        <w:rPr>
          <w:rFonts w:ascii="Times New Roman" w:hAnsi="Times New Roman" w:cs="Times New Roman"/>
          <w:sz w:val="20"/>
          <w:szCs w:val="20"/>
          <w:lang w:val="en-US"/>
        </w:rPr>
        <w:t xml:space="preserve">Universitas </w:t>
      </w:r>
      <w:proofErr w:type="spellStart"/>
      <w:r w:rsidRPr="00540EEC">
        <w:rPr>
          <w:rFonts w:ascii="Times New Roman" w:hAnsi="Times New Roman" w:cs="Times New Roman"/>
          <w:sz w:val="20"/>
          <w:szCs w:val="20"/>
          <w:lang w:val="en-US"/>
        </w:rPr>
        <w:t>Serang</w:t>
      </w:r>
      <w:proofErr w:type="spellEnd"/>
      <w:r w:rsidRPr="00540EEC">
        <w:rPr>
          <w:rFonts w:ascii="Times New Roman" w:hAnsi="Times New Roman" w:cs="Times New Roman"/>
          <w:sz w:val="20"/>
          <w:szCs w:val="20"/>
          <w:lang w:val="en-US"/>
        </w:rPr>
        <w:t xml:space="preserve"> Raya</w:t>
      </w:r>
      <w:r w:rsidRPr="00540EEC">
        <w:rPr>
          <w:rFonts w:ascii="Times New Roman" w:hAnsi="Times New Roman" w:cs="Times New Roman"/>
          <w:color w:val="000000"/>
          <w:sz w:val="20"/>
          <w:szCs w:val="20"/>
          <w:lang w:val="en-US"/>
        </w:rPr>
        <w:t xml:space="preserve">, Jalan Raya </w:t>
      </w:r>
      <w:proofErr w:type="spellStart"/>
      <w:r w:rsidRPr="00540EEC">
        <w:rPr>
          <w:rFonts w:ascii="Times New Roman" w:hAnsi="Times New Roman" w:cs="Times New Roman"/>
          <w:color w:val="000000"/>
          <w:sz w:val="20"/>
          <w:szCs w:val="20"/>
          <w:lang w:val="en-US"/>
        </w:rPr>
        <w:t>Serang</w:t>
      </w:r>
      <w:proofErr w:type="spellEnd"/>
      <w:r w:rsidRPr="00540EEC">
        <w:rPr>
          <w:rFonts w:ascii="Times New Roman" w:hAnsi="Times New Roman" w:cs="Times New Roman"/>
          <w:color w:val="000000"/>
          <w:sz w:val="20"/>
          <w:szCs w:val="20"/>
          <w:lang w:val="en-US"/>
        </w:rPr>
        <w:t xml:space="preserve"> – </w:t>
      </w:r>
      <w:proofErr w:type="spellStart"/>
      <w:r w:rsidRPr="00540EEC">
        <w:rPr>
          <w:rFonts w:ascii="Times New Roman" w:hAnsi="Times New Roman" w:cs="Times New Roman"/>
          <w:color w:val="000000"/>
          <w:sz w:val="20"/>
          <w:szCs w:val="20"/>
          <w:lang w:val="en-US"/>
        </w:rPr>
        <w:t>Cilegon</w:t>
      </w:r>
      <w:proofErr w:type="spellEnd"/>
      <w:r w:rsidRPr="00540EEC">
        <w:rPr>
          <w:rFonts w:ascii="Times New Roman" w:hAnsi="Times New Roman" w:cs="Times New Roman"/>
          <w:color w:val="000000"/>
          <w:sz w:val="20"/>
          <w:szCs w:val="20"/>
          <w:lang w:val="en-US"/>
        </w:rPr>
        <w:t xml:space="preserve"> Kota </w:t>
      </w:r>
      <w:proofErr w:type="spellStart"/>
      <w:r w:rsidRPr="00540EEC">
        <w:rPr>
          <w:rFonts w:ascii="Times New Roman" w:hAnsi="Times New Roman" w:cs="Times New Roman"/>
          <w:color w:val="000000"/>
          <w:sz w:val="20"/>
          <w:szCs w:val="20"/>
          <w:lang w:val="en-US"/>
        </w:rPr>
        <w:t>Serang</w:t>
      </w:r>
      <w:proofErr w:type="spellEnd"/>
      <w:r w:rsidRPr="00540EEC">
        <w:rPr>
          <w:rFonts w:ascii="Times New Roman" w:hAnsi="Times New Roman" w:cs="Times New Roman"/>
          <w:color w:val="000000"/>
          <w:sz w:val="20"/>
          <w:szCs w:val="20"/>
          <w:lang w:val="en-US"/>
        </w:rPr>
        <w:t xml:space="preserve"> </w:t>
      </w:r>
    </w:p>
    <w:p w14:paraId="5F24FCB4" w14:textId="6F0A3FF9" w:rsidR="00505D2E" w:rsidRPr="00540EEC" w:rsidRDefault="00505D2E" w:rsidP="00CC5864">
      <w:pPr>
        <w:suppressAutoHyphens/>
        <w:autoSpaceDE w:val="0"/>
        <w:autoSpaceDN w:val="0"/>
        <w:adjustRightInd w:val="0"/>
        <w:spacing w:after="0" w:line="360" w:lineRule="auto"/>
        <w:jc w:val="center"/>
        <w:textAlignment w:val="center"/>
        <w:rPr>
          <w:rFonts w:ascii="Times New Roman" w:hAnsi="Times New Roman" w:cs="Times New Roman"/>
          <w:color w:val="000000"/>
          <w:sz w:val="20"/>
          <w:szCs w:val="20"/>
          <w:lang w:val="en-US"/>
        </w:rPr>
      </w:pPr>
      <w:r w:rsidRPr="00540EEC">
        <w:rPr>
          <w:rFonts w:ascii="Times New Roman" w:hAnsi="Times New Roman" w:cs="Times New Roman"/>
          <w:sz w:val="20"/>
          <w:szCs w:val="20"/>
          <w:vertAlign w:val="superscript"/>
          <w:lang w:val="en-US"/>
        </w:rPr>
        <w:t>3</w:t>
      </w:r>
      <w:r w:rsidRPr="00540EEC">
        <w:rPr>
          <w:rFonts w:ascii="Times New Roman" w:hAnsi="Times New Roman" w:cs="Times New Roman"/>
          <w:sz w:val="20"/>
          <w:szCs w:val="20"/>
          <w:lang w:val="en-US"/>
        </w:rPr>
        <w:t xml:space="preserve">Universitas </w:t>
      </w:r>
      <w:proofErr w:type="spellStart"/>
      <w:r w:rsidRPr="00540EEC">
        <w:rPr>
          <w:rFonts w:ascii="Times New Roman" w:hAnsi="Times New Roman" w:cs="Times New Roman"/>
          <w:sz w:val="20"/>
          <w:szCs w:val="20"/>
          <w:lang w:val="en-US"/>
        </w:rPr>
        <w:t>Serang</w:t>
      </w:r>
      <w:proofErr w:type="spellEnd"/>
      <w:r w:rsidRPr="00540EEC">
        <w:rPr>
          <w:rFonts w:ascii="Times New Roman" w:hAnsi="Times New Roman" w:cs="Times New Roman"/>
          <w:sz w:val="20"/>
          <w:szCs w:val="20"/>
          <w:lang w:val="en-US"/>
        </w:rPr>
        <w:t xml:space="preserve"> Raya</w:t>
      </w:r>
      <w:r w:rsidRPr="00540EEC">
        <w:rPr>
          <w:rFonts w:ascii="Times New Roman" w:hAnsi="Times New Roman" w:cs="Times New Roman"/>
          <w:color w:val="000000"/>
          <w:sz w:val="20"/>
          <w:szCs w:val="20"/>
          <w:lang w:val="en-US"/>
        </w:rPr>
        <w:t xml:space="preserve">, Jalan Raya </w:t>
      </w:r>
      <w:proofErr w:type="spellStart"/>
      <w:r w:rsidRPr="00540EEC">
        <w:rPr>
          <w:rFonts w:ascii="Times New Roman" w:hAnsi="Times New Roman" w:cs="Times New Roman"/>
          <w:color w:val="000000"/>
          <w:sz w:val="20"/>
          <w:szCs w:val="20"/>
          <w:lang w:val="en-US"/>
        </w:rPr>
        <w:t>Serang</w:t>
      </w:r>
      <w:proofErr w:type="spellEnd"/>
      <w:r w:rsidRPr="00540EEC">
        <w:rPr>
          <w:rFonts w:ascii="Times New Roman" w:hAnsi="Times New Roman" w:cs="Times New Roman"/>
          <w:color w:val="000000"/>
          <w:sz w:val="20"/>
          <w:szCs w:val="20"/>
          <w:lang w:val="en-US"/>
        </w:rPr>
        <w:t xml:space="preserve"> – </w:t>
      </w:r>
      <w:proofErr w:type="spellStart"/>
      <w:r w:rsidRPr="00540EEC">
        <w:rPr>
          <w:rFonts w:ascii="Times New Roman" w:hAnsi="Times New Roman" w:cs="Times New Roman"/>
          <w:color w:val="000000"/>
          <w:sz w:val="20"/>
          <w:szCs w:val="20"/>
          <w:lang w:val="en-US"/>
        </w:rPr>
        <w:t>Cilegon</w:t>
      </w:r>
      <w:proofErr w:type="spellEnd"/>
      <w:r w:rsidRPr="00540EEC">
        <w:rPr>
          <w:rFonts w:ascii="Times New Roman" w:hAnsi="Times New Roman" w:cs="Times New Roman"/>
          <w:color w:val="000000"/>
          <w:sz w:val="20"/>
          <w:szCs w:val="20"/>
          <w:lang w:val="en-US"/>
        </w:rPr>
        <w:t xml:space="preserve"> Kota </w:t>
      </w:r>
      <w:proofErr w:type="spellStart"/>
      <w:r w:rsidRPr="00540EEC">
        <w:rPr>
          <w:rFonts w:ascii="Times New Roman" w:hAnsi="Times New Roman" w:cs="Times New Roman"/>
          <w:color w:val="000000"/>
          <w:sz w:val="20"/>
          <w:szCs w:val="20"/>
          <w:lang w:val="en-US"/>
        </w:rPr>
        <w:t>Serang</w:t>
      </w:r>
      <w:proofErr w:type="spellEnd"/>
    </w:p>
    <w:p w14:paraId="216DC1B2" w14:textId="30460DD8" w:rsidR="00474C9E" w:rsidRPr="00540EEC" w:rsidRDefault="00CC5864" w:rsidP="00CC5864">
      <w:pPr>
        <w:suppressAutoHyphens/>
        <w:autoSpaceDE w:val="0"/>
        <w:autoSpaceDN w:val="0"/>
        <w:adjustRightInd w:val="0"/>
        <w:spacing w:after="0" w:line="360" w:lineRule="auto"/>
        <w:jc w:val="center"/>
        <w:textAlignment w:val="center"/>
        <w:rPr>
          <w:rFonts w:ascii="Times New Roman" w:hAnsi="Times New Roman" w:cs="Times New Roman"/>
          <w:color w:val="000000"/>
          <w:sz w:val="20"/>
          <w:szCs w:val="20"/>
          <w:lang w:val="en-US"/>
        </w:rPr>
      </w:pPr>
      <w:r w:rsidRPr="00CC5864">
        <w:rPr>
          <w:rFonts w:ascii="Times New Roman" w:hAnsi="Times New Roman" w:cs="Times New Roman"/>
          <w:color w:val="000000"/>
          <w:sz w:val="20"/>
          <w:szCs w:val="20"/>
          <w:lang w:val="en-US"/>
        </w:rPr>
        <w:t xml:space="preserve">*Corresponding author: </w:t>
      </w:r>
      <w:r w:rsidR="00F6626E">
        <w:rPr>
          <w:rFonts w:ascii="Times New Roman" w:hAnsi="Times New Roman" w:cs="Times New Roman"/>
          <w:color w:val="000000"/>
          <w:sz w:val="20"/>
          <w:szCs w:val="20"/>
          <w:lang w:val="en-US"/>
        </w:rPr>
        <w:t>ahmadbroers20@gmail.com</w:t>
      </w:r>
    </w:p>
    <w:p w14:paraId="0AAC80F7" w14:textId="77777777" w:rsidR="0027683F" w:rsidRPr="00540EEC" w:rsidRDefault="0027683F" w:rsidP="00CC5864">
      <w:pPr>
        <w:suppressAutoHyphens/>
        <w:autoSpaceDE w:val="0"/>
        <w:autoSpaceDN w:val="0"/>
        <w:adjustRightInd w:val="0"/>
        <w:spacing w:after="0" w:line="360" w:lineRule="auto"/>
        <w:textAlignment w:val="center"/>
        <w:rPr>
          <w:rFonts w:ascii="Times New Roman" w:hAnsi="Times New Roman" w:cs="Times New Roman"/>
          <w:color w:val="000000"/>
          <w:sz w:val="20"/>
          <w:szCs w:val="20"/>
          <w:lang w:val="en-US"/>
        </w:rPr>
      </w:pPr>
    </w:p>
    <w:p w14:paraId="6EC50043" w14:textId="633AFEB0" w:rsidR="00C70A1D" w:rsidRPr="00540EEC" w:rsidRDefault="00474C9E" w:rsidP="00CC5864">
      <w:pPr>
        <w:suppressAutoHyphens/>
        <w:autoSpaceDE w:val="0"/>
        <w:autoSpaceDN w:val="0"/>
        <w:adjustRightInd w:val="0"/>
        <w:spacing w:after="0" w:line="240" w:lineRule="auto"/>
        <w:jc w:val="both"/>
        <w:textAlignment w:val="center"/>
        <w:rPr>
          <w:rStyle w:val="rynqvb"/>
          <w:rFonts w:ascii="Times New Roman" w:hAnsi="Times New Roman" w:cs="Times New Roman"/>
          <w:b/>
          <w:bCs/>
          <w:i/>
          <w:iCs/>
          <w:color w:val="000000"/>
          <w:lang w:val="en-US"/>
        </w:rPr>
      </w:pPr>
      <w:r w:rsidRPr="00540EEC">
        <w:rPr>
          <w:rFonts w:ascii="Times New Roman" w:hAnsi="Times New Roman" w:cs="Times New Roman"/>
          <w:b/>
          <w:bCs/>
          <w:i/>
          <w:iCs/>
          <w:color w:val="000000"/>
          <w:lang w:val="en-US"/>
        </w:rPr>
        <w:t>ABSTRACT</w:t>
      </w:r>
      <w:r w:rsidR="00C70A1D" w:rsidRPr="00540EEC">
        <w:rPr>
          <w:rFonts w:ascii="Times New Roman" w:hAnsi="Times New Roman" w:cs="Times New Roman"/>
          <w:b/>
          <w:bCs/>
          <w:i/>
          <w:iCs/>
          <w:color w:val="000000"/>
          <w:lang w:val="en-US"/>
        </w:rPr>
        <w:t xml:space="preserve">. </w:t>
      </w:r>
      <w:r w:rsidR="00505D2E" w:rsidRPr="00540EEC">
        <w:rPr>
          <w:rStyle w:val="rynqvb"/>
          <w:rFonts w:ascii="Times New Roman" w:hAnsi="Times New Roman" w:cs="Times New Roman"/>
          <w:i/>
          <w:iCs/>
          <w:sz w:val="20"/>
          <w:szCs w:val="20"/>
          <w:lang w:val="en"/>
        </w:rPr>
        <w:t xml:space="preserve">The Subdistrict Regional Development Fund Program (DPWK) is an innovation from the </w:t>
      </w:r>
      <w:proofErr w:type="spellStart"/>
      <w:r w:rsidR="00505D2E" w:rsidRPr="00540EEC">
        <w:rPr>
          <w:rStyle w:val="rynqvb"/>
          <w:rFonts w:ascii="Times New Roman" w:hAnsi="Times New Roman" w:cs="Times New Roman"/>
          <w:i/>
          <w:iCs/>
          <w:sz w:val="20"/>
          <w:szCs w:val="20"/>
          <w:lang w:val="en"/>
        </w:rPr>
        <w:t>Cilegon</w:t>
      </w:r>
      <w:proofErr w:type="spellEnd"/>
      <w:r w:rsidR="00505D2E" w:rsidRPr="00540EEC">
        <w:rPr>
          <w:rStyle w:val="rynqvb"/>
          <w:rFonts w:ascii="Times New Roman" w:hAnsi="Times New Roman" w:cs="Times New Roman"/>
          <w:i/>
          <w:iCs/>
          <w:sz w:val="20"/>
          <w:szCs w:val="20"/>
          <w:lang w:val="en"/>
        </w:rPr>
        <w:t xml:space="preserve"> </w:t>
      </w:r>
      <w:r w:rsidR="00C70A1D" w:rsidRPr="00540EEC">
        <w:rPr>
          <w:rStyle w:val="rynqvb"/>
          <w:rFonts w:ascii="Times New Roman" w:hAnsi="Times New Roman" w:cs="Times New Roman"/>
          <w:i/>
          <w:iCs/>
          <w:sz w:val="20"/>
          <w:szCs w:val="20"/>
          <w:lang w:val="en"/>
        </w:rPr>
        <w:t>Municipality</w:t>
      </w:r>
      <w:r w:rsidR="00505D2E" w:rsidRPr="00540EEC">
        <w:rPr>
          <w:rStyle w:val="rynqvb"/>
          <w:rFonts w:ascii="Times New Roman" w:hAnsi="Times New Roman" w:cs="Times New Roman"/>
          <w:i/>
          <w:iCs/>
          <w:sz w:val="20"/>
          <w:szCs w:val="20"/>
          <w:lang w:val="en"/>
        </w:rPr>
        <w:t xml:space="preserve"> Government which aims to improve the administrative function of subdistrict government in providing services to the community, encourage accelerated and equitable regional development and encourage the acceleration of regional poverty reduction.</w:t>
      </w:r>
      <w:r w:rsidR="00505D2E" w:rsidRPr="00540EEC">
        <w:rPr>
          <w:rStyle w:val="hwtze"/>
          <w:rFonts w:ascii="Times New Roman" w:hAnsi="Times New Roman" w:cs="Times New Roman"/>
          <w:i/>
          <w:iCs/>
          <w:sz w:val="20"/>
          <w:szCs w:val="20"/>
          <w:lang w:val="en"/>
        </w:rPr>
        <w:t xml:space="preserve"> </w:t>
      </w:r>
      <w:r w:rsidR="00505D2E" w:rsidRPr="00540EEC">
        <w:rPr>
          <w:rStyle w:val="rynqvb"/>
          <w:rFonts w:ascii="Times New Roman" w:hAnsi="Times New Roman" w:cs="Times New Roman"/>
          <w:i/>
          <w:iCs/>
          <w:sz w:val="20"/>
          <w:szCs w:val="20"/>
          <w:lang w:val="en"/>
        </w:rPr>
        <w:t xml:space="preserve">The aim of this research is to determine the innovation capacity of the Village Regional Development Fund Program (DPWK) in supporting accelerated and equitable development in </w:t>
      </w:r>
      <w:proofErr w:type="spellStart"/>
      <w:r w:rsidR="00505D2E" w:rsidRPr="00540EEC">
        <w:rPr>
          <w:rStyle w:val="rynqvb"/>
          <w:rFonts w:ascii="Times New Roman" w:hAnsi="Times New Roman" w:cs="Times New Roman"/>
          <w:i/>
          <w:iCs/>
          <w:sz w:val="20"/>
          <w:szCs w:val="20"/>
          <w:lang w:val="en"/>
        </w:rPr>
        <w:t>Cilegon</w:t>
      </w:r>
      <w:proofErr w:type="spellEnd"/>
      <w:r w:rsidR="00505D2E" w:rsidRPr="00540EEC">
        <w:rPr>
          <w:rStyle w:val="rynqvb"/>
          <w:rFonts w:ascii="Times New Roman" w:hAnsi="Times New Roman" w:cs="Times New Roman"/>
          <w:i/>
          <w:iCs/>
          <w:sz w:val="20"/>
          <w:szCs w:val="20"/>
          <w:lang w:val="en"/>
        </w:rPr>
        <w:t xml:space="preserve"> </w:t>
      </w:r>
      <w:r w:rsidR="00C70A1D" w:rsidRPr="00540EEC">
        <w:rPr>
          <w:rStyle w:val="rynqvb"/>
          <w:rFonts w:ascii="Times New Roman" w:hAnsi="Times New Roman" w:cs="Times New Roman"/>
          <w:i/>
          <w:iCs/>
          <w:sz w:val="20"/>
          <w:szCs w:val="20"/>
          <w:lang w:val="en"/>
        </w:rPr>
        <w:t>Municipality</w:t>
      </w:r>
      <w:r w:rsidR="00505D2E" w:rsidRPr="00540EEC">
        <w:rPr>
          <w:rStyle w:val="rynqvb"/>
          <w:rFonts w:ascii="Times New Roman" w:hAnsi="Times New Roman" w:cs="Times New Roman"/>
          <w:i/>
          <w:iCs/>
          <w:sz w:val="20"/>
          <w:szCs w:val="20"/>
          <w:lang w:val="en"/>
        </w:rPr>
        <w:t>.</w:t>
      </w:r>
      <w:r w:rsidR="00505D2E" w:rsidRPr="00540EEC">
        <w:rPr>
          <w:rStyle w:val="hwtze"/>
          <w:rFonts w:ascii="Times New Roman" w:hAnsi="Times New Roman" w:cs="Times New Roman"/>
          <w:i/>
          <w:iCs/>
          <w:sz w:val="20"/>
          <w:szCs w:val="20"/>
          <w:lang w:val="en"/>
        </w:rPr>
        <w:t xml:space="preserve"> </w:t>
      </w:r>
      <w:r w:rsidR="00505D2E" w:rsidRPr="00540EEC">
        <w:rPr>
          <w:rStyle w:val="rynqvb"/>
          <w:rFonts w:ascii="Times New Roman" w:hAnsi="Times New Roman" w:cs="Times New Roman"/>
          <w:i/>
          <w:iCs/>
          <w:sz w:val="20"/>
          <w:szCs w:val="20"/>
          <w:lang w:val="en"/>
        </w:rPr>
        <w:t>This research method uses a descriptive method with a qualitative approach.</w:t>
      </w:r>
      <w:r w:rsidR="00505D2E" w:rsidRPr="00540EEC">
        <w:rPr>
          <w:rStyle w:val="hwtze"/>
          <w:rFonts w:ascii="Times New Roman" w:hAnsi="Times New Roman" w:cs="Times New Roman"/>
          <w:i/>
          <w:iCs/>
          <w:sz w:val="20"/>
          <w:szCs w:val="20"/>
          <w:lang w:val="en"/>
        </w:rPr>
        <w:t xml:space="preserve"> </w:t>
      </w:r>
      <w:r w:rsidR="00505D2E" w:rsidRPr="00540EEC">
        <w:rPr>
          <w:rStyle w:val="rynqvb"/>
          <w:rFonts w:ascii="Times New Roman" w:hAnsi="Times New Roman" w:cs="Times New Roman"/>
          <w:i/>
          <w:iCs/>
          <w:sz w:val="20"/>
          <w:szCs w:val="20"/>
          <w:lang w:val="en"/>
        </w:rPr>
        <w:t>Data collection was carried out through interviews, observation and documentation.</w:t>
      </w:r>
      <w:r w:rsidR="00505D2E" w:rsidRPr="00540EEC">
        <w:rPr>
          <w:rStyle w:val="hwtze"/>
          <w:rFonts w:ascii="Times New Roman" w:hAnsi="Times New Roman" w:cs="Times New Roman"/>
          <w:i/>
          <w:iCs/>
          <w:sz w:val="20"/>
          <w:szCs w:val="20"/>
          <w:lang w:val="en"/>
        </w:rPr>
        <w:t xml:space="preserve"> </w:t>
      </w:r>
      <w:r w:rsidR="00505D2E" w:rsidRPr="00540EEC">
        <w:rPr>
          <w:rStyle w:val="rynqvb"/>
          <w:rFonts w:ascii="Times New Roman" w:hAnsi="Times New Roman" w:cs="Times New Roman"/>
          <w:i/>
          <w:iCs/>
          <w:sz w:val="20"/>
          <w:szCs w:val="20"/>
          <w:lang w:val="en"/>
        </w:rPr>
        <w:t>The research results show that the Subdistrict Regional Development Fund Program has been running well, although there are still several problems such as limited community empowerment programs and only prioritizing regional infrastructure development programs and the low collaborative capacity of program implementers.</w:t>
      </w:r>
      <w:r w:rsidR="00505D2E" w:rsidRPr="00540EEC">
        <w:rPr>
          <w:rStyle w:val="hwtze"/>
          <w:rFonts w:ascii="Times New Roman" w:hAnsi="Times New Roman" w:cs="Times New Roman"/>
          <w:i/>
          <w:iCs/>
          <w:sz w:val="20"/>
          <w:szCs w:val="20"/>
          <w:lang w:val="en"/>
        </w:rPr>
        <w:t xml:space="preserve"> </w:t>
      </w:r>
      <w:r w:rsidR="00505D2E" w:rsidRPr="00540EEC">
        <w:rPr>
          <w:rStyle w:val="rynqvb"/>
          <w:rFonts w:ascii="Times New Roman" w:hAnsi="Times New Roman" w:cs="Times New Roman"/>
          <w:i/>
          <w:iCs/>
          <w:sz w:val="20"/>
          <w:szCs w:val="20"/>
          <w:lang w:val="en"/>
        </w:rPr>
        <w:t xml:space="preserve">Because the </w:t>
      </w:r>
      <w:proofErr w:type="spellStart"/>
      <w:r w:rsidR="00505D2E" w:rsidRPr="00540EEC">
        <w:rPr>
          <w:rStyle w:val="rynqvb"/>
          <w:rFonts w:ascii="Times New Roman" w:hAnsi="Times New Roman" w:cs="Times New Roman"/>
          <w:i/>
          <w:iCs/>
          <w:sz w:val="20"/>
          <w:szCs w:val="20"/>
          <w:lang w:val="en"/>
        </w:rPr>
        <w:t>Cilegon</w:t>
      </w:r>
      <w:proofErr w:type="spellEnd"/>
      <w:r w:rsidR="00505D2E" w:rsidRPr="00540EEC">
        <w:rPr>
          <w:rStyle w:val="rynqvb"/>
          <w:rFonts w:ascii="Times New Roman" w:hAnsi="Times New Roman" w:cs="Times New Roman"/>
          <w:i/>
          <w:iCs/>
          <w:sz w:val="20"/>
          <w:szCs w:val="20"/>
          <w:lang w:val="en"/>
        </w:rPr>
        <w:t xml:space="preserve"> </w:t>
      </w:r>
      <w:r w:rsidR="00C70A1D" w:rsidRPr="00540EEC">
        <w:rPr>
          <w:rStyle w:val="rynqvb"/>
          <w:rFonts w:ascii="Times New Roman" w:hAnsi="Times New Roman" w:cs="Times New Roman"/>
          <w:i/>
          <w:iCs/>
          <w:sz w:val="20"/>
          <w:szCs w:val="20"/>
          <w:lang w:val="en"/>
        </w:rPr>
        <w:t>Municipality</w:t>
      </w:r>
      <w:r w:rsidR="00505D2E" w:rsidRPr="00540EEC">
        <w:rPr>
          <w:rStyle w:val="rynqvb"/>
          <w:rFonts w:ascii="Times New Roman" w:hAnsi="Times New Roman" w:cs="Times New Roman"/>
          <w:i/>
          <w:iCs/>
          <w:sz w:val="20"/>
          <w:szCs w:val="20"/>
          <w:lang w:val="en"/>
        </w:rPr>
        <w:t xml:space="preserve"> government is paying more attention to community empowerment programs, intensive communication with the implementers of the Village Regional Development Fund (DPWK) program in </w:t>
      </w:r>
      <w:proofErr w:type="spellStart"/>
      <w:r w:rsidR="00505D2E" w:rsidRPr="00540EEC">
        <w:rPr>
          <w:rStyle w:val="rynqvb"/>
          <w:rFonts w:ascii="Times New Roman" w:hAnsi="Times New Roman" w:cs="Times New Roman"/>
          <w:i/>
          <w:iCs/>
          <w:sz w:val="20"/>
          <w:szCs w:val="20"/>
          <w:lang w:val="en"/>
        </w:rPr>
        <w:t>Cilegon</w:t>
      </w:r>
      <w:proofErr w:type="spellEnd"/>
      <w:r w:rsidR="00505D2E" w:rsidRPr="00540EEC">
        <w:rPr>
          <w:rStyle w:val="rynqvb"/>
          <w:rFonts w:ascii="Times New Roman" w:hAnsi="Times New Roman" w:cs="Times New Roman"/>
          <w:i/>
          <w:iCs/>
          <w:sz w:val="20"/>
          <w:szCs w:val="20"/>
          <w:lang w:val="en"/>
        </w:rPr>
        <w:t xml:space="preserve"> </w:t>
      </w:r>
      <w:r w:rsidR="00C70A1D" w:rsidRPr="00540EEC">
        <w:rPr>
          <w:rStyle w:val="rynqvb"/>
          <w:rFonts w:ascii="Times New Roman" w:hAnsi="Times New Roman" w:cs="Times New Roman"/>
          <w:i/>
          <w:iCs/>
          <w:sz w:val="20"/>
          <w:szCs w:val="20"/>
          <w:lang w:val="en"/>
        </w:rPr>
        <w:t>Municipality</w:t>
      </w:r>
      <w:r w:rsidR="00505D2E" w:rsidRPr="00540EEC">
        <w:rPr>
          <w:rStyle w:val="rynqvb"/>
          <w:rFonts w:ascii="Times New Roman" w:hAnsi="Times New Roman" w:cs="Times New Roman"/>
          <w:i/>
          <w:iCs/>
          <w:sz w:val="20"/>
          <w:szCs w:val="20"/>
          <w:lang w:val="en"/>
        </w:rPr>
        <w:t xml:space="preserve"> in creating ideal collaboration and prioritizing regional infrastructure development programs </w:t>
      </w:r>
    </w:p>
    <w:p w14:paraId="50C685EA" w14:textId="5F843A7F" w:rsidR="00474C9E" w:rsidRDefault="00505D2E" w:rsidP="00CC5864">
      <w:pPr>
        <w:suppressAutoHyphens/>
        <w:autoSpaceDE w:val="0"/>
        <w:autoSpaceDN w:val="0"/>
        <w:adjustRightInd w:val="0"/>
        <w:spacing w:after="0" w:line="240" w:lineRule="auto"/>
        <w:jc w:val="both"/>
        <w:textAlignment w:val="center"/>
        <w:rPr>
          <w:rStyle w:val="rynqvb"/>
          <w:rFonts w:ascii="Times New Roman" w:hAnsi="Times New Roman" w:cs="Times New Roman"/>
          <w:i/>
          <w:iCs/>
          <w:sz w:val="20"/>
          <w:szCs w:val="20"/>
          <w:lang w:val="en"/>
        </w:rPr>
      </w:pPr>
      <w:r w:rsidRPr="00540EEC">
        <w:rPr>
          <w:rStyle w:val="rynqvb"/>
          <w:rFonts w:ascii="Times New Roman" w:hAnsi="Times New Roman" w:cs="Times New Roman"/>
          <w:b/>
          <w:bCs/>
          <w:i/>
          <w:iCs/>
          <w:sz w:val="20"/>
          <w:szCs w:val="20"/>
          <w:lang w:val="en"/>
        </w:rPr>
        <w:t>Keywords;</w:t>
      </w:r>
      <w:r w:rsidRPr="00540EEC">
        <w:rPr>
          <w:rStyle w:val="hwtze"/>
          <w:rFonts w:ascii="Times New Roman" w:hAnsi="Times New Roman" w:cs="Times New Roman"/>
          <w:i/>
          <w:iCs/>
          <w:sz w:val="20"/>
          <w:szCs w:val="20"/>
          <w:lang w:val="en"/>
        </w:rPr>
        <w:t xml:space="preserve"> </w:t>
      </w:r>
      <w:r w:rsidRPr="00540EEC">
        <w:rPr>
          <w:rStyle w:val="rynqvb"/>
          <w:rFonts w:ascii="Times New Roman" w:hAnsi="Times New Roman" w:cs="Times New Roman"/>
          <w:i/>
          <w:iCs/>
          <w:sz w:val="20"/>
          <w:szCs w:val="20"/>
          <w:lang w:val="en"/>
        </w:rPr>
        <w:t xml:space="preserve">Capacity; Innovation; Development; </w:t>
      </w:r>
      <w:proofErr w:type="spellStart"/>
      <w:r w:rsidRPr="00540EEC">
        <w:rPr>
          <w:rStyle w:val="rynqvb"/>
          <w:rFonts w:ascii="Times New Roman" w:hAnsi="Times New Roman" w:cs="Times New Roman"/>
          <w:i/>
          <w:iCs/>
          <w:sz w:val="20"/>
          <w:szCs w:val="20"/>
          <w:lang w:val="en"/>
        </w:rPr>
        <w:t>Cilegon</w:t>
      </w:r>
      <w:proofErr w:type="spellEnd"/>
    </w:p>
    <w:p w14:paraId="166BD0B7" w14:textId="77777777" w:rsidR="00540EEC" w:rsidRDefault="00540EEC" w:rsidP="00CC5864">
      <w:pPr>
        <w:suppressAutoHyphens/>
        <w:autoSpaceDE w:val="0"/>
        <w:autoSpaceDN w:val="0"/>
        <w:adjustRightInd w:val="0"/>
        <w:spacing w:after="0" w:line="360" w:lineRule="auto"/>
        <w:jc w:val="both"/>
        <w:textAlignment w:val="center"/>
        <w:rPr>
          <w:rStyle w:val="rynqvb"/>
          <w:rFonts w:ascii="Times New Roman" w:hAnsi="Times New Roman" w:cs="Times New Roman"/>
          <w:i/>
          <w:iCs/>
          <w:sz w:val="20"/>
          <w:szCs w:val="20"/>
          <w:lang w:val="en"/>
        </w:rPr>
      </w:pPr>
    </w:p>
    <w:p w14:paraId="7C1E502E" w14:textId="06E59C70" w:rsidR="00D657CD" w:rsidRPr="00CC5864" w:rsidRDefault="00E14689" w:rsidP="00CC5864">
      <w:pPr>
        <w:keepNext/>
        <w:tabs>
          <w:tab w:val="left" w:pos="0"/>
        </w:tabs>
        <w:suppressAutoHyphens/>
        <w:autoSpaceDE w:val="0"/>
        <w:autoSpaceDN w:val="0"/>
        <w:adjustRightInd w:val="0"/>
        <w:spacing w:after="0" w:line="360" w:lineRule="auto"/>
        <w:textAlignment w:val="center"/>
        <w:outlineLvl w:val="0"/>
        <w:rPr>
          <w:rFonts w:ascii="Times New Roman" w:hAnsi="Times New Roman" w:cs="Times New Roman"/>
          <w:b/>
          <w:bCs/>
          <w:sz w:val="24"/>
          <w:szCs w:val="24"/>
          <w:lang w:val="en-US"/>
        </w:rPr>
      </w:pPr>
      <w:r w:rsidRPr="00CC5864">
        <w:rPr>
          <w:rFonts w:ascii="Times New Roman" w:hAnsi="Times New Roman" w:cs="Times New Roman"/>
          <w:b/>
          <w:bCs/>
          <w:sz w:val="24"/>
          <w:szCs w:val="24"/>
          <w:lang w:val="en-US"/>
        </w:rPr>
        <w:t>PENDAHULUAN</w:t>
      </w:r>
    </w:p>
    <w:p w14:paraId="53FF40A8" w14:textId="77777777" w:rsidR="00540EEC"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Peningkatan daya saing daerah dengan pemberian otonomi yang seluas-luasnya kepada daerah bertujuan untuk mempercepat terwujudnya kesejahteraan masyarakat dan pelayanan publik yang optimal. Sejalan dengan hal tersebut, pemerintah terus mengupayakan peningkatan pelaksanaan pembangunan nasional agar laju pembangunan daerah dapat berjalan dengan seimbang. Salah satu upaya yang dilakukan oleh pemerintah dalam mewujudkan hal tersebut adalah mendorong adanya inovasi kebijakan pemerintah daerah terutama yang terkait dengan pengelolaan alokasi dana untuk percepatan pembangunan daerah yang dikelola pemerintahan daera, termasuk dalam hal ini kecamatan dan kelurahan. </w:t>
      </w:r>
    </w:p>
    <w:p w14:paraId="2248C4A2" w14:textId="77777777" w:rsidR="00540EEC"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Menurut Mulgan &amp; Albury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{"citationItems":[{"id":"ITEM-1","itemData":{"DOI":"10.2214/AJR.07.2082","ISBN":"9780230307520","abstract":"This paper brings together the results of many years of research and experience at Nesta on how public sectors can become more effective innovators. This is a field that combines brilliant people and examples, along with a fair amount of hype and snake oil which results in methods spreading more because of fashion than effectiveness. Here we set out our approach to combining greater creativity with more attention to evidence and impact.","author":[{"dropping-particle":"","family":"Mulgan","given":"Geoff","non-dropping-particle":"","parse-names":false,"suffix":""}],"container-title":"Nesta","id":"ITEM-1","issue":"November","issued":{"date-parts":[["2014"]]},"page":"1-20","title":"Report: Innovation in the Public Sector: How Can Public Organisations Better Create, Improve and Adapt?","type":"article-journal","volume":"1"},"suppress-author":1,"uris":["http://www.mendeley.com/documents/?uuid=eaf84698-087d-41a8-98b5-06c33bf24a96"]}],"mendeley":{"formattedCitation":"(2014)","plainTextFormattedCitation":"(2014)","previouslyFormattedCitation":"(2014)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(2014)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inovasi yang berhasil merupakan kreasi dan implementasi dari proses, produk, layanan, dan metode pelayanan baru yang merupakan hasil pengembangan nyata dalam hal efisiensi, efektivitas atau kualitas hasil. Hal tersebut menunjukkan bahwa inovasi tidak hanya dimaknai berupa produk dan proses semata. Inovasi produk atau layanan berasal dari perubahan bentuk dan desain produk ataulayanan sementara inovasi proses berasal dari gerakan pembaruan kualitas yang berkelanjutan dan mengacu pada </w:t>
      </w:r>
      <w:r w:rsidRPr="00CC5864">
        <w:rPr>
          <w:rFonts w:ascii="Times New Roman" w:hAnsi="Times New Roman" w:cs="Times New Roman"/>
          <w:sz w:val="24"/>
          <w:szCs w:val="24"/>
        </w:rPr>
        <w:lastRenderedPageBreak/>
        <w:t xml:space="preserve">kombinasi perubahan organisasi, prosedur, dan kebijakan yang dibutuhkan untuk berinovasi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{"citationItems":[{"id":"ITEM-1","itemData":{"author":[{"dropping-particle":"","family":"Muluk","given":"M.R. Khairul","non-dropping-particle":"","parse-names":false,"suffix":""}],"id":"ITEM-1","issued":{"date-parts":[["2008"]]},"publisher":"Malang: Banyumedia.","title":"Knowledge Management (Kunci Sukses Inovasi Pemerintah Daerah)","type":"book"},"uris":["http://www.mendeley.com/documents/?uuid=be13736f-e600-4c04-9290-ff923fa41bc1"]}],"mendeley":{"formattedCitation":"(Muluk 2008)","plainTextFormattedCitation":"(Muluk 2008)","previouslyFormattedCitation":"(Muluk 2008)"},"properties":{"noteIndex":0},"schema":"https://github.com/citation-style-language/schema/raw/master/csl-citation.json"}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(Muluk 2008)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w:t>
      </w:r>
    </w:p>
    <w:p w14:paraId="61A55F13" w14:textId="44A252A1"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Menurut UNDESA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{"citationItems":[{"id":"ITEM-1","itemData":{"author":[{"dropping-particle":"","family":"UNDESA","given":"","non-dropping-particle":"","parse-names":false,"suffix":""}],"id":"ITEM-1","issued":{"date-parts":[["2006"]]},"publisher":"New York: United Nations Publication.","title":"Innovations in Governance and Public Administration: Replicating What Works","type":"book"},"suppress-author":1,"uris":["http://www.mendeley.com/documents/?uuid=a659445e-e3b2-4b0c-ad2d-196efd429033"]}],"mendeley":{"formattedCitation":"(2006)","plainTextFormattedCitation":"(2006)","previouslyFormattedCitation":"(2006)"},"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(2006)</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inovasi dalam kajian administrasi publik dapat dibedakan dalam beberapa tipe atau jenis, meliputi : 1)Institutional innovations, yaitu inovasi kelembagaan yang fokus pada pembaruan lembaga-lembaga yang sudah dibangun atau menciptakan lembaga-lembaga yang benar-benar baru (focus on the renewal of established institutions and/or the creation of new institutions); 2)Organizational innovation, yakni inovasi organisasi berkaitan dengan memperkernalkan prosedur atau teknik-teknik manajemen yang baru dalam Administrasi Publik (the introduction of new working procedures or management techniques in publik administration); 3)Process innovation, yaitu inovasi proses di mana fokus pada peningkatan kualitas penyediaan pelayanan publik (focuses on the improvement of the quality of publik service delivery); dan 4)Conceptual innovation, yaitu inovasi konseptual yang diarahkan pada pengenalan bentuk-bentuk baru pemerintahan (the introduction of new forms of governance) misalnya interactive policy-making, engaged governance, people’s budget reforms, horizontal networks.</w:t>
      </w:r>
    </w:p>
    <w:p w14:paraId="203D3BE3" w14:textId="67D8EE7C" w:rsidR="00E14689" w:rsidRPr="00CC5864" w:rsidRDefault="00E14689" w:rsidP="00CC5864">
      <w:pPr>
        <w:spacing w:after="0" w:line="360" w:lineRule="auto"/>
        <w:ind w:firstLine="720"/>
        <w:jc w:val="both"/>
        <w:rPr>
          <w:rFonts w:ascii="Times New Roman" w:hAnsi="Times New Roman" w:cs="Times New Roman"/>
          <w:i/>
          <w:iCs/>
          <w:sz w:val="24"/>
          <w:szCs w:val="24"/>
        </w:rPr>
      </w:pPr>
      <w:r w:rsidRPr="00CC5864">
        <w:rPr>
          <w:rFonts w:ascii="Times New Roman" w:hAnsi="Times New Roman" w:cs="Times New Roman"/>
          <w:sz w:val="24"/>
          <w:szCs w:val="24"/>
        </w:rPr>
        <w:t xml:space="preserve">Terdapat lima macam atribut inovasi menurut Rogers (2003) dalam Shen dan Wang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{"citationItems":[{"id":"ITEM-1","itemData":{"DOI":"10.1016/j.eist.2017.10.009","ISSN":"22104224","abstract":"Harnessing market instruments of climate governance, such as emission trading schemes (ETS) into an authoritarian and highly fragmented governance system like China can be challenging. It requires tremendous efforts from local states for policy experiments and innovations. This paper examines these local adaptive measures to develop pilot ETS around China. The key finding is that these local policy innovations have played an important role to kick off carbon trading activities effectively, by addressing a number of challenges such as highly imbalanced economic and political contexts, very limited emissions data and technological capacity, and low participants’ awareness of ETS. The implications of such policy innovations to the construction of a nationwide ETS system are also discussed. Some of local policy innovations can be legitimised and adopted into the design of national carbon market, while others are more likely appreciated only at initial stage of market development at local level.","author":[{"dropping-particle":"","family":"Shen","given":"Wei","non-dropping-particle":"","parse-names":false,"suffix":""},{"dropping-particle":"","family":"Wang","given":"Yao","non-dropping-particle":"","parse-names":false,"suffix":""}],"container-title":"Environmental Innovation and Societal Transitions","id":"ITEM-1","issue":"August","issued":{"date-parts":[["2019"]]},"page":"59-68","publisher":"Elsevier","title":"Adaptive policy innovations and the construction of emission trading schemes in China: Taking stock and looking forward","type":"article-journal","volume":"30"},"suppress-author":1,"uris":["http://www.mendeley.com/documents/?uuid=5a40216b-e0d3-4e79-a00a-ac0178b62b3b"]}],"mendeley":{"formattedCitation":"(2019)","plainTextFormattedCitation":"(2019)","previouslyFormattedCitation":"(Shen dan Wang 2019)"},"properties":{"noteIndex":0},"schema":"https://github.com/citation-style-language/schema/raw/master/csl-citation.json"}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(2019)</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meliputi:  a)Relative Advantage atau keuntungan relative;  b)Compatibilty atau kesesuaian;  c)Complexity atau kerumitan;  d)Triability atau kemungkinan dicoba; dan  e)Observability atau kemudahan diamati.  Kemudian menurut Ancok (2012:58) ada tiga aspek/modal dalam mendukung inovasi, yakni sebagai berikut : 1)Modal manusia; 2)Modal kepemimpinan; dan 3)Modal struktur ogranisasi. Jenis-jenis pelayanan dapat dilihat dalam berbagai perbedaan seperti: </w:t>
      </w:r>
      <w:r w:rsidRPr="00CC5864">
        <w:rPr>
          <w:rFonts w:ascii="Times New Roman" w:hAnsi="Times New Roman" w:cs="Times New Roman"/>
          <w:i/>
          <w:iCs/>
          <w:sz w:val="24"/>
          <w:szCs w:val="24"/>
        </w:rPr>
        <w:t>introduction of a new good, introduction of a new production means, and the discovery of a newsource of rawmaterials, newmarkets, or new</w:t>
      </w:r>
      <w:r w:rsidR="00540EEC" w:rsidRPr="00CC5864">
        <w:rPr>
          <w:rFonts w:ascii="Times New Roman" w:hAnsi="Times New Roman" w:cs="Times New Roman"/>
          <w:i/>
          <w:iCs/>
          <w:sz w:val="24"/>
          <w:szCs w:val="24"/>
          <w:lang w:val="en-US"/>
        </w:rPr>
        <w:t xml:space="preserve"> </w:t>
      </w:r>
      <w:r w:rsidRPr="00CC5864">
        <w:rPr>
          <w:rFonts w:ascii="Times New Roman" w:hAnsi="Times New Roman" w:cs="Times New Roman"/>
          <w:i/>
          <w:iCs/>
          <w:sz w:val="24"/>
          <w:szCs w:val="24"/>
        </w:rPr>
        <w:t>organizations.</w:t>
      </w:r>
    </w:p>
    <w:p w14:paraId="43C66D0A" w14:textId="77777777" w:rsidR="00540EEC"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Selain itu, inovasi pelayanan publik bertujuan untuk mendukung percepatan kinerja pemerintahan dalam memberikan pelayanan publik yang optimal. The novelty of a radical service innovation could include a new policy, a transformed process, a new service or a new configuration of an existing service and it can stand out through the newness of the offering or the market atau dengan kata lain kebaruan inovasi pelayanan dapat mencakup kebijakan baru, proses transformasi, layanan baru atau konfigurasi baru dari layanan yang ada dan dapat melalui kebaruan penawaran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{"citationItems":[{"id":"ITEM-1","itemData":{"DOI":"10.1108/JSM-04-2016-0161","ISBN":"0144357071075","ISSN":"08876045","abstract":"Purpose: Open service innovation is an emergent new service development practice, where knowledge on how to organize development work is scarce. The purpose of the present research is to identify and describe relevant archetypes of open service innovation. The study views an archetype as an organizing template that includes the competence of participants, organizing co-creation among participants and ties between participants. In particular, the study’s interest lies in how open service innovation archetypes are used for incremental and radical service innovation. Design/methodology/approach: For the research, a nested case study was performed, in which an industrial firm with nine open service innovation groups was identified. Forty-five interviews were conducted with participants. For each case, first a within-case analysis was performed, and how to perform open service innovation in practice was described. Then, a cross-case analysis identifying similarities and differences between the open service innovation groups was performed. On the basis of the cross-case analysis, three archetypes for open service innovation were identified. Findings: The nested case study identified three archetypes for open service innovation: internal group development, satellite team development and rocket team development. This study shows that different archetypes are used for incremental and radical service innovation and that a firm can have multiple open service innovation groups using different archetypes. Practical implications: This study provides suggestions on how firms can organize for open service innovation. The identified archetypes can guide managers to set up, develop or be part of open service innovation groups. Originality/value: This paper uses open service innovation as a mid-range theory to extend existing research on new service development in networks or service ecosystems. In particular, it shows how open service innovation can be organized to develop both incremental and radical service innovations.","author":[{"dropping-particle":"","family":"Myhren","given":"Per","non-dropping-particle":"","parse-names":false,"suffix":""},{"dropping-particle":"","family":"Witell","given":"Lars","non-dropping-particle":"","parse-names":false,"suffix":""},{"dropping-particle":"","family":"Gustafsson","given":"Anders","non-dropping-particle":"","parse-names":false,"suffix":""},{"dropping-particle":"","family":"Gebauer","given":"Heiko","non-dropping-particle":"","parse-names":false,"suffix":""}],"container-title":"Journal of Services Marketing","id":"ITEM-1","issue":"2","issued":{"date-parts":[["2018"]]},"page":"101-112","title":"Incremental and radical open service innovation","type":"article-journal","volume":"32"},"uris":["http://www.mendeley.com/documents/?uuid=cf6922e8-0b4b-489a-8c76-6d622aa67a29"]}],"mendeley":{"formattedCitation":"(Myhren et al. 2018)","plainTextFormattedCitation":"(Myhren et al. 2018)","previouslyFormattedCitation":"(Myhren et al. 2018)"},"properties":{"noteIndex":0},"schema":"https://github.com/citation-style-language/schema/raw/master/csl-citation.json"}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(Myhren et al. 2018)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Dengan demikian penyelenggaraan pelayanan publik melalui inovasi pelayanan seperti berpotensi mendorong kesejahteraan masyarakat dan meningkatkan kualitas hidup masyarakat. </w:t>
      </w:r>
    </w:p>
    <w:p w14:paraId="77E0F016" w14:textId="3EFE7B21"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Inovasi adalah isu yang sangat penting bagi organisasi sektor publik dan swasta meskipun terdapat pandangan yang skeptis terhadap sektor publik untuk dapat bertahan </w:t>
      </w:r>
      <w:r w:rsidRPr="00CC5864">
        <w:rPr>
          <w:rFonts w:ascii="Times New Roman" w:hAnsi="Times New Roman" w:cs="Times New Roman"/>
          <w:sz w:val="24"/>
          <w:szCs w:val="24"/>
        </w:rPr>
        <w:lastRenderedPageBreak/>
        <w:t xml:space="preserve">terhadap inovasi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{"citationItems":[{"id":"ITEM-1","itemData":{"DOI":"10.1111/j.1467-9302.2005.00447.x","abstract":"Three approaches to innovation in the public sector in the post war period are identified and analysed for their implications for policy-makers, managers and citizens. Various relationships are identified between innovation and improvement in public services. The traditional bias of the literature that innovation is necessarily functional is undermined. Important lessons for policy, practice and research include the need to develop an understanding of innovation which is not over-reliant on the private sector manufacturing literature but reflects the distinctive contexts and purposes of the public sector.","author":[{"dropping-particle":"","family":"Hartley","given":"Jean","non-dropping-particle":"","parse-names":false,"suffix":""}],"container-title":"Public Money &amp; Management","id":"ITEM-1","issue":"February 2005","issued":{"date-parts":[["2005"]]},"title":"Innovation in Governance and Public Services : Past and Present","type":"article-journal"},"uris":["http://www.mendeley.com/documents/?uuid=0731b463-f61e-46d5-8571-2f4b99d93094"]}],"mendeley":{"formattedCitation":"(Hartley 2005)","plainTextFormattedCitation":"(Hartley 2005)","previouslyFormattedCitation":"(Hartley 2005)"},"properties":{"noteIndex":0},"schema":"https://github.com/citation-style-language/schema/raw/master/csl-citation.json"}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(Hartley 2005)</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Selanjutnya Hartley mengatakan bahwa inovasi merupakan proses yang terus menerus dan berkelanjutan, oleh sebab itu organisasi sektor pubik sebagai garda terdepan pelayanan publik didorong untuk terus memberikan penekanan kepada penguatan kapasitas aparatur agar mampu menciptakan ide dan gagasan yang dapat diimplementasikan. Menurut Mulgan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{"citationItems":[{"id":"ITEM-1","itemData":{"DOI":"10.2214/AJR.07.2082","ISBN":"9780230307520","abstract":"This paper brings together the results of many years of research and experience at Nesta on how public sectors can become more effective innovators. This is a field that combines brilliant people and examples, along with a fair amount of hype and snake oil which results in methods spreading more because of fashion than effectiveness. Here we set out our approach to combining greater creativity with more attention to evidence and impact.","author":[{"dropping-particle":"","family":"Mulgan","given":"Geoff","non-dropping-particle":"","parse-names":false,"suffix":""}],"container-title":"Nesta","id":"ITEM-1","issue":"November","issued":{"date-parts":[["2014"]]},"page":"1-20","title":"Report: Innovation in the Public Sector: How Can Public Organisations Better Create, Improve and Adapt?","type":"article-journal","volume":"1"},"suppress-author":1,"uris":["http://www.mendeley.com/documents/?uuid=eaf84698-087d-41a8-98b5-06c33bf24a96"]}],"mendeley":{"formattedCitation":"(2014)","plainTextFormattedCitation":"(2014)","previouslyFormattedCitation":"(2014)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(2014)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merupakan suatu keniscayaan bahwa dalam sebuah tindakan kebijakan inovasi sektor publik melibatkan penciptaan, pengembangan dan penerapan ide-ide praktis bagi tercapainya manfaat terhadap publik yang disebut dengan inovasi. Bahwa ide-ide ini setidaknya masih baru, digunakan dan memiliki manfaat sehingga bisa dikatakan secara teori dan praktik, inovasi tercipta dalam sebuah proses dan transformasi yang berkelanjutan, dan menjadi keniscayaan organisasi sektor publik</w:t>
      </w:r>
    </w:p>
    <w:p w14:paraId="0B6768F1" w14:textId="77777777"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Salah satu pemerintahan daerah di Indonesia yang telah berupaya melakukan inovasi pelayanan publik dalam tata kelola pemerintah dan pembangunan daerah adalah Kota Cilegon Provinsi Banten melalui inovasi melalui program Dana Pembangunan Wilayah Kelurahan (DPWK)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{"citationItems":[{"id":"ITEM-1","itemData":{"author":[{"dropping-particle":"","family":"Redaksi","given":"","non-dropping-particle":"","parse-names":false,"suffix":""}],"container-title":"Banten Hits","id":"ITEM-1","issued":{"date-parts":[["2016"]]},"publisher-place":"Serang Banten","title":"Pemkot Cilegon Luncurkan Program Dana Pembangunan Wilayah Kelurahan","type":"article-newspaper"},"uris":["http://www.mendeley.com/documents/?uuid=5c9d8b40-be98-4676-82a3-a93cd5e54b08"]}],"mendeley":{"formattedCitation":"(Redaksi 2016)","plainTextFormattedCitation":"(Redaksi 2016)","previouslyFormattedCitation":"(Redaksi 2016)"},"properties":{"noteIndex":0},"schema":"https://github.com/citation-style-language/schema/raw/master/csl-citation.json"}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(Redaksi 2016)</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Program tersebut telah diatur dalam Peraturan Walikota (PERWAL) Nomor 34 Tahun 2015 tentang Dana Pembangunan Wilayah Kelurahan (DPW-Kel) dan memiliki tujuan sebagai berikut : 1).meningkatkan fungsi penyelenggaraan pemerintahan kelurahan, dalam pemberian pelayanan kepada masyarakat; 2).mendorong percepatan dan pemerataan pembagunan daerah; 3).Mendorong percepatan penanggulangan kemiskinan daerah.  Dengan demikian terjadi sinergitas antara inovasi sebagai keniscayaan secara prinsip dan substantif dalam memberikan penguatan untuk merespon dan menyelesaikan problematika di tengah masyarakat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{"citationItems":[{"id":"ITEM-1","itemData":{"abstract":"Tujuan dari penelitian ini adalah menganalisis inovasi kebijakan publik dalam perspektif konseptual dan empiris disertai dengan berbagai contoh penerapan kebijakan publik yang berbasis inovatif dari berbagai daerah. Inovasi kebijakan publik sebagai sebuah keniscayaan secara prinsip dan substantif akan memberikan penguatan dalam merespon dan menyelesaikan problematika kebijakan publik yang berlangsung di tengah masyarakat. Metode yang digunakan adalah pendekatan kualitatif. Teknik yang dilakukan oleh peneliti adalah survei literatur akademis di bidang keilmuan kebijakan publik guna memperoleh konsep-konsep yang relevan dengan kajian inovasi kebijakan publik. Sedangkan pengumpulan data dilakukan melalui penelusuran berbagai sumber baik dari dokumen pemerintah maupun pemberitaan media massa cetak dan elektronik sebagai data sekunder yang kemudian diolah dan dideskripsikan dalam bentuk narasi sesuai dengan kebutuhan data. Kemudian dilakukan analisis data berdasarkan teori dan konsep kebijakan publik serta selanjutnya dilakukan proses intreprtasi data. Hasil yang ingin dicapai dalam penelitian ini adalah adanya upaya-upaya inovasi kebijakan publik yang berdimensi kebaruan dan kemanfaatan sehingga diharapkan dapat memberikan dampak pada upaya yang lebih kongkrit dan membangun partisipasi masyarakat secara berkesinambungan. Inovasi diterapkan bukan hanya pada tahap evaluasi kebijakan publik akan tetapi diterapkan sejak awal perencanaan kebijakan publik, implementasi dan evaluasi kebijakan publik","author":[{"dropping-particle":"","family":"Sururi","given":"Ahmad","non-dropping-particle":"","parse-names":false,"suffix":""}],"container-title":"Sawala Jurnal Administrasi Negara","id":"ITEM-1","issue":"September-Desember 2016","issued":{"date-parts":[["2016"]]},"page":"1-14","title":"Inovasi Kebijakan Publik (Tinjauan Konseptual dan Empiris)","type":"article-journal","volume":"4"},"uris":["http://www.mendeley.com/documents/?uuid=3b051daf-c654-4239-88af-2b616587a5f6"]}],"mendeley":{"formattedCitation":"(Sururi 2016)","plainTextFormattedCitation":"(Sururi 2016)","previouslyFormattedCitation":"(Sururi 2016)"},"properties":{"noteIndex":0},"schema":"https://github.com/citation-style-language/schema/raw/master/csl-citation.json"}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(Sururi 2016)</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w:t>
      </w:r>
    </w:p>
    <w:p w14:paraId="19319D3A" w14:textId="77777777"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Alokasi dana kelurahan diatur berdasarkan Undang-undang Nomor 23 Tahun 2014 sebagaimana telah diubah dalam Undang-undang Nomor 9 Tahun 2015 pasal 230 ayat 1 yaitu pemerintahan daerah kabupaten/kota mengalokasikan anggaran dalam APBD kabupaten/kota untuk membangun sarana dan prasana lokal kelurahan dan pemberdayaan masyarakat di kelurahan. Alokasi anggaran dimasukkan dalam anggaran kecamatan pada bagian anggaran kelurahan dan untuk daerah kota yang tidak memiliki desa alokasi anggaran diperoleh dari paling sedikit 5% dari APBD setelah dikurangi Dana Alokasi Khusus (DAK). </w:t>
      </w:r>
    </w:p>
    <w:p w14:paraId="1F696BFA" w14:textId="77777777"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Adapun asas pelaksanaan  DPWK yaitu menekankan pada aspek keadilan dan memberikan manfaat untuk seluruh lapisan masyarakat dengan tetap memperhatikan  prinsip-prinsip transparansi, akuntabilitas, teknokratik dan partisipatif. Hal tersebut sejalan dengan prinsip Good public policy governance akan terwujud melalui pendekatan 1)Jenis dukungan melalui penerapan inovasi kebijakan yang dilakukan melalui kerjasama antara pejabat pemerintah dari semua level dan tingkatan dengan actor non pemerintah; 2)Manajemen Inovasi </w:t>
      </w:r>
      <w:r w:rsidRPr="00CC5864">
        <w:rPr>
          <w:rFonts w:ascii="Times New Roman" w:hAnsi="Times New Roman" w:cs="Times New Roman"/>
          <w:sz w:val="24"/>
          <w:szCs w:val="24"/>
        </w:rPr>
        <w:lastRenderedPageBreak/>
        <w:t xml:space="preserve">dalam bentuk penataan organisasi dan administrasi sebagai hasil dari Kerjasama yang dilakukan dengan melibatkan sumber daya eksternal dan internal; 3)Jenis dan karakteristik hubungan melalui adanya karakteristik hubungan yang simbiosis mutualisme dari semua stakeholder; 4)Karakteristik dalam penerapan nilai yang diukur melaluipenerapan nilai yang bermanfaat bagi kepentingan publik. Dan hal tersebut dilakukan dengan mendorong Kerjasama antara pemerintah, masyarakat dan pihak swasta dilakukan dalam upaya penguatan sumber daya manusia di bidang perancangan kebijakan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{"citationItems":[{"id":"ITEM-1","itemData":{"DOI":"10.20961/sp.v12i2.16236","ISSN":"1907-0489","abstract":"&lt;p&gt;Kebijakan publik sebagai instrumen yang mensinergikan peran pemerintah dan publik belum berjalan secara optimal. Terjadinya fenomena beberapa kebijakan yang dibatalkan atau direvisi oleh Pemerintah merupakan indikasi masih adanya tumpang tindih kebijakan dan rendahnya kemampuan berinovasi (&lt;em&gt;ability to innovate&lt;/em&gt;) dan kemauan berinovasi (&lt;em&gt;willingnes to inovate&lt;/em&gt;) pejabat publik. Untuk itu diperlukan inovasi kebijakan yang secara substantif dapat memberikan penguatan dalam menyelesaikan permasalahan ditengah masyarakat. Tujuan dalam penelitian ini adalah untuk mendeskripsikan dan melakukan analisis bagaimana inovasi kebijakan dalam perspektif pendekatan administrasi pubik dan menganalisis inovasi kebijakan menuju terwujudnya &lt;em&gt;good public policy governance.&lt;/em&gt; Metode yang digunakan adalah pendekatan kualitatif. Teknik yang dilakukan adalah survei literatur akademis di bidang keilmuan kebijakan publik guna memperoleh konsep-konsep yang relevan dengan kajian inovasi kebijakan publik. Teknik pengumpulan data melalui penelusuran berbagai sumber dan literatur baik dari dokumen pemerintah maupun pemberitaan media massa cetak dan elektronik, jurnal dan buku-buku yang terkait dengan administrasi pubik dan inovasi kebijakan. Penerapan prinsip-prinsip inovasi melalui NPS adalah representasi dari penerapan inovasi kebijakan. Publik dipandang secara utuh, manusiawi dan humanis melalui pendekatan yang memberikan &lt;em&gt;space&lt;/em&gt; kepada publik untuk berkolaborasi dan berorientasi pada peningkatan kinerja. &lt;em&gt;Good public policy governance&lt;/em&gt; akan terwujud melalui pendekatan 1) Jenis dukungan; 2) Manajemen Inovasi; 3) Karakteristik dalam penerapan nilai.&lt;/p&gt;&lt;strong&gt;Kata Kunci : Inovasi Kebijakan, Administrasi Publik, Good Pubic Policy Governance&lt;/strong&gt;","author":[{"dropping-particle":"","family":"Sururi","given":"Ahmad","non-dropping-particle":"","parse-names":false,"suffix":""}],"container-title":"Spirit Publik: Jurnal Administrasi Publik","id":"ITEM-1","issue":"2","issued":{"date-parts":[["2017"]]},"page":"14","title":"Inovasi Kebijakan dalam Perspektif Administrasi Publik Menuju Terwujudnya Good Public Policy Governance","type":"article-journal","volume":"12"},"uris":["http://www.mendeley.com/documents/?uuid=251ac486-9759-4054-a283-b797fc808848"]}],"mendeley":{"formattedCitation":"(Sururi 2017)","plainTextFormattedCitation":"(Sururi 2017)","previouslyFormattedCitation":"(Sururi 2017)"},"properties":{"noteIndex":0},"schema":"https://github.com/citation-style-language/schema/raw/master/csl-citation.json"}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(Sururi 2017)</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Akan tetapi berdasarkan temuan penelitian, implementasinya program dana pembangunan wilayah kelurahan di Kota Cilegon belum dilakukan secara optimal terutama dalam aspek kapasitas program yang masih terbatas pada prioritas pembangunan infrastruktur dan belum menyentuh aspek pemberdayaan masyarakat serta masih lemahnya kemampuan kolaboratif antara dinas selaku pelayan publik dengan masyarakat terutama dalam pengambilan keputusan yang strategis.</w:t>
      </w:r>
    </w:p>
    <w:p w14:paraId="2A600840" w14:textId="77777777"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Penelitian tentang kapasitas inovasi dan pengelolaan dana pembangunan kelurahan sudah dilakukan, diantaranya oleh Habiyaremye, Kruss, dan Booyens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{"citationItems":[{"id":"ITEM-1","itemData":{"DOI":"10.1080/2157930X.2019.1596368","ISSN":"21579318","abstract":"Innovation is increasingly recognized as a potent policy tool for addressing the structural problems that characterize poverty in marginalized rural communities. In what ways should governments in developing countries be involved in supporting innovation to achieve inclusive development objectives? This special issue brings together key insights from different facets of rural transformation programmes in the global South, with the view to shed light on the nature and outcomes of state involvement. The contributions to this volume highlight three domains in which the state plays a pivotal role in spurring inclusive rural transformation: promoting agricultural innovation in Algeria and Vietnam, supporting rural capacity building in South Africa and Peru, and the provision of pro-poor innovations for rural social development in India and Argentina. In all three domains, government support coupled with greater participation of local community members in the planning and implementation of innovative projects proved to produce greater potential for success. The contributions also emphasize the pivotal role that the state must play in supporting local capability building and bridging knowledge gaps between innovation producers and rural user communities, in order to facilitate local absorption of external technological solutions.","author":[{"dropping-particle":"","family":"Habiyaremye","given":"Alexis","non-dropping-particle":"","parse-names":false,"suffix":""},{"dropping-particle":"","family":"Kruss","given":"Glenda","non-dropping-particle":"","parse-names":false,"suffix":""},{"dropping-particle":"","family":"Booyens","given":"Irma","non-dropping-particle":"","parse-names":false,"suffix":""}],"container-title":"Innovation and Development","id":"ITEM-1","issue":"2","issued":{"date-parts":[["2020"]]},"page":"155-168","publisher":"Taylor &amp; Francis","title":"Innovation for inclusive rural transformation: the role of the state","type":"article-journal","volume":"10"},"suppress-author":1,"uris":["http://www.mendeley.com/documents/?uuid=0bfc4135-f5f8-4372-ad5a-59c91451a9ce"]}],"mendeley":{"formattedCitation":"(2020)","plainTextFormattedCitation":"(2020)","previouslyFormattedCitation":"(2020)"},"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(2020)</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tentang inovasi untuk transformasi wilayah suatu negara dan dalam hasil penelitiannya menunjukkan bahwa inovasi sebagai instrumen kebijakan sangat potensial dalam mengatasi masalah-masalah kemiskinan sehingga harus didukung melalui pengembangan kapasitas pemerintah dan partisipasi publik. Penelitian selanjutnya dilakukan oleh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{"citationItems":[{"id":"ITEM-1","itemData":{"author":[{"dropping-particle":"","family":"Aida","given":"Ade Nurul","non-dropping-particle":"","parse-names":false,"suffix":""},{"dropping-particle":"","family":"Zahara","given":"Ervita Luluk","non-dropping-particle":"","parse-names":false,"suffix":""}],"container-title":"BULETIN APBN Pusat Kajian Anggaran Badan Keahlian DPR RI","id":"ITEM-1","issue":"21","issued":{"date-parts":[["2018"]]},"title":"Dana Kelurahan dan Tantangannya","type":"article-journal","volume":"3"},"suppress-author":1,"uris":["http://www.mendeley.com/documents/?uuid=42070406-ed2f-44b9-9677-f130919c924c"]}],"mendeley":{"formattedCitation":"(2018)","manualFormatting":"Aida dan Zahara (2018)","plainTextFormattedCitation":"(2018)","previouslyFormattedCitation":"(2018)"},"properties":{"noteIndex":0},"schema":"https://github.com/citation-style-language/schema/raw/master/csl-citation.json"}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Aida dan Zahara (2018)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yang menyatakan dalam hasil penelitiannya bahwa dalam alokasi anggaran dana kelurahan yang diperoleh melalui Anggaran Pendapatan Belanja Daerah (APBD) sangat diperlukan regulasi sebagai landasan program untuk mendorong perencanaan yang transparan dan evaluasi berkelanjutan. </w:t>
      </w:r>
    </w:p>
    <w:p w14:paraId="41293C18" w14:textId="77777777"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Haning dan Tahili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{"citationItems":[{"id":"ITEM-1","itemData":{"author":[{"dropping-particle":"","family":"Haning","given":"Mohamad Thahir","non-dropping-particle":"","parse-names":false,"suffix":""},{"dropping-particle":"","family":"Tahili","given":"Mashuri H","non-dropping-particle":"","parse-names":false,"suffix":""}],"container-title":"Advances in Social Science, Education and Humanities Research","id":"ITEM-1","issue":"Aapa","issued":{"date-parts":[["2018"]]},"page":"197-209","title":"Advances in Social Science, Education and Humanities Research, volume 191 Asian Association for Public Administration Annual Conference (AAPA 2018)","type":"article-journal","volume":"191"},"suppress-author":1,"uris":["http://www.mendeley.com/documents/?uuid=08479093-c21f-44f4-ba6a-4525ac9e7ba1"]}],"mendeley":{"formattedCitation":"(2018)","plainTextFormattedCitation":"(2018)","previouslyFormattedCitation":"(2018)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(2018)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dalam hasil penelitiannya menunjukkan bahwa penguatan kapasitas pemerintah di Kabupaten Maros belum optimal, hal tersebut dapat diketahui bahwa dari dimensi-dimensi yang terdiri dari pemikiran strategis, pemberdayaan, sosial modal, dan partisipasi masyarakat tidak tercapai secara optimal. Sejalan dengan hasil penelitian tersebut, Nurhidayatullah et al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Nurhidayatullah","given":"Zahnudin","non-dropping-particle":"","parse-names":false,"suffix":""},{"dropping-particle":"","family":"Prasetyo","given":"Dwi","non-dropping-particle":"","parse-names":false,"suffix":""},{"dropping-particle":"","family":"Bintari","given":"Wisang Candra","non-dropping-particle":"","parse-names":false,"suffix":""},{"dropping-particle":"","family":"Studi","given":"Program","non-dropping-particle":"","parse-names":false,"suffix":""},{"dropping-particle":"","family":"Administrasi","given":"Ilmu","non-dropping-particle":"","parse-names":false,"suffix":""},{"dropping-particle":"","family":"Universitas","given":"Negara","non-dropping-particle":"","parse-names":false,"suffix":""},{"dropping-particle":"","family":"Sorong","given":"Muihammadiyah","non-dropping-particle":"","parse-names":false,"suffix":""},{"dropping-particle":"","family":"Malawele","given":"Sekertaris Kelurahan","non-dropping-particle":"","parse-names":false,"suffix":""},{"dropping-particle":"","family":"Kegiatan","given":"Tim Pelaksana","non-dropping-particle":"","parse-names":false,"suffix":""},{"dropping-particle":"","family":"Masyarakat","given":"Pembedayaan","non-dropping-particle":"","parse-names":false,"suffix":""},{"dropping-particle":"","family":"Malawele","given":"Kelurahan","non-dropping-particle":"","parse-names":false,"suffix":""},{"dropping-particle":"","family":"Ekonomi","given":"Pertumbuhan","non-dropping-particle":"","parse-names":false,"suffix":""}],"id":"ITEM-1","issued":{"date-parts":[["2004"]]},"page":"42-53","title":"Implementasi alokasi dana kelurahan dalam pemberdayaan masyarakat di kelurahan malawele kabupaten sorong","type":"article-journal"},"suppress-author":1,"uris":["http://www.mendeley.com/documents/?uuid=2a8426cb-6366-40c2-a931-caabbeb483f2"]}],"mendeley":{"formattedCitation":"(2004)","plainTextFormattedCitation":"(2004)","previouslyFormattedCitation":"(2004)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(2004)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dalam hasil penelitiannya menyatakan bahwa proses implementasi alokasi dana Kelurahan di Kelurahan Malawele belum sepenuhnya mengarah pada pengembangan sosial ekonomi masyarakat Kelurahan. Hal tersebut dikarenakan prioritas dana hanya terfokus pembangunan fisik sedangkan pembangunan non fisik tidak terlalu banyak dianggarkan sehingga menciptakan ketimpangan menghambat akselerasi pembangunan daerah.</w:t>
      </w:r>
    </w:p>
    <w:p w14:paraId="0730DFB6" w14:textId="77777777" w:rsidR="00540EEC"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Beberapa penelitian yang telah diuraian di atas menunjukan adanya keterkaitan dengan penelitian yang sedang dilakukan. Dalam hal ini peneliti inovasi dan pengelolaan dana pembangunan kelurahan menjadi instrument penting pembangunan daerah, akan tetapi </w:t>
      </w:r>
      <w:r w:rsidRPr="00CC5864">
        <w:rPr>
          <w:rFonts w:ascii="Times New Roman" w:hAnsi="Times New Roman" w:cs="Times New Roman"/>
          <w:sz w:val="24"/>
          <w:szCs w:val="24"/>
        </w:rPr>
        <w:lastRenderedPageBreak/>
        <w:t xml:space="preserve">penelitian yang membahas tentang kapasitas inovasi program dana pembangunan wilayah kelurahan dalam mendukung percepatan pembangunan daerah belum dilakukan secara mendalam. </w:t>
      </w:r>
    </w:p>
    <w:p w14:paraId="05FB788E" w14:textId="77777777" w:rsidR="00CC5864" w:rsidRDefault="00E14689" w:rsidP="00CC5864">
      <w:pPr>
        <w:spacing w:after="0" w:line="360" w:lineRule="auto"/>
        <w:ind w:firstLine="720"/>
        <w:jc w:val="both"/>
        <w:rPr>
          <w:rFonts w:ascii="Times New Roman" w:hAnsi="Times New Roman" w:cs="Times New Roman"/>
          <w:b/>
          <w:bCs/>
          <w:sz w:val="24"/>
          <w:szCs w:val="24"/>
          <w:lang w:val="en-US"/>
        </w:rPr>
      </w:pPr>
      <w:r w:rsidRPr="00CC5864">
        <w:rPr>
          <w:rFonts w:ascii="Times New Roman" w:hAnsi="Times New Roman" w:cs="Times New Roman"/>
          <w:sz w:val="24"/>
          <w:szCs w:val="24"/>
        </w:rPr>
        <w:t xml:space="preserve">Kapasitas berbeda dengan kapabilitas, definisi kapasitas menyiratkan seberapa banyak yang dapat anda lakukan yang terdiri dari sistem, sumber daya dan struktur. Sedangkan kapabilitas menunjukkan seberapa baik anda dapat melakukannya yang terdiri dari skills, knowledge dan confidence. Keduanya memiliki perbedaan secara substansial sehingga kapasitas hendaknya dipahami lebih awal dibandingkan kapabilitas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{"citationItems":[{"id":"ITEM-1","itemData":{"author":[{"dropping-particle":"","family":"Macmillan","given":"Rob","non-dropping-particle":"","parse-names":false,"suffix":""},{"dropping-particle":"","family":"Paine","given":"Angela Ellis","non-dropping-particle":"","parse-names":false,"suffix":""}],"id":"ITEM-1","issue":"September","issued":{"date-parts":[["2014"]]},"number-of-pages":"116","title":"Building Capabilities in the Voluntary Sector : What the evidence tells us (Third Sector Research Center)","type":"report"},"uris":["http://www.mendeley.com/documents/?uuid=45393ab1-4a53-4cfa-ac6c-528063dc8417"]}],"mendeley":{"formattedCitation":"(Macmillan dan Paine 2014)","plainTextFormattedCitation":"(Macmillan dan Paine 2014)","previouslyFormattedCitation":"(Macmillan dan Paine 2014)"},"properties":{"noteIndex":0},"schema":"https://github.com/citation-style-language/schema/raw/master/csl-citation.json"}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(Macmillan dan Paine 2014)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Selain itu konteks kapasitas juga dapat dipahami dengan menganalisis bagaimana faktor-faktor politik mempengaruhi pengembangan kapasitas administrasi dan proses penyerapan dana, kapasitas organisasi dan evaluasi kebijakan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{"citationItems":[{"id":"ITEM-1","itemData":{"DOI":"10.1080/00343404.2016.1246798","ISSN":"13600591","abstract":"Administrative capacity or quality of political governance? EU Cohesion Policy in the new Europe, 2007–13. Regional Studies. The enlargement towards Central and Eastern Europe offers new opportunities to examine the effectiveness of the European Union’s Cohesion Policy. This paper examines the management and implementation of Structural Funds in Bulgaria and Romania, two outlier but diverging cases, during 2007–13. Drawing on original empirical data, it argues that their variation in capacity and performance can be understood by examining how political factors influenced administrative capacity developments and the processes surrounding the absorption of funds. Taking stock of domestic political governance is essential as to explain the ability of new member states to manage European Union regional and Cohesion Policy.","author":[{"dropping-particle":"","family":"Surubaru","given":"Neculai Cristian","non-dropping-particle":"","parse-names":false,"suffix":""}],"container-title":"Regional Studies","id":"ITEM-1","issue":"6","issued":{"date-parts":[["2017"]]},"page":"844-856","publisher":"Taylor &amp; Francis","title":"Administrative capacity or quality of political governance? EU Cohesion Policy in the new Europe, 2007–13","type":"article-journal","volume":"51"},"uris":["http://www.mendeley.com/documents/?uuid=e2b2972c-30bf-4625-a8eb-3c8782b5b043"]}],"mendeley":{"formattedCitation":"(Surubaru 2017)","plainTextFormattedCitation":"(Surubaru 2017)","previouslyFormattedCitation":"(Surubaru 2017)"},"properties":{"noteIndex":0},"schema":"https://github.com/citation-style-language/schema/raw/master/csl-citation.json"}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(Surubaru 2017)</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dan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{"citationItems":[{"id":"ITEM-1","itemData":{"abstract":"Checklists for evaluation capacity builders include a wide range of building blocks for supporting evaluation activity. Yet, the relative importance of each building block is not clear. The purpose of this article is to identify the capacity related factors that are necessary, but not necessarily sufficient, for organisations that wish to institutionalise high quality policy evaluations. To retrieve these factors, we rely on the necessity function in qualitative comparative analysis. We present a study of twenty-seven organisations of the Flemish public sector (Belgium), in which the introduction of policy evaluations is relatively recent. Our case analysis thus sheds an interesting light upon how policy evaluation, and the underlying capacity to evaluate is given shape. Our findings point at evaluation demand as the most necessary prerequisite for fostering evaluation activity, more so than supply related factors. #","author":[{"dropping-particle":"","family":"Pattyn","given":"V","non-dropping-particle":"","parse-names":false,"suffix":""},{"dropping-particle":"","family":"Brans","given":"M","non-dropping-particle":"","parse-names":false,"suffix":""}],"container-title":"Policy and Society","id":"ITEM-1","issued":{"date-parts":[["2015"]]},"note":"Cited By (since 2015): 16","page":"183-196","publisher":"Elsevier","title":"Organisational analytical capacity: Policy evaluation in Belgium","type":"article-journal","volume":"34"},"uris":["http://www.mendeley.com/documents/?uuid=a958b7de-804c-40e5-9773-2f9a596a0a1d"]}],"mendeley":{"formattedCitation":"(Pattyn dan Brans 2015)","plainTextFormattedCitation":"(Pattyn dan Brans 2015)","previouslyFormattedCitation":"(Pattyn dan Brans 2015)"},"properties":{"noteIndex":0},"schema":"https://github.com/citation-style-language/schema/raw/master/csl-citation.json"}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(Pattyn dan Brans 2015)</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Oleh sebab itu istilah kapasitas dapat dikembangkan menjadi kapasitas kebijakan yang dapat dimaknai dalam berbagai perspektif. </w:t>
      </w:r>
    </w:p>
    <w:p w14:paraId="4728B7AC" w14:textId="1D3499C2" w:rsidR="00E14689" w:rsidRPr="00CC5864" w:rsidRDefault="00E14689" w:rsidP="00CC5864">
      <w:pPr>
        <w:spacing w:after="0" w:line="360" w:lineRule="auto"/>
        <w:ind w:firstLine="720"/>
        <w:jc w:val="both"/>
        <w:rPr>
          <w:rFonts w:ascii="Times New Roman" w:hAnsi="Times New Roman" w:cs="Times New Roman"/>
          <w:b/>
          <w:bCs/>
          <w:sz w:val="24"/>
          <w:szCs w:val="24"/>
          <w:lang w:val="en-US"/>
        </w:rPr>
      </w:pPr>
      <w:r w:rsidRPr="00CC5864">
        <w:rPr>
          <w:rFonts w:ascii="Times New Roman" w:hAnsi="Times New Roman" w:cs="Times New Roman"/>
          <w:sz w:val="24"/>
          <w:szCs w:val="24"/>
        </w:rPr>
        <w:t xml:space="preserve">Berkaitan dengan uraian di atas, inovasi dapat didefinisikan sebagai ide yang dianggap baru oleh seorang individu dan terjadi setelah ditemukannya ide dan sebelum keputusan strategis dibuat meskipun terdapat pilihan untuk mengadopsi atau menolak ide tersebut dari anggota organisasi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{"citationItems":[{"id":"ITEM-1","itemData":{"DOI":"10.2307/1956539","ISSN":"0003-0554","abstract":"This study focuses on a nonmonetary dimension of public policy—innovation by states in the fields of education, welfare, and civil rights. Innovation is considered equivalent to the adoption of a law by a state. From the literature on diffusion (or spread) of innovations, the explanation of user interaction is taken, and a simple model with an interaction term is constructed. The model performs fairly well when evaluated by several common criteria. The results do vary somewhat from one issue area to another; other types of supplementary analysis also indicate variation in diffusion patterns according to the issue involved. Political and economic differences among states are found to account for differences in time of adoption, and “innovativeness” is shown to be an issue- and time-specific factor.","author":[{"dropping-particle":"","family":"Gray","given":"Virginia","non-dropping-particle":"","parse-names":false,"suffix":""}],"container-title":"American Political Science Review","id":"ITEM-1","issue":"4","issued":{"date-parts":[["1973"]]},"page":"1174-1185","title":"Innovation in the States: A Diffusion Study","type":"article-journal","volume":"67"},"uris":["http://www.mendeley.com/documents/?uuid=8ca6d7f9-f8b0-4453-9c48-f16c0dd223c0"]}],"mendeley":{"formattedCitation":"(Gray 1973)","plainTextFormattedCitation":"(Gray 1973)","previouslyFormattedCitation":"(Gray 1973)"},"properties":{"noteIndex":0},"schema":"https://github.com/citation-style-language/schema/raw/master/csl-citation.json"}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(Gray 1973)</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Inovasi dapat membuat perbedaan dalam mengatasi tantangan pembangunan. Disisi lain peningkatan kapasitas inovasi telah memainkan peran sentral dalam dinamika pertumbuhan negara-negara berkembang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{"citationItems":[{"id":"ITEM-1","itemData":{"DOI":"10.1080/1389224X.2011.536344","ISSN":"1389224X","abstract":"This paper systematically rethinks the role of communication in innovation processes, starting from largely separate theoretical developments in communication science and innovation studies. Literature review forms the basis of the arguments presented. The paper concludes that innovation is a collective process that involves the contextual re-ordering of relations in multiple social networks. Such re-ordering cannot be usefully understood in terms of 'diffusing' ready-made innovations. Hence, we need to think about communication as playing a role in innovation development and 'design'. In such development processes, everyday communicative exchanges and self-organisation among societal agents are likely to be of critical significance in connection with the re-ordering of social relationships. In this light, the role of communication professionals and deliberate communication is often overstated or misinterpreted. Instead of striving for predefined change, communication professionals should facilitate that 'the potential for change' in complex dynamical settings increases. This includes efforts to enhance the survival chances of existing initiatives for change, by facilitating that they become more effectively adapted and/or linked to their dynamic selection environment than competing initiatives. This implies that communication professionals must play broader intermediary roles than before. A systematic rethinking of the role of communication in innovation processes in view of recent developments in communication sciences, innovation studies and complex systems thinking is largely absent. This paper fills a void © 2011 Wageningen University.","author":[{"dropping-particle":"","family":"OECD","given":"","non-dropping-particle":"","parse-names":false,"suffix":""}],"id":"ITEM-1","issued":{"date-parts":[["2012"]]},"title":"Innovation for Development A Discussion of the Issues and an Overview of Work Of the OECD Directorate for Science, Technology and Industry","type":"report"},"uris":["http://www.mendeley.com/documents/?uuid=48b16dbf-ca11-44bf-b886-2a6f2d64dc51"]}],"mendeley":{"formattedCitation":"(OECD 2012)","plainTextFormattedCitation":"(OECD 2012)","previouslyFormattedCitation":"(OECD 2012)"},"properties":{"noteIndex":0},"schema":"https://github.com/citation-style-language/schema/raw/master/csl-citation.json"}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(OECD 2012)</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Negara-negara ini telah mengakui bahwa inovasi bukan hanya tentang produk berteknologi tinggi dan bahwa kapasitas inovasi harus dibangun sejak awal proses pembangunan agar memiliki kapasitas pembelajaran yang memungkinkan terjadinya “percepatan pembangunan”. Mereka juga membutuhkan kapasitas inovasi dan inovasi lokal untuk mengatasi tantangan khusus untuk ini.</w:t>
      </w:r>
      <w:r w:rsidR="00CC5864" w:rsidRPr="00CC5864">
        <w:rPr>
          <w:rFonts w:ascii="Times New Roman" w:hAnsi="Times New Roman" w:cs="Times New Roman"/>
          <w:sz w:val="24"/>
          <w:szCs w:val="24"/>
          <w:lang w:val="en-US"/>
        </w:rPr>
        <w:t xml:space="preserve"> </w:t>
      </w:r>
      <w:r w:rsidRPr="00CC5864">
        <w:rPr>
          <w:rFonts w:ascii="Times New Roman" w:hAnsi="Times New Roman" w:cs="Times New Roman"/>
          <w:sz w:val="24"/>
          <w:szCs w:val="24"/>
        </w:rPr>
        <w:t xml:space="preserve">Kapasitas inovasi menjadi bagian yang sangat penting untuk pembangunan ekonomi bagi pemerintah kota sehingga focus terhadap kapasitas inovasi menjadi keniscayaan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{"citationItems":[{"id":"ITEM-1","itemData":{"DOI":"10.3390/su8090922","ISBN":"3580401904017","ISSN":"20711050","abstract":"This article discusses the idea of city as a platform. The analysis focuses on the forms and implications of citizen involvement in publicly-supported participatory innovation platforms that facilitate urban economic development in the welfare society context. The discussion opens with a review of the smart city discourse, which in the context of economic development policy translates into cities' need to support innovativeness by creating smart environments. Participatory innovation platform is a prime example of such an environment. The empirical section discusses three cases, those of the Finnish cities of Helsinki, Tampere, and Oulu. The analysis shows that platformization in the first half of the 2010s became a strategic focal area supported by national and EU programs. Platforms are used to support both urban revitalization and economic development, of which the former is based on representative and the latter on instrumental modes of participation. Platforms are well integrated with city governments, even though they vary greatly in terms of organizational forms and scopes. Democratic culture, welfarism, and redistributive policy provide contextual support for platformization by strengthening social inclusion, taming the growth machine, and easing the tensions between pro-growth and anti-growth coalitions.","author":[{"dropping-particle":"","family":"Anttiroiko","given":"Ari Veikko","non-dropping-particle":"","parse-names":false,"suffix":""}],"container-title":"Sustainability","id":"ITEM-1","issue":"9","issued":{"date-parts":[["2016"]]},"publisher":"MDPI","title":"City-as-a-Platform: The Rise of Participatory Innovation Platforms in Finnish Cities","type":"article-journal","volume":"8"},"uris":["http://www.mendeley.com/documents/?uuid=d9e31760-b380-47ae-8feb-a43da0fad2dd"]}],"mendeley":{"formattedCitation":"(Anttiroiko 2016)","plainTextFormattedCitation":"(Anttiroiko 2016)","previouslyFormattedCitation":"(Anttiroiko 2016)"},"properties":{"noteIndex":0},"schema":"https://github.com/citation-style-language/schema/raw/master/csl-citation.json"}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(Anttiroiko 2016)</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Hal tersebut tidak terlepas dari fakta bahwa inovasi memiliki manfaat dan memiliki kegunaan yang dinamis bagi pembangunan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{"citationItems":[{"id":"ITEM-1","itemData":{"DOI":"https://doi.org/10.1016/j.iref.2020.08.015","ISSN":"1059-0560","abstract":"Uncertainty matters great for firms’ investment decisions and behaviors, and thus impacts economy growth. This paper uses the housing market uncertainty to measure economic uncertainty and explores how housing market uncertainty impacts on firms’ innovation activities. This paper shows the uncertainty has a positive impact on firms’ innovation performance, including R&amp;D investment, innovation level and other innovation outcomes. Firms’ innovation performance is significantly driven by the uncertainty through the crowding-out effect of housing investment. Moreover, firms in higher competitive industries are more likely to invest in innovation due to the uncertainty shock. Furthermore, uncertainty in the housing market makes the cash flow and leverage used for innovation performance. Finally, innovation investment has a substitution effect on housing investment once there is a policy shock in limiting housing price in China.","author":[{"dropping-particle":"","family":"Zhang","given":"Dongyang","non-dropping-particle":"","parse-names":false,"suffix":""}],"container-title":"International Review of Economics &amp; Finance","id":"ITEM-1","issued":{"date-parts":[["2020"]]},"page":"413-422","title":"Innovation dynamics -what are the housing market uncertainty’s impacts","type":"article-journal","volume":"70"},"uris":["http://www.mendeley.com/documents/?uuid=b96fcc5b-e403-4951-ba9f-00b9faa598ab"]}],"mendeley":{"formattedCitation":"(Zhang 2020)","plainTextFormattedCitation":"(Zhang 2020)","previouslyFormattedCitation":"(Zhang 2020)"},"properties":{"noteIndex":0},"schema":"https://github.com/citation-style-language/schema/raw/master/csl-citation.json"}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(Zhang 2020)</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Bagi organisasi sector publik maupun swasta, inovasi merupakan hal yang sangat penting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{"citationItems":[{"id":"ITEM-1","itemData":{"DOI":"10.1111/j.1467-9302.2005.00447.x","abstract":"Three approaches to innovation in the public sector in the post war period are identified and analysed for their implications for policy-makers, managers and citizens. Various relationships are identified between innovation and improvement in public services. The traditional bias of the literature that innovation is necessarily functional is undermined. Important lessons for policy, practice and research include the need to develop an understanding of innovation which is not over-reliant on the private sector manufacturing literature but reflects the distinctive contexts and purposes of the public sector.","author":[{"dropping-particle":"","family":"Hartley","given":"Jean","non-dropping-particle":"","parse-names":false,"suffix":""}],"container-title":"Public Money &amp; Management","id":"ITEM-1","issue":"February 2005","issued":{"date-parts":[["2005"]]},"title":"Innovation in Governance and Public Services : Past and Present","type":"article-journal"},"uris":["http://www.mendeley.com/documents/?uuid=0731b463-f61e-46d5-8571-2f4b99d93094"]}],"mendeley":{"formattedCitation":"(Hartley 2005)","plainTextFormattedCitation":"(Hartley 2005)","previouslyFormattedCitation":"(Hartley 2005)"},"properties":{"noteIndex":0},"schema":"https://github.com/citation-style-language/schema/raw/master/csl-citation.json"}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(Hartley 2005)</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w:t>
      </w:r>
    </w:p>
    <w:p w14:paraId="001B2E82" w14:textId="77777777" w:rsidR="00E14689"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Menurut Myhren, et</w:t>
      </w:r>
      <w:bookmarkStart w:id="0" w:name="_Hlk78841101"/>
      <w:r w:rsidRPr="00CC5864">
        <w:rPr>
          <w:rFonts w:ascii="Times New Roman" w:hAnsi="Times New Roman" w:cs="Times New Roman"/>
          <w:sz w:val="24"/>
          <w:szCs w:val="24"/>
        </w:rPr>
        <w:t xml:space="preserve"> al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{"citationItems":[{"id":"ITEM-1","itemData":{"DOI":"10.1108/JSM-04-2016-0161","ISBN":"0144357071075","ISSN":"08876045","abstract":"Purpose: Open service innovation is an emergent new service development practice, where knowledge on how to organize development work is scarce. The purpose of the present research is to identify and describe relevant archetypes of open service innovation. The study views an archetype as an organizing template that includes the competence of participants, organizing co-creation among participants and ties between participants. In particular, the study’s interest lies in how open service innovation archetypes are used for incremental and radical service innovation. Design/methodology/approach: For the research, a nested case study was performed, in which an industrial firm with nine open service innovation groups was identified. Forty-five interviews were conducted with participants. For each case, first a within-case analysis was performed, and how to perform open service innovation in practice was described. Then, a cross-case analysis identifying similarities and differences between the open service innovation groups was performed. On the basis of the cross-case analysis, three archetypes for open service innovation were identified. Findings: The nested case study identified three archetypes for open service innovation: internal group development, satellite team development and rocket team development. This study shows that different archetypes are used for incremental and radical service innovation and that a firm can have multiple open service innovation groups using different archetypes. Practical implications: This study provides suggestions on how firms can organize for open service innovation. The identified archetypes can guide managers to set up, develop or be part of open service innovation groups. Originality/value: This paper uses open service innovation as a mid-range theory to extend existing research on new service development in networks or service ecosystems. In particular, it shows how open service innovation can be organized to develop both incremental and radical service innovations.","author":[{"dropping-particle":"","family":"Myhren","given":"Per","non-dropping-particle":"","parse-names":false,"suffix":""},{"dropping-particle":"","family":"Witell","given":"Lars","non-dropping-particle":"","parse-names":false,"suffix":""},{"dropping-particle":"","family":"Gustafsson","given":"Anders","non-dropping-particle":"","parse-names":false,"suffix":""},{"dropping-particle":"","family":"Gebauer","given":"Heiko","non-dropping-particle":"","parse-names":false,"suffix":""}],"container-title":"Journal of Services Marketing","id":"ITEM-1","issue":"2","issued":{"date-parts":[["2018"]]},"page":"101-112","title":"Incremental and radical open service innovation","type":"article-journal","volume":"32"},"suppress-author":1,"uris":["http://www.mendeley.com/documents/?uuid=cf6922e8-0b4b-489a-8c76-6d622aa67a29"]}],"mendeley":{"formattedCitation":"(2018)","plainTextFormattedCitation":"(2018)","previouslyFormattedCitation":"(2018)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(2018)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w:t>
      </w:r>
      <w:bookmarkEnd w:id="0"/>
      <w:r w:rsidRPr="00CC5864">
        <w:rPr>
          <w:rFonts w:ascii="Times New Roman" w:hAnsi="Times New Roman" w:cs="Times New Roman"/>
          <w:sz w:val="24"/>
          <w:szCs w:val="24"/>
        </w:rPr>
        <w:t xml:space="preserve">kapasitas inovasi merupakan komponen penting pelayanan terbuka, dan hal tersebut dapat digunakan melalui inovasi layanan inkremental dan radikal. Bahwa organisasi sektor publik dengan kapasitas inovasi dan kinerja organisasi sektor publik yang kompetitif dapat menerapkan inovasi radikal secara terukur sedangkan organisasi sektor publik dengan kapasitas </w:t>
      </w:r>
      <w:bookmarkStart w:id="1" w:name="_Hlk78841066"/>
      <w:r w:rsidRPr="00CC5864">
        <w:rPr>
          <w:rFonts w:ascii="Times New Roman" w:hAnsi="Times New Roman" w:cs="Times New Roman"/>
          <w:sz w:val="24"/>
          <w:szCs w:val="24"/>
        </w:rPr>
        <w:t xml:space="preserve">inovasi yang rendah dapat menggunakan inovasi incremental. </w:t>
      </w:r>
      <w:bookmarkEnd w:id="1"/>
      <w:r w:rsidRPr="00CC5864">
        <w:rPr>
          <w:rFonts w:ascii="Times New Roman" w:hAnsi="Times New Roman" w:cs="Times New Roman"/>
          <w:sz w:val="24"/>
          <w:szCs w:val="24"/>
        </w:rPr>
        <w:t xml:space="preserve">Menurut Witell et al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{"citationItems":[{"id":"ITEM-1","itemData":{"DOI":"10.1016/j.jbusres.2015.12.055","ISSN":"01482963","abstract":"Research on service innovation appears in several research disciplines, with important contributions in marketing, management, and operations research. Although the concept is widely used, few research papers have explicitly defined service innovation. This dearth of research is the motivation for the present study. Through a systematic review of 1301 articles on service innovation appearing in academic journals between 1979 and 2014, this article examines research defining service innovation. The study identifies the key characteristics within 84 definitions of service innovation in different perspectives (assimilation, demarcation and synthesis) and shows how the meaning of the concept is changing. The review suggests that the large variety in definitions limits and hinders knowledge development of service innovation.","author":[{"dropping-particle":"","family":"Witell","given":"Lars","non-dropping-particle":"","parse-names":false,"suffix":""},{"dropping-particle":"","family":"Snyder","given":"Hannah","non-dropping-particle":"","parse-names":false,"suffix":""},{"dropping-particle":"","family":"Gustafsson","given":"Anders","non-dropping-particle":"","parse-names":false,"suffix":""},{"dropping-particle":"","family":"Fombelle","given":"Paul","non-dropping-particle":"","parse-names":false,"suffix":""},{"dropping-particle":"","family":"Kristensson","given":"Per","non-dropping-particle":"","parse-names":false,"suffix":""}],"container-title":"Journal of Business Research","id":"ITEM-1","issue":"8","issued":{"date-parts":[["2016"]]},"page":"2863-2872","title":"Defining service innovation: A review and synthesis","type":"article-journal","volume":"69"},"suppress-author":1,"uris":["http://www.mendeley.com/documents/?uuid=35ed8b0a-539e-4ef7-ba76-2f10a380b123"]}],"mendeley":{"formattedCitation":"(2016)","plainTextFormattedCitation":"(2016)","previouslyFormattedCitation":"(2016)"},"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(2016)</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kapasitas inovasi pelayanan memiliki empat kategorisasi yaitu: (1) </w:t>
      </w:r>
      <w:r w:rsidRPr="00CC5864">
        <w:rPr>
          <w:rFonts w:ascii="Times New Roman" w:hAnsi="Times New Roman" w:cs="Times New Roman"/>
          <w:sz w:val="24"/>
          <w:szCs w:val="24"/>
        </w:rPr>
        <w:lastRenderedPageBreak/>
        <w:t>derajat perubahan, (2) jenis perubahan, (3) kebaruan, dan (4) sarana penyediaan. Hasil penelitian menunjukkan bahwa sebagian besar penelitian berfokus ke dalam dan memandang inovasi layanan sebagai sesuatu (hanya) baru bagi perusahaan. Menariknya, kategorisasi inovasi layanan tampaknya mengabaikan nilai pelanggan dan kinerja keuangan.</w:t>
      </w:r>
    </w:p>
    <w:p w14:paraId="6B41C499" w14:textId="2E4A960F" w:rsidR="00CC5864" w:rsidRPr="00CC5864" w:rsidRDefault="00E14689"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Penelitian ini menggunakan analisis kapasitas inovasi pelayanan publik berdasarkan konsep Radiografi of the Governance Process yang menjelaskan tentang proses dan tata kelola pemerintahan dalam melakukan berbagai inovasi kebijakan dengan tujuan optimalisasi pelayanan publik. Konsep tersebut terdiri dari tiga komponen yaitu Assets terdiri dari Rights (Hak dan Wewenang), Resources (Sumber daya) Competencies (Kompetensi) dan Organizational Capital (Modal Organisasi); dan Capabilities yang terdiri dari Networks, Relations dan Regimes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{"citationItems":[{"id":"ITEM-1","itemData":{"author":[{"dropping-particle":"","family":"Paquet","given":"Gilles","non-dropping-particle":"","parse-names":false,"suffix":""}],"id":"ITEM-1","issued":{"date-parts":[["2001"]]},"number-of-pages":"183-214","title":"Governance in the 21st Century, The New Governance, Subsidiarity and the Strategic State","type":"report"},"uris":["http://www.mendeley.com/documents/?uuid=ac189325-1541-4434-a536-8254eeb0a07d"]}],"mendeley":{"formattedCitation":"(Paquet 2001)","plainTextFormattedCitation":"(Paquet 2001)","previouslyFormattedCitation":"(Paquet 2001)"},"properties":{"noteIndex":0},"schema":"https://github.com/citation-style-language/schema/raw/master/csl-citation.json"}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(Paquet 2001)</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w:t>
      </w:r>
      <w:r w:rsidR="00CC5864" w:rsidRPr="00CC5864">
        <w:rPr>
          <w:rFonts w:ascii="Times New Roman" w:hAnsi="Times New Roman" w:cs="Times New Roman"/>
          <w:sz w:val="24"/>
          <w:szCs w:val="24"/>
        </w:rPr>
        <w:t>Dengan demikian tujuan penelitian ini adalah untuk menganalisis bagaimana kapasitas inovasi program dana pembangunan wilayah kelurahan dalam mendukung percepatan dan pemerataan pembangunan daerah.</w:t>
      </w:r>
    </w:p>
    <w:p w14:paraId="0DB4C6F8" w14:textId="77777777" w:rsidR="00CC5864" w:rsidRPr="00CC5864" w:rsidRDefault="00CC5864" w:rsidP="00CC5864">
      <w:pPr>
        <w:spacing w:after="0" w:line="360" w:lineRule="auto"/>
        <w:ind w:firstLine="720"/>
        <w:jc w:val="both"/>
        <w:rPr>
          <w:rFonts w:ascii="Times New Roman" w:hAnsi="Times New Roman" w:cs="Times New Roman"/>
          <w:sz w:val="24"/>
          <w:szCs w:val="24"/>
        </w:rPr>
      </w:pPr>
    </w:p>
    <w:p w14:paraId="1DEAFF52" w14:textId="6447B729" w:rsidR="009D24AA" w:rsidRPr="00CC5864" w:rsidRDefault="009D24AA" w:rsidP="00CC5864">
      <w:pPr>
        <w:spacing w:after="0" w:line="360" w:lineRule="auto"/>
        <w:rPr>
          <w:rFonts w:ascii="Times New Roman" w:hAnsi="Times New Roman" w:cs="Times New Roman"/>
          <w:b/>
          <w:bCs/>
          <w:sz w:val="24"/>
          <w:szCs w:val="24"/>
          <w:lang w:val="en-US"/>
        </w:rPr>
      </w:pPr>
      <w:r w:rsidRPr="00CC5864">
        <w:rPr>
          <w:rFonts w:ascii="Times New Roman" w:hAnsi="Times New Roman" w:cs="Times New Roman"/>
          <w:b/>
          <w:bCs/>
          <w:sz w:val="24"/>
          <w:szCs w:val="24"/>
        </w:rPr>
        <w:t>METODE</w:t>
      </w:r>
      <w:r w:rsidR="00CC5864" w:rsidRPr="00CC5864">
        <w:rPr>
          <w:rFonts w:ascii="Times New Roman" w:hAnsi="Times New Roman" w:cs="Times New Roman"/>
          <w:b/>
          <w:bCs/>
          <w:sz w:val="24"/>
          <w:szCs w:val="24"/>
          <w:lang w:val="en-US"/>
        </w:rPr>
        <w:t xml:space="preserve"> PENELITIAN</w:t>
      </w:r>
    </w:p>
    <w:p w14:paraId="5B51A0DD" w14:textId="77777777" w:rsidR="009D24AA"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Penelitian ini merupakan penelitian deskriptif kualitatif. Adapun alasan pemilihan pendekatan tersebut dikarenakan penelitian ini melihat dan memahami fenomena sosial yang kompleks melalui pertanyaan penelitian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{"citationItems":[{"id":"ITEM-1","itemData":{"ISBN":"978-1-4833-0200-3","author":[{"dropping-particle":"","family":"Yin","given":"Robert K","non-dropping-particle":"","parse-names":false,"suffix":""}],"edition":"Fifth Edit","id":"ITEM-1","issued":{"date-parts":[["2014"]]},"publisher":"SAGE Publications Inc.","publisher-place":"Lon","title":"Case Study Research : design and methods","type":"book"},"uris":["http://www.mendeley.com/documents/?uuid=29261799-c1b9-47bd-9b61-f0f38a66ecef"]}],"mendeley":{"formattedCitation":"(Yin 2014)","plainTextFormattedCitation":"(Yin 2014)","previouslyFormattedCitation":"(Yin 2014)"},"properties":{"noteIndex":0},"schema":"https://github.com/citation-style-language/schema/raw/master/csl-citation.json"}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(Yin 2014)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Metode ini menggambarkan keadaan atau suatu fenomena dengan tujuan untuk mengetahui hal-hal yang berhubungan dengan sesuatu keadaan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{"citationItems":[{"id":"ITEM-1","itemData":{"author":[{"dropping-particle":"","family":"Creswell","given":"John W","non-dropping-particle":"","parse-names":false,"suffix":""}],"id":"ITEM-1","issued":{"date-parts":[["1994"]]},"publisher":"Thousand Oaks: SAGE Publications.","title":"Research Design: Qualitative and Quantitative Approaches","type":"book"},"uris":["http://www.mendeley.com/documents/?uuid=71516299-6b9f-4f32-a391-60b8ff0a4328"]}],"mendeley":{"formattedCitation":"(Creswell 1994)","plainTextFormattedCitation":"(Creswell 1994)","previouslyFormattedCitation":"(Creswell 1994)"},"properties":{"noteIndex":0},"schema":"https://github.com/citation-style-language/schema/raw/master/csl-citation.json"}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(Creswell 1994)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Data yang digunakan dalam penelitian ini berupa data primer dan data skunder. Teknik pengambilan data primer dilakukan menggunakan observasi dan wawancara mendalam dengan aparatur Pemerintahan Kecamatan dan masyarakat selaku informan penelitian melalui penentuan informan purposive sampling. Sedangkan data sekunder berasal dari data-data yang diperoleh dari dokumen resmi pemerintah, buku, jurnal, website dan literatur lainnya. Lokus penelitian adalah di Kelurahan Citangkil Kecamatan Citangkil Kota Cilegon sebagai salah satu institusi yang melaksanakan program DPWK, hal ini menjadi salah satu alasan pemilihan lokasi penelitian sebagaimana dikemukakan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{"citationItems":[{"id":"ITEM-1","itemData":{"ISBN":"978-1-4833-0200-3","author":[{"dropping-particle":"","family":"Yin","given":"Robert K","non-dropping-particle":"","parse-names":false,"suffix":""}],"edition":"Fifth Edit","id":"ITEM-1","issued":{"date-parts":[["2014"]]},"publisher":"SAGE Publications Inc.","publisher-place":"Lon","title":"Case Study Research : design and methods","type":"book"},"suppress-author":1,"uris":["http://www.mendeley.com/documents/?uuid=29261799-c1b9-47bd-9b61-f0f38a66ecef"]}],"mendeley":{"formattedCitation":"(2014)","manualFormatting":"Yin (2014)","plainTextFormattedCitation":"(2014)","previouslyFormattedCitation":"(2014)"},"properties":{"noteIndex":0},"schema":"https://github.com/citation-style-language/schema/raw/master/csl-citation.json"}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Yin (2014)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yang menyatakanbahwa pemilihan lokasi dapat dilakukan berdasarkan typical case atau tipe kasus yang sedang diteliti. analisis data penelitian menggunakan analisis data kualitatif sebagaimana dikemukakan Miles et al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{"citationItems":[{"id":"ITEM-1","itemData":{"ISBN":"9781452257877","author":[{"dropping-particle":"","family":"Miles","given":"Matthew B.","non-dropping-particle":"","parse-names":false,"suffix":""},{"dropping-particle":"","family":"Huberman","given":"Michael A","non-dropping-particle":"","parse-names":false,"suffix":""},{"dropping-particle":"","family":"Saldaña","given":"Johnny","non-dropping-particle":"","parse-names":false,"suffix":""}],"chapter-number":"4","container-title":"Qualitative Data Analysis A Methods Sourcebook","edition":"3","id":"ITEM-1","issued":{"date-parts":[["2014"]]},"publisher":"SAGE Publications Inc.","publisher-place":"Arizona State University","title":"Qualitative Data Analysis, A Methods Sourcebook","type":"chapter"},"suppress-author":1,"uris":["http://www.mendeley.com/documents/?uuid=5694d5a3-7e7c-4b9b-b09d-27ec81a035a3"]}],"mendeley":{"formattedCitation":"(2014)","plainTextFormattedCitation":"(2014)","previouslyFormattedCitation":"(2014)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(2014)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yang terdiri dari reduksi data, penyajian data dan penarikan kesimpulan. Penelitian dilakukan selama 3 (tiga) bulan yaitu dari bulan Desember 2019 sampai dengan bulan Februari 2020.</w:t>
      </w:r>
    </w:p>
    <w:p w14:paraId="61067D43" w14:textId="77777777" w:rsidR="00CC5864" w:rsidRPr="00CC5864" w:rsidRDefault="00CC5864" w:rsidP="00CC5864">
      <w:pPr>
        <w:spacing w:after="0" w:line="360" w:lineRule="auto"/>
        <w:ind w:firstLine="720"/>
        <w:jc w:val="both"/>
        <w:rPr>
          <w:rFonts w:ascii="Times New Roman" w:hAnsi="Times New Roman" w:cs="Times New Roman"/>
          <w:sz w:val="24"/>
          <w:szCs w:val="24"/>
        </w:rPr>
      </w:pPr>
    </w:p>
    <w:p w14:paraId="5ADC046D" w14:textId="77777777" w:rsidR="009D24AA" w:rsidRPr="00CC5864" w:rsidRDefault="009D24AA" w:rsidP="00CC5864">
      <w:pPr>
        <w:spacing w:after="0" w:line="360" w:lineRule="auto"/>
        <w:jc w:val="both"/>
        <w:rPr>
          <w:rFonts w:ascii="Times New Roman" w:hAnsi="Times New Roman" w:cs="Times New Roman"/>
          <w:sz w:val="24"/>
          <w:szCs w:val="24"/>
        </w:rPr>
      </w:pPr>
    </w:p>
    <w:p w14:paraId="08A4C6B6" w14:textId="205924E8" w:rsidR="009D24AA" w:rsidRPr="00CC5864" w:rsidRDefault="009D24AA" w:rsidP="00CC5864">
      <w:pPr>
        <w:spacing w:after="0" w:line="360" w:lineRule="auto"/>
        <w:jc w:val="both"/>
        <w:rPr>
          <w:rFonts w:ascii="Times New Roman" w:hAnsi="Times New Roman" w:cs="Times New Roman"/>
          <w:b/>
          <w:bCs/>
          <w:sz w:val="24"/>
          <w:szCs w:val="24"/>
          <w:lang w:val="en-US"/>
        </w:rPr>
      </w:pPr>
      <w:r w:rsidRPr="00CC5864">
        <w:rPr>
          <w:rFonts w:ascii="Times New Roman" w:hAnsi="Times New Roman" w:cs="Times New Roman"/>
          <w:b/>
          <w:bCs/>
          <w:sz w:val="24"/>
          <w:szCs w:val="24"/>
        </w:rPr>
        <w:lastRenderedPageBreak/>
        <w:t xml:space="preserve">HASIL DAN </w:t>
      </w:r>
      <w:r w:rsidR="00CC5864">
        <w:rPr>
          <w:rFonts w:ascii="Times New Roman" w:hAnsi="Times New Roman" w:cs="Times New Roman"/>
          <w:b/>
          <w:bCs/>
          <w:sz w:val="24"/>
          <w:szCs w:val="24"/>
          <w:lang w:val="en-US"/>
        </w:rPr>
        <w:t>PEMBAHASAN</w:t>
      </w:r>
    </w:p>
    <w:p w14:paraId="3467EAE4" w14:textId="77777777"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Hasil penelitian dan pembahasan tentang kapasitas inovasi program DPWK dalam mendukung percepatan dan pemerataan pembangunan daerah ini meliputi 1)hak dan wewenang yang dituangkan dalam regulasi atau peraturan yang berlaku; 2)sumber daya, yaitu aset yang disediakan untuk individu dan lembaga seperti uang, waktu, informasi dan fasilitas; 3)kompetensi dan pengetahuan, yaitu pendidikan, pelatihan, pengalaman dan keahlian dan 4)modal organisasi, yaitu kapasitas untuk memobilisasi perhatian dan untuk menggunakan secara efektif ketiga jenis sumber daya yang pertama. Selain itu, dalam penelitian ini juga dibahas tentang dua aspek kapabilitas yaitu aspek jaringan, relasi dan kekuasaan, hubungan dan rejim yang berkuasa.</w:t>
      </w:r>
    </w:p>
    <w:p w14:paraId="11AAFE34" w14:textId="77777777" w:rsidR="009D24AA" w:rsidRPr="00CC5864" w:rsidRDefault="009D24AA" w:rsidP="00CC5864">
      <w:pPr>
        <w:spacing w:after="0" w:line="360" w:lineRule="auto"/>
        <w:jc w:val="both"/>
        <w:rPr>
          <w:rFonts w:ascii="Times New Roman" w:hAnsi="Times New Roman" w:cs="Times New Roman"/>
          <w:sz w:val="24"/>
          <w:szCs w:val="24"/>
        </w:rPr>
      </w:pPr>
    </w:p>
    <w:p w14:paraId="67E6CE68" w14:textId="77777777" w:rsidR="009D24AA" w:rsidRPr="00CC5864" w:rsidRDefault="009D24AA"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rPr>
        <w:t>Hak dan Wewenang</w:t>
      </w:r>
    </w:p>
    <w:p w14:paraId="70E6FFF3" w14:textId="77777777" w:rsidR="00CC5864"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Keberhasilan pencapaian tujuan suatu program pemerintah daerah dapat dilihat dari bagaimana hak dan wewenang aparatur yang dijalankan, baik dari aspek dan proses perencanaan, pelaksanaan sampai dengan pertanggungjawaban yang sesuai dengan ketentuan peraturan perundang-undangan yang berlaku. Berdasarkan hasil penelitian, Pemerintah Kota Cilegon sudah mengalokasikan anggaran 5% dari APBD setelah dikurangi DAK melalui DPWK melalui anggaran Kecamatan pada bagian anggaran kelurahan untuk membiayai membangun sarana dan prasarana lokal kelurahan dan pemberdayaan masyarakat. Hal tersebut telah diatur melalui Peraturan Walikota (PERWAL) Nomor 34 Tahun 2015 tentang DPWK. Dengan demikian hak dan wewenang Pemerintah Kota Cilegon dengan mengimplementasikan alokasi APBD yang diperuntukan dalam bentuk DPWK sudah dilaksanakan dengan tepat, dan sekaligus menunjukkan terdapat inisiatif kebijakan yang baru bagi pemerintahan suatu negara tanpa melihat seberapa usang programnya atau seberapa banyak negara lain yang telah mengadopsi sebelumnya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{"citationItems":[{"id":"ITEM-1","itemData":{"abstract":"What causes a government to adopt a new program or policy? Despite a large number of empirical studies available to date, the relative importance of various determinants remains obscure because of difficulties of statistical identification. We present an experimental setting to study the diffusion of policy innovations in the laboratory. Our approach discriminates between experimentation, experience, and emulation as determinants of policy adoption. The policy innovation we study is an internalization tax to mitigate a local market externality. Our results demonstrate the importance of information about innovations in other states in the diffusion of policy innovations","author":[{"dropping-particle":"","family":"Tyran","given":"Jean-Robert","non-dropping-particle":"","parse-names":false,"suffix":""},{"dropping-particle":"","family":"Sausgruber","given":"Rupert","non-dropping-particle":"","parse-names":false,"suffix":""}],"container-title":"Discussion Paper No. 2003-14","id":"ITEM-1","issued":{"date-parts":[["2003"]]},"title":"The Diffusion of Policy Innovations: An Experimental Investigation","type":"report"},"uris":["http://www.mendeley.com/documents/?uuid=d1cf8924-a032-4457-a457-575da21e6ca0"]}],"mendeley":{"formattedCitation":"(Tyran dan Sausgruber 2003)","plainTextFormattedCitation":"(Tyran dan Sausgruber 2003)","previouslyFormattedCitation":"(Tyran dan Sausgruber 2003)"},"properties":{"noteIndex":0},"schema":"https://github.com/citation-style-language/schema/raw/master/csl-citation.json"}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(Tyran dan Sausgruber 2003)</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w:t>
      </w:r>
    </w:p>
    <w:p w14:paraId="21820B7B" w14:textId="77777777" w:rsidR="00CC5864"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Dalam pelaksanaan program Dana Pembangunan Wilayah Kelurahan di Kota Cilegon ini sudah sesuai dengan kebutuhan masyarakat. Hal tersebut karena masyarakat yang lingkupnya RT/RW sudah bisa merasakan perubahan di lingkungannya. Program Dana Pembangunan Wilayah Kelurahan ini menjadi pelopor dan menjadi satu-satunya yang ada di Indonesia (Wawancara dengan Bapak Sumardi, Kepala Seksi Ekonomi dan Pembangunan Kelurahan Citangkil Kota Cilegon, 14 Januari 2020). Hak dan wewenang pemerintah dalam proses inovasi administrasi publik memiliki tujuan untuk memodernisasi kapasitas administrasi dan menciptakan pemerintahan yang lebih efisien dan akuntabel. Dalam hal ini kapasitas Pemerintah Kota Cilegon berperan sebagai "pelayan" daripada "penguasa”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{"citationItems":[{"id":"ITEM-1","itemData":{"DOI":"10.7763/ijeeee.2011.v1.25","ISSN":"20103654","abstract":"this article reviews the contribution of public administration (PA) innovations toward sustainable development and its impact on citizens’ expectations on the performance of the government. Today governments aim to modernize the public administration, to strengthen its capacities and to make it more efficient and accountable. Governments today are using different methods and techniques to find out the citizen’s demands in order to reduce the gap between government and the people and to enhance the public trust as an important factor. The aim of this paper is focused on the review of the new developments on the public administration on the frame of the challenges and process of globalization and its impact on citizens‘expectations. Today citizens are more or less satisfied with innovations in public administration, however, it is necessity to regularly asses the achievements related to further innovations and their ability to effect the citizens life and enhance their expectations. The research methods of this paper refer to the empirical materials, comparative systematic analysis on public administration developments, archival research, policies and bibliographical analysis.","author":[{"dropping-particle":"","family":"Batalli","given":"Mirlinda","non-dropping-particle":"","parse-names":false,"suffix":""}],"container-title":"International Journal of e-Education, e-Business, e-Management and e-Learning","id":"ITEM-1","issue":"2","issued":{"date-parts":[["2011"]]},"title":"Impact of Public Administration Innovations on Enhancing the Citizens’ Expectations","type":"article-journal","volume":"1"},"uris":["http://www.mendeley.com/documents/?uuid=07d8c693-76e5-44f4-ac49-7c39fc388ead"]}],"mendeley":{"formattedCitation":"(Batalli 2011)","plainTextFormattedCitation":"(Batalli 2011)","previouslyFormattedCitation":"(Batalli 2011)"},"properties":{"noteIndex":0},"schema":"https://github.com/citation-style-language/schema/raw/master/csl-citation.json"}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(Batalli 2011)</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w:t>
      </w:r>
    </w:p>
    <w:p w14:paraId="1DABCED1" w14:textId="4372ADCB"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lastRenderedPageBreak/>
        <w:t>Hak dan wewenang Pemerintahan Kota Cilegon juga diwujudkan dalam birokrasi yang mengedepankan prioritas manfaat dan dampak bagi masyarakat, penggunaan dana DPWK yang sejatinya merupakan hak masyarakat yang diperoleh melalui pendapatan daerah dikenbalikan lagi kepada masyarakat dalam bentuk dana program-program pembangunan daerah (Wawancara dengan Bapak Sumardi, Kepala seksi Ekonomi dan Pembangunan Pemerintah Kota Cilegon. Hal tersebut menunjukkan bahwa kapasitas aparatur dalam menjalankan hak dan wewenang sudah dilaksanakan. Dengan demikian Pemerintah Kota Cilegon dalam penggunaan DPWK berdasarkan aspek hak dan wewenang sudah menjalankan tugas, fungsi dan tanggung jawabnya sesuai dengan regulasi yang berlaku.</w:t>
      </w:r>
    </w:p>
    <w:p w14:paraId="1D59D488" w14:textId="77777777" w:rsidR="00CC5864" w:rsidRPr="00CC5864" w:rsidRDefault="00CC5864" w:rsidP="00CC5864">
      <w:pPr>
        <w:spacing w:after="0" w:line="360" w:lineRule="auto"/>
        <w:jc w:val="both"/>
        <w:rPr>
          <w:rFonts w:ascii="Times New Roman" w:hAnsi="Times New Roman" w:cs="Times New Roman"/>
          <w:sz w:val="24"/>
          <w:szCs w:val="24"/>
        </w:rPr>
      </w:pPr>
    </w:p>
    <w:p w14:paraId="335FC8BB" w14:textId="77777777" w:rsidR="00CC5864" w:rsidRPr="00CC5864" w:rsidRDefault="009D24AA"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rPr>
        <w:t>Sumber daya</w:t>
      </w:r>
    </w:p>
    <w:p w14:paraId="28D2A778" w14:textId="69671A10" w:rsidR="009D24AA" w:rsidRPr="00CC5864" w:rsidRDefault="009D24AA" w:rsidP="00CC5864">
      <w:pPr>
        <w:spacing w:after="0" w:line="360" w:lineRule="auto"/>
        <w:ind w:firstLine="720"/>
        <w:jc w:val="both"/>
        <w:rPr>
          <w:rFonts w:ascii="Times New Roman" w:hAnsi="Times New Roman" w:cs="Times New Roman"/>
          <w:b/>
          <w:bCs/>
          <w:sz w:val="24"/>
          <w:szCs w:val="24"/>
        </w:rPr>
      </w:pPr>
      <w:r w:rsidRPr="00CC5864">
        <w:rPr>
          <w:rFonts w:ascii="Times New Roman" w:hAnsi="Times New Roman" w:cs="Times New Roman"/>
          <w:sz w:val="24"/>
          <w:szCs w:val="24"/>
        </w:rPr>
        <w:t xml:space="preserve">Aspek potensi dan peluang sumber daya daerah merupakan modal penting pembangunan dalam mempercepat akselerasi pembangunan daerah, sehingga hal tersebut menjadi salah satu faktor penting tata kelola pemerintah daerah. Sumber daya menjadi bagian yang sangat penting dikarenakan dapat menjadi instrument yang mampu menggerakan seluruh elemen program dan pencapaian kinerja organisasi. Berkaitan dengan sumber daya, inovasi merupakan instrumen untuk mengembangkan cara-cara baru dalam menggunakan sumber daya dan memenuhi kebutuhan secara lebih efektif serta inovasi juga dapat dimanfaatkan untuk mengembangkan strategi dan tindakan dalam pelayanan publik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{"citationItems":[{"id":"ITEM-1","itemData":{"author":[{"dropping-particle":"","family":"Muluk","given":"M.R. Khairul","non-dropping-particle":"","parse-names":false,"suffix":""}],"id":"ITEM-1","issued":{"date-parts":[["2008"]]},"publisher":"Malang: Banyumedia.","title":"Knowledge Management (Kunci Sukses Inovasi Pemerintah Daerah)","type":"book"},"uris":["http://www.mendeley.com/documents/?uuid=be13736f-e600-4c04-9290-ff923fa41bc1"]}],"mendeley":{"formattedCitation":"(Muluk 2008)","plainTextFormattedCitation":"(Muluk 2008)","previouslyFormattedCitation":"(Muluk 2008)"},"properties":{"noteIndex":0},"schema":"https://github.com/citation-style-language/schema/raw/master/csl-citation.json"}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(Muluk 2008)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w:t>
      </w:r>
    </w:p>
    <w:p w14:paraId="524BAA63" w14:textId="77777777" w:rsidR="00CC5864"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Hasil penelitian menunjukkan bahwa DPWK sudah dikelola langsung oleh organisasi kelembagaan yang mandiri dan berasal dari masyarakat yaitu Kelompok Masyarakat (POKMAS) yang beranggotakan masyarakat lingkungan kelurahan yang di bentuk melalui musyawarah dan ditetapkan dengan Surat Keputusan Camat. POKMAS merupakan pelaksana program DPWK yang berhubungan dengan kegiatan pembangunan infrastruktur di setiap wilayah kelurahan. Hal ini menunjukkan konsep partisipasi publik sudah menjadi paradigma dalam pengelolaan pembangunan berbagai sektor. Partisipasi merupakan suatu bentuk khusus dan interaksi dan komunikasi yang berkaitan dengan pembagian kewewenang, tanggungjawab dan manfaat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{"citationItems":[{"id":"ITEM-1","itemData":{"author":[{"dropping-particle":"","family":"Mardikanto, Theresia A.","given":"Dkk.","non-dropping-particle":"","parse-names":false,"suffix":""}],"id":"ITEM-1","issued":{"date-parts":[["2014"]]},"publisher":"Alfabeta","publisher-place":"Bandung","title":"Pembangunan Berbasis Masyarakat. Alfabeta: Bandung.","type":"book"},"uris":["http://www.mendeley.com/documents/?uuid=d17b8dc8-7843-4861-a143-a819d3eaa663"]}],"mendeley":{"formattedCitation":"(Mardikanto, Theresia A. 2014)","plainTextFormattedCitation":"(Mardikanto, Theresia A. 2014)","previouslyFormattedCitation":"(Mardikanto, Theresia A. 2014)"},"properties":{"noteIndex":0},"schema":"https://github.com/citation-style-language/schema/raw/master/csl-citation.json"}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(Mardikanto, Theresia A. 2014)</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w:t>
      </w:r>
    </w:p>
    <w:p w14:paraId="1E4ED686" w14:textId="4D6FBA52"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DPWK merupakan replika dari program-program sebelumnya seperti PNPM dan P2KP, akan tetapi perbedaannya terletak pada sumber pendanaan. DPWP DPWK bersumber dari APBD Pemerintah Kota Cilegon sedangkan PNPM dan P2KP bersumber dari APBN pusat. (wawancara dengan Bapak Rohim ketua POKMAS Kelurahan Citangkil Kota Cilegon). Selain itu tingkat kenaikan DPWK Kota Cilegon setiap tahunnya mengalami kenaikan seperti yang dilihat pada tabel berikut ini:</w:t>
      </w:r>
    </w:p>
    <w:p w14:paraId="0781DE7C" w14:textId="77777777" w:rsidR="009D24AA" w:rsidRPr="00CC5864" w:rsidRDefault="009D24AA" w:rsidP="00CC5864">
      <w:pPr>
        <w:spacing w:after="0" w:line="240" w:lineRule="auto"/>
        <w:jc w:val="both"/>
        <w:rPr>
          <w:rFonts w:ascii="Times New Roman" w:hAnsi="Times New Roman" w:cs="Times New Roman"/>
          <w:sz w:val="24"/>
          <w:szCs w:val="24"/>
        </w:rPr>
      </w:pPr>
      <w:r w:rsidRPr="00CC5864">
        <w:rPr>
          <w:rFonts w:ascii="Times New Roman" w:hAnsi="Times New Roman" w:cs="Times New Roman"/>
          <w:sz w:val="24"/>
          <w:szCs w:val="24"/>
        </w:rPr>
        <w:lastRenderedPageBreak/>
        <w:t>Tabel 1.  Anggaran Dana Pembangunan Wilayah Kelurahan Kota Cilegon Periode 2019– 2022</w:t>
      </w:r>
    </w:p>
    <w:p w14:paraId="1C40EDA0" w14:textId="77777777" w:rsidR="009D24AA" w:rsidRPr="00CC5864" w:rsidRDefault="009D24AA" w:rsidP="00CC5864">
      <w:pPr>
        <w:spacing w:after="0" w:line="240" w:lineRule="auto"/>
        <w:jc w:val="both"/>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1798"/>
        <w:gridCol w:w="1836"/>
        <w:gridCol w:w="1836"/>
        <w:gridCol w:w="1836"/>
      </w:tblGrid>
      <w:tr w:rsidR="00FD433F" w:rsidRPr="00CC5864" w14:paraId="56A8D1C9" w14:textId="77777777" w:rsidTr="00746985">
        <w:tc>
          <w:tcPr>
            <w:tcW w:w="1803" w:type="dxa"/>
            <w:vMerge w:val="restart"/>
            <w:tcBorders>
              <w:top w:val="single" w:sz="4" w:space="0" w:color="auto"/>
            </w:tcBorders>
          </w:tcPr>
          <w:p w14:paraId="01E8DDE8" w14:textId="77777777" w:rsidR="009D24AA" w:rsidRPr="00CC5864" w:rsidRDefault="009D24AA" w:rsidP="00CC5864">
            <w:pPr>
              <w:spacing w:after="0" w:line="240" w:lineRule="auto"/>
              <w:jc w:val="center"/>
              <w:rPr>
                <w:b/>
                <w:bCs/>
                <w:sz w:val="24"/>
                <w:szCs w:val="24"/>
              </w:rPr>
            </w:pPr>
            <w:r w:rsidRPr="00CC5864">
              <w:rPr>
                <w:b/>
                <w:bCs/>
                <w:sz w:val="24"/>
                <w:szCs w:val="24"/>
              </w:rPr>
              <w:t>Item</w:t>
            </w:r>
          </w:p>
        </w:tc>
        <w:tc>
          <w:tcPr>
            <w:tcW w:w="7213" w:type="dxa"/>
            <w:gridSpan w:val="4"/>
            <w:tcBorders>
              <w:top w:val="single" w:sz="4" w:space="0" w:color="auto"/>
            </w:tcBorders>
          </w:tcPr>
          <w:p w14:paraId="5D95CB65" w14:textId="77777777" w:rsidR="009D24AA" w:rsidRPr="00CC5864" w:rsidRDefault="009D24AA" w:rsidP="00CC5864">
            <w:pPr>
              <w:spacing w:after="0" w:line="240" w:lineRule="auto"/>
              <w:jc w:val="center"/>
              <w:rPr>
                <w:b/>
                <w:bCs/>
                <w:sz w:val="24"/>
                <w:szCs w:val="24"/>
              </w:rPr>
            </w:pPr>
            <w:r w:rsidRPr="00CC5864">
              <w:rPr>
                <w:b/>
                <w:bCs/>
                <w:sz w:val="24"/>
                <w:szCs w:val="24"/>
              </w:rPr>
              <w:t>Tahun</w:t>
            </w:r>
          </w:p>
        </w:tc>
      </w:tr>
      <w:tr w:rsidR="00FD433F" w:rsidRPr="00CC5864" w14:paraId="260902AE" w14:textId="77777777" w:rsidTr="00746985">
        <w:tc>
          <w:tcPr>
            <w:tcW w:w="1803" w:type="dxa"/>
            <w:vMerge/>
            <w:tcBorders>
              <w:bottom w:val="single" w:sz="4" w:space="0" w:color="auto"/>
            </w:tcBorders>
          </w:tcPr>
          <w:p w14:paraId="2584F2AC" w14:textId="77777777" w:rsidR="009D24AA" w:rsidRPr="00CC5864" w:rsidRDefault="009D24AA" w:rsidP="00CC5864">
            <w:pPr>
              <w:spacing w:after="0" w:line="240" w:lineRule="auto"/>
              <w:jc w:val="center"/>
              <w:rPr>
                <w:b/>
                <w:bCs/>
                <w:sz w:val="24"/>
                <w:szCs w:val="24"/>
              </w:rPr>
            </w:pPr>
          </w:p>
        </w:tc>
        <w:tc>
          <w:tcPr>
            <w:tcW w:w="1803" w:type="dxa"/>
            <w:tcBorders>
              <w:bottom w:val="single" w:sz="4" w:space="0" w:color="auto"/>
            </w:tcBorders>
          </w:tcPr>
          <w:p w14:paraId="785E847A" w14:textId="77777777" w:rsidR="009D24AA" w:rsidRPr="00CC5864" w:rsidRDefault="009D24AA" w:rsidP="00CC5864">
            <w:pPr>
              <w:spacing w:after="0" w:line="240" w:lineRule="auto"/>
              <w:jc w:val="center"/>
              <w:rPr>
                <w:b/>
                <w:bCs/>
                <w:sz w:val="24"/>
                <w:szCs w:val="24"/>
              </w:rPr>
            </w:pPr>
            <w:r w:rsidRPr="00CC5864">
              <w:rPr>
                <w:b/>
                <w:bCs/>
                <w:sz w:val="24"/>
                <w:szCs w:val="24"/>
              </w:rPr>
              <w:t>2019</w:t>
            </w:r>
          </w:p>
        </w:tc>
        <w:tc>
          <w:tcPr>
            <w:tcW w:w="1803" w:type="dxa"/>
            <w:tcBorders>
              <w:bottom w:val="single" w:sz="4" w:space="0" w:color="auto"/>
            </w:tcBorders>
          </w:tcPr>
          <w:p w14:paraId="5D0D2DE9" w14:textId="77777777" w:rsidR="009D24AA" w:rsidRPr="00CC5864" w:rsidRDefault="009D24AA" w:rsidP="00CC5864">
            <w:pPr>
              <w:spacing w:after="0" w:line="240" w:lineRule="auto"/>
              <w:jc w:val="center"/>
              <w:rPr>
                <w:b/>
                <w:bCs/>
                <w:sz w:val="24"/>
                <w:szCs w:val="24"/>
              </w:rPr>
            </w:pPr>
            <w:r w:rsidRPr="00CC5864">
              <w:rPr>
                <w:b/>
                <w:bCs/>
                <w:sz w:val="24"/>
                <w:szCs w:val="24"/>
              </w:rPr>
              <w:t>2020</w:t>
            </w:r>
          </w:p>
        </w:tc>
        <w:tc>
          <w:tcPr>
            <w:tcW w:w="1803" w:type="dxa"/>
            <w:tcBorders>
              <w:bottom w:val="single" w:sz="4" w:space="0" w:color="auto"/>
            </w:tcBorders>
          </w:tcPr>
          <w:p w14:paraId="5DA72B92" w14:textId="77777777" w:rsidR="009D24AA" w:rsidRPr="00CC5864" w:rsidRDefault="009D24AA" w:rsidP="00CC5864">
            <w:pPr>
              <w:spacing w:after="0" w:line="240" w:lineRule="auto"/>
              <w:jc w:val="center"/>
              <w:rPr>
                <w:b/>
                <w:bCs/>
                <w:sz w:val="24"/>
                <w:szCs w:val="24"/>
              </w:rPr>
            </w:pPr>
            <w:r w:rsidRPr="00CC5864">
              <w:rPr>
                <w:b/>
                <w:bCs/>
                <w:sz w:val="24"/>
                <w:szCs w:val="24"/>
              </w:rPr>
              <w:t>2021</w:t>
            </w:r>
          </w:p>
        </w:tc>
        <w:tc>
          <w:tcPr>
            <w:tcW w:w="1804" w:type="dxa"/>
            <w:tcBorders>
              <w:bottom w:val="single" w:sz="4" w:space="0" w:color="auto"/>
            </w:tcBorders>
          </w:tcPr>
          <w:p w14:paraId="713F5767" w14:textId="77777777" w:rsidR="009D24AA" w:rsidRPr="00CC5864" w:rsidRDefault="009D24AA" w:rsidP="00CC5864">
            <w:pPr>
              <w:spacing w:after="0" w:line="240" w:lineRule="auto"/>
              <w:jc w:val="center"/>
              <w:rPr>
                <w:b/>
                <w:bCs/>
                <w:sz w:val="24"/>
                <w:szCs w:val="24"/>
              </w:rPr>
            </w:pPr>
            <w:r w:rsidRPr="00CC5864">
              <w:rPr>
                <w:b/>
                <w:bCs/>
                <w:sz w:val="24"/>
                <w:szCs w:val="24"/>
              </w:rPr>
              <w:t>2022</w:t>
            </w:r>
          </w:p>
        </w:tc>
      </w:tr>
      <w:tr w:rsidR="00FD433F" w:rsidRPr="00CC5864" w14:paraId="45BFF44F" w14:textId="77777777" w:rsidTr="00746985">
        <w:tc>
          <w:tcPr>
            <w:tcW w:w="1803" w:type="dxa"/>
            <w:tcBorders>
              <w:top w:val="single" w:sz="4" w:space="0" w:color="auto"/>
            </w:tcBorders>
          </w:tcPr>
          <w:p w14:paraId="42B89538" w14:textId="77777777" w:rsidR="009D24AA" w:rsidRPr="00CC5864" w:rsidRDefault="009D24AA" w:rsidP="00CC5864">
            <w:pPr>
              <w:spacing w:after="0" w:line="240" w:lineRule="auto"/>
              <w:jc w:val="both"/>
              <w:rPr>
                <w:sz w:val="24"/>
                <w:szCs w:val="24"/>
              </w:rPr>
            </w:pPr>
            <w:r w:rsidRPr="00CC5864">
              <w:rPr>
                <w:sz w:val="24"/>
                <w:szCs w:val="24"/>
              </w:rPr>
              <w:t>Anggaran</w:t>
            </w:r>
          </w:p>
        </w:tc>
        <w:tc>
          <w:tcPr>
            <w:tcW w:w="1803" w:type="dxa"/>
            <w:tcBorders>
              <w:top w:val="single" w:sz="4" w:space="0" w:color="auto"/>
            </w:tcBorders>
            <w:vAlign w:val="center"/>
          </w:tcPr>
          <w:p w14:paraId="3E414E2D" w14:textId="77777777" w:rsidR="009D24AA" w:rsidRPr="00CC5864" w:rsidRDefault="009D24AA" w:rsidP="00CC5864">
            <w:pPr>
              <w:spacing w:after="0" w:line="240" w:lineRule="auto"/>
              <w:jc w:val="both"/>
              <w:rPr>
                <w:sz w:val="24"/>
                <w:szCs w:val="24"/>
              </w:rPr>
            </w:pPr>
            <w:r w:rsidRPr="00CC5864">
              <w:rPr>
                <w:sz w:val="24"/>
                <w:szCs w:val="24"/>
              </w:rPr>
              <w:t>86.987.182.392</w:t>
            </w:r>
          </w:p>
        </w:tc>
        <w:tc>
          <w:tcPr>
            <w:tcW w:w="1803" w:type="dxa"/>
            <w:tcBorders>
              <w:top w:val="single" w:sz="4" w:space="0" w:color="auto"/>
            </w:tcBorders>
            <w:vAlign w:val="center"/>
          </w:tcPr>
          <w:p w14:paraId="6A60DD1A" w14:textId="77777777" w:rsidR="009D24AA" w:rsidRPr="00CC5864" w:rsidRDefault="009D24AA" w:rsidP="00CC5864">
            <w:pPr>
              <w:spacing w:after="0" w:line="240" w:lineRule="auto"/>
              <w:jc w:val="both"/>
              <w:rPr>
                <w:sz w:val="24"/>
                <w:szCs w:val="24"/>
              </w:rPr>
            </w:pPr>
            <w:r w:rsidRPr="00CC5864">
              <w:rPr>
                <w:sz w:val="24"/>
                <w:szCs w:val="24"/>
              </w:rPr>
              <w:t>100.150.000.000</w:t>
            </w:r>
          </w:p>
        </w:tc>
        <w:tc>
          <w:tcPr>
            <w:tcW w:w="1803" w:type="dxa"/>
            <w:tcBorders>
              <w:top w:val="single" w:sz="4" w:space="0" w:color="auto"/>
            </w:tcBorders>
          </w:tcPr>
          <w:p w14:paraId="210F1699" w14:textId="77777777" w:rsidR="009D24AA" w:rsidRPr="00CC5864" w:rsidRDefault="009D24AA" w:rsidP="00CC5864">
            <w:pPr>
              <w:spacing w:after="0" w:line="240" w:lineRule="auto"/>
              <w:jc w:val="both"/>
              <w:rPr>
                <w:sz w:val="24"/>
                <w:szCs w:val="24"/>
              </w:rPr>
            </w:pPr>
            <w:r w:rsidRPr="00CC5864">
              <w:rPr>
                <w:sz w:val="24"/>
                <w:szCs w:val="24"/>
              </w:rPr>
              <w:t>121.350.000.000</w:t>
            </w:r>
          </w:p>
        </w:tc>
        <w:tc>
          <w:tcPr>
            <w:tcW w:w="1804" w:type="dxa"/>
            <w:tcBorders>
              <w:top w:val="single" w:sz="4" w:space="0" w:color="auto"/>
            </w:tcBorders>
          </w:tcPr>
          <w:p w14:paraId="5AE2B17D" w14:textId="77777777" w:rsidR="009D24AA" w:rsidRPr="00CC5864" w:rsidRDefault="009D24AA" w:rsidP="00CC5864">
            <w:pPr>
              <w:spacing w:after="0" w:line="240" w:lineRule="auto"/>
              <w:jc w:val="both"/>
              <w:rPr>
                <w:sz w:val="24"/>
                <w:szCs w:val="24"/>
              </w:rPr>
            </w:pPr>
            <w:r w:rsidRPr="00CC5864">
              <w:rPr>
                <w:sz w:val="24"/>
                <w:szCs w:val="24"/>
              </w:rPr>
              <w:t>135.650.000.000</w:t>
            </w:r>
          </w:p>
        </w:tc>
      </w:tr>
      <w:tr w:rsidR="00FD433F" w:rsidRPr="00CC5864" w14:paraId="53C5A633" w14:textId="77777777" w:rsidTr="00746985">
        <w:trPr>
          <w:trHeight w:val="337"/>
        </w:trPr>
        <w:tc>
          <w:tcPr>
            <w:tcW w:w="1803" w:type="dxa"/>
            <w:tcBorders>
              <w:bottom w:val="single" w:sz="4" w:space="0" w:color="auto"/>
            </w:tcBorders>
          </w:tcPr>
          <w:p w14:paraId="700C43C0" w14:textId="77777777" w:rsidR="009D24AA" w:rsidRPr="00CC5864" w:rsidRDefault="009D24AA" w:rsidP="00CC5864">
            <w:pPr>
              <w:spacing w:after="0" w:line="240" w:lineRule="auto"/>
              <w:jc w:val="both"/>
              <w:rPr>
                <w:sz w:val="24"/>
                <w:szCs w:val="24"/>
              </w:rPr>
            </w:pPr>
            <w:r w:rsidRPr="00CC5864">
              <w:rPr>
                <w:sz w:val="24"/>
                <w:szCs w:val="24"/>
              </w:rPr>
              <w:t>Realisasi</w:t>
            </w:r>
          </w:p>
        </w:tc>
        <w:tc>
          <w:tcPr>
            <w:tcW w:w="1803" w:type="dxa"/>
            <w:tcBorders>
              <w:bottom w:val="single" w:sz="4" w:space="0" w:color="auto"/>
            </w:tcBorders>
            <w:vAlign w:val="center"/>
          </w:tcPr>
          <w:p w14:paraId="219020C7" w14:textId="77777777" w:rsidR="009D24AA" w:rsidRPr="00CC5864" w:rsidRDefault="009D24AA" w:rsidP="00CC5864">
            <w:pPr>
              <w:spacing w:after="0" w:line="240" w:lineRule="auto"/>
              <w:jc w:val="both"/>
              <w:rPr>
                <w:sz w:val="24"/>
                <w:szCs w:val="24"/>
              </w:rPr>
            </w:pPr>
            <w:r w:rsidRPr="00CC5864">
              <w:rPr>
                <w:sz w:val="24"/>
                <w:szCs w:val="24"/>
              </w:rPr>
              <w:t>82.890.464.354</w:t>
            </w:r>
          </w:p>
        </w:tc>
        <w:tc>
          <w:tcPr>
            <w:tcW w:w="1803" w:type="dxa"/>
            <w:tcBorders>
              <w:bottom w:val="single" w:sz="4" w:space="0" w:color="auto"/>
            </w:tcBorders>
            <w:vAlign w:val="center"/>
          </w:tcPr>
          <w:p w14:paraId="314627DE" w14:textId="77777777" w:rsidR="009D24AA" w:rsidRPr="00CC5864" w:rsidRDefault="009D24AA" w:rsidP="00CC5864">
            <w:pPr>
              <w:spacing w:after="0" w:line="240" w:lineRule="auto"/>
              <w:jc w:val="both"/>
              <w:rPr>
                <w:sz w:val="24"/>
                <w:szCs w:val="24"/>
              </w:rPr>
            </w:pPr>
            <w:r w:rsidRPr="00CC5864">
              <w:rPr>
                <w:sz w:val="24"/>
                <w:szCs w:val="24"/>
              </w:rPr>
              <w:t>981.730.000.000</w:t>
            </w:r>
          </w:p>
        </w:tc>
        <w:tc>
          <w:tcPr>
            <w:tcW w:w="1803" w:type="dxa"/>
            <w:tcBorders>
              <w:bottom w:val="single" w:sz="4" w:space="0" w:color="auto"/>
            </w:tcBorders>
          </w:tcPr>
          <w:p w14:paraId="6B74449D" w14:textId="77777777" w:rsidR="009D24AA" w:rsidRPr="00CC5864" w:rsidRDefault="009D24AA" w:rsidP="00CC5864">
            <w:pPr>
              <w:spacing w:after="0" w:line="240" w:lineRule="auto"/>
              <w:jc w:val="both"/>
              <w:rPr>
                <w:sz w:val="24"/>
                <w:szCs w:val="24"/>
              </w:rPr>
            </w:pPr>
            <w:r w:rsidRPr="00CC5864">
              <w:rPr>
                <w:sz w:val="24"/>
                <w:szCs w:val="24"/>
              </w:rPr>
              <w:t>117.480.000.000</w:t>
            </w:r>
          </w:p>
        </w:tc>
        <w:tc>
          <w:tcPr>
            <w:tcW w:w="1804" w:type="dxa"/>
            <w:tcBorders>
              <w:bottom w:val="single" w:sz="4" w:space="0" w:color="auto"/>
            </w:tcBorders>
          </w:tcPr>
          <w:p w14:paraId="66793A7C" w14:textId="77777777" w:rsidR="009D24AA" w:rsidRPr="00CC5864" w:rsidRDefault="009D24AA" w:rsidP="00CC5864">
            <w:pPr>
              <w:spacing w:after="0" w:line="240" w:lineRule="auto"/>
              <w:jc w:val="both"/>
              <w:rPr>
                <w:sz w:val="24"/>
                <w:szCs w:val="24"/>
              </w:rPr>
            </w:pPr>
            <w:r w:rsidRPr="00CC5864">
              <w:rPr>
                <w:sz w:val="24"/>
                <w:szCs w:val="24"/>
              </w:rPr>
              <w:t>132.850.000.000</w:t>
            </w:r>
          </w:p>
        </w:tc>
      </w:tr>
    </w:tbl>
    <w:p w14:paraId="6085D5BB" w14:textId="77777777" w:rsidR="009D24AA" w:rsidRPr="00CC5864" w:rsidRDefault="009D24AA" w:rsidP="00CC5864">
      <w:pPr>
        <w:spacing w:after="0" w:line="240" w:lineRule="auto"/>
        <w:jc w:val="both"/>
        <w:rPr>
          <w:rFonts w:ascii="Times New Roman" w:hAnsi="Times New Roman" w:cs="Times New Roman"/>
          <w:sz w:val="24"/>
          <w:szCs w:val="24"/>
        </w:rPr>
      </w:pPr>
      <w:r w:rsidRPr="00CC5864">
        <w:rPr>
          <w:rFonts w:ascii="Times New Roman" w:hAnsi="Times New Roman" w:cs="Times New Roman"/>
          <w:sz w:val="24"/>
          <w:szCs w:val="24"/>
        </w:rPr>
        <w:t>Sumber : Bappeda Kota Cilegon, 2021</w:t>
      </w:r>
    </w:p>
    <w:p w14:paraId="7DD5B0AD" w14:textId="77777777" w:rsidR="009D24AA" w:rsidRPr="00CC5864" w:rsidRDefault="009D24AA" w:rsidP="00CC5864">
      <w:pPr>
        <w:spacing w:after="0" w:line="360" w:lineRule="auto"/>
        <w:jc w:val="both"/>
        <w:rPr>
          <w:rFonts w:ascii="Times New Roman" w:hAnsi="Times New Roman" w:cs="Times New Roman"/>
          <w:sz w:val="24"/>
          <w:szCs w:val="24"/>
        </w:rPr>
      </w:pPr>
    </w:p>
    <w:p w14:paraId="79A67378" w14:textId="77777777"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Berdasarkan tabel 1 dapat dilihat bahwa anggaran DPWK setiap tahunnya mengalami peningkatan, hal tersebut dikarenakan meningkatnya APBD Kota Cilegon setiap tahunnya sehingga alokasi DPWK juga menjadi meningkat. Sedangkan untuk pembangunan infrasruktur wilayah, anggaran diambil dari 30 persen anggaran DPWK, realisasi anggarannya pada 2019 mencapai 98,69 persen atau sebesar Rp26.667.690.286 dari total anggaran Rp27.023.022.000,- dan mencapai target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{"citationItems":[{"id":"ITEM-1","itemData":{"author":[{"dropping-particle":"","family":"Raudoh","given":"Nurul","non-dropping-particle":"","parse-names":false,"suffix":""}],"container-title":"Metro Cilegon","id":"ITEM-1","issued":{"date-parts":[["2020","1"]]},"publisher-place":"Cilegon","title":"Anggaran DPW Kelurahan naik 100 Milyar lebih","type":"article-newspaper"},"uris":["http://www.mendeley.com/documents/?uuid=ecdb4940-9394-4422-8eea-7b793b1ed68a"]}],"mendeley":{"formattedCitation":"(Raudoh 2020)","plainTextFormattedCitation":"(Raudoh 2020)","previouslyFormattedCitation":"(Raudoh 2020)"},"properties":{"noteIndex":0},"schema":"https://github.com/citation-style-language/schema/raw/master/csl-citation.json"}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(Raudoh 2020)</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w:t>
      </w:r>
    </w:p>
    <w:p w14:paraId="10AD16EC" w14:textId="45B082BE" w:rsidR="009D24AA" w:rsidRPr="00CC5864" w:rsidRDefault="009D24AA" w:rsidP="00CC5864">
      <w:pPr>
        <w:spacing w:after="0" w:line="360" w:lineRule="auto"/>
        <w:jc w:val="both"/>
        <w:rPr>
          <w:rFonts w:ascii="Times New Roman" w:hAnsi="Times New Roman" w:cs="Times New Roman"/>
          <w:sz w:val="24"/>
          <w:szCs w:val="24"/>
          <w:lang w:val="en-US"/>
        </w:rPr>
      </w:pPr>
      <w:r w:rsidRPr="00CC5864">
        <w:rPr>
          <w:rFonts w:ascii="Times New Roman" w:hAnsi="Times New Roman" w:cs="Times New Roman"/>
          <w:sz w:val="24"/>
          <w:szCs w:val="24"/>
        </w:rPr>
        <w:t>Berdasarkan hasil penelitian yang telah diuraikan di atas, maka dapat disimpulkan bahwa program DPWK  di Kota Cilegon sudah melibatkan potensi sumber daya manusia sesuai dengan kemampuan yang dimiliki sehingga dapat disimpulkan bahwa aspek sumber daya sudah memenuhi aspek kapasitas inovasi</w:t>
      </w:r>
      <w:r w:rsidRPr="00CC5864">
        <w:rPr>
          <w:rFonts w:ascii="Times New Roman" w:hAnsi="Times New Roman" w:cs="Times New Roman"/>
          <w:sz w:val="24"/>
          <w:szCs w:val="24"/>
          <w:lang w:val="en-US"/>
        </w:rPr>
        <w:t>.</w:t>
      </w:r>
    </w:p>
    <w:p w14:paraId="27C60981" w14:textId="77777777" w:rsidR="00CC5864" w:rsidRPr="00CC5864" w:rsidRDefault="00CC5864" w:rsidP="00CC5864">
      <w:pPr>
        <w:spacing w:after="0" w:line="360" w:lineRule="auto"/>
        <w:jc w:val="both"/>
        <w:rPr>
          <w:rFonts w:ascii="Times New Roman" w:hAnsi="Times New Roman" w:cs="Times New Roman"/>
          <w:sz w:val="24"/>
          <w:szCs w:val="24"/>
          <w:lang w:val="en-US"/>
        </w:rPr>
      </w:pPr>
    </w:p>
    <w:p w14:paraId="3B4634A1" w14:textId="77777777" w:rsidR="009D24AA" w:rsidRPr="00CC5864" w:rsidRDefault="009D24AA"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rPr>
        <w:t>Kompetensi dan Pengetahuan</w:t>
      </w:r>
    </w:p>
    <w:p w14:paraId="4BAFE8C1" w14:textId="3680FEBE" w:rsidR="00CC5864" w:rsidRPr="00CC5864" w:rsidRDefault="009D24AA" w:rsidP="00CC5864">
      <w:pPr>
        <w:spacing w:after="0" w:line="360" w:lineRule="auto"/>
        <w:ind w:firstLine="720"/>
        <w:jc w:val="both"/>
        <w:rPr>
          <w:rFonts w:ascii="Times New Roman" w:hAnsi="Times New Roman" w:cs="Times New Roman"/>
          <w:sz w:val="24"/>
          <w:szCs w:val="24"/>
          <w:lang w:val="en-US"/>
        </w:rPr>
      </w:pPr>
      <w:r w:rsidRPr="00CC5864">
        <w:rPr>
          <w:rFonts w:ascii="Times New Roman" w:hAnsi="Times New Roman" w:cs="Times New Roman"/>
          <w:sz w:val="24"/>
          <w:szCs w:val="24"/>
        </w:rPr>
        <w:t>Program DPWK merupakan kebijakan yang bersifat bottom up, hal tersebut dikarenakan aktor yang melakukan inisiasi dan berperan langsung dalam kegiatan pembangunan adalah masyarakat di tingkat kelurahan, meskipun demikian berdasarkan hasil penelitian kapasitas program masih terbatas pada pembangunan infrastruktur wilayah dan belum menyentuh aspek pemberdayaan masyarakat. Hasil penelitian menunjukkan bahwa keterbatasan sumber daya manusia dalam kompetensi dan pengetahuan terutama dalam melakukan perencanaan program-program non infrastruktur masih sangat lemah sehingga fokus perencanaan dan penggunaan DPWK masih terbatas pada pembangunan infrastruktur (Wawancara dengan Bapak Iyan, Ketua Pokmas)</w:t>
      </w:r>
      <w:r w:rsidR="00CC5864" w:rsidRPr="00CC5864">
        <w:rPr>
          <w:rFonts w:ascii="Times New Roman" w:hAnsi="Times New Roman" w:cs="Times New Roman"/>
          <w:sz w:val="24"/>
          <w:szCs w:val="24"/>
          <w:lang w:val="en-US"/>
        </w:rPr>
        <w:t>.</w:t>
      </w:r>
    </w:p>
    <w:p w14:paraId="0C318835" w14:textId="77777777" w:rsidR="00CC5864"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Pemberdayaan masyarakat sebagai salah satu bagian dari peningkatan masyarakat seharusnya menjadi preferensi program yang seharusnya menjadi prioritas. Berkaitan dengan permasalahan tersebut dan seperti dikemukakan oleh salah seorang anggota Pokmas (Eka), bahwa hambatan kompetensi dan pengetahuan masyarakat yang tergabung dalam Pokmas masih sangat terbatas sehingga memerlukan adanya bimbingan teknis dalam merumuskan dan melaksanakan program non infrastruktur.</w:t>
      </w:r>
    </w:p>
    <w:p w14:paraId="1C89EAA6" w14:textId="23ABADA6"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lastRenderedPageBreak/>
        <w:t xml:space="preserve">Berdasarkan hasil dokumentasi, Sekretaris Daerah (Sekda) Kota Cilegon Sari Suryati mengatakan, ke depan penggunaan DPWK tidak hanya untuk pembangunan sarana dan prasarana, tapi juga pemberdayaan masyarakat berupa upaya peningkatan kapasitas di bidang ekonomi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{"citationItems":[{"id":"ITEM-1","itemData":{"author":[{"dropping-particle":"","family":"Redaksi","given":"","non-dropping-particle":"","parse-names":false,"suffix":""}],"container-title":"Radar Banten Online","id":"ITEM-1","issued":{"date-parts":[["2019","9","11"]]},"publisher-place":"Cilegon","title":"Hingga Agustus, Realisasi DPWKel Kota Cilegon Baru 55,01 Persen","type":"article-newspaper"},"uris":["http://www.mendeley.com/documents/?uuid=2739a3ce-4cac-4266-9bdd-c3ab8ea5b1fc"]}],"mendeley":{"formattedCitation":"(Redaksi 2019)","plainTextFormattedCitation":"(Redaksi 2019)","previouslyFormattedCitation":"(Redaksi 2019)"},"properties":{"noteIndex":0},"schema":"https://github.com/citation-style-language/schema/raw/master/csl-citation.json"}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(Redaksi 2019)</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Dalam hal ini kolaborasi antara berbagai proses dengan mensinergikan berbagai perspektif pemangku kepentingan, lebih dekat dengan masyarakat, dan memperluas kerjasama dengan pihak lain untuk memenuhi kebutuhan sumber daya dan perekrutan SDM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{"citationItems":[{"id":"ITEM-1","itemData":{"DOI":"10.14710/humanika.v25i1.18482","ISSN":"1412-9418","abstract":"Tujuan penelitian ini adalah untuk mengidentifikasi isu-isu strategis dan prioritas serta menganalisis pengembangan model inovatif kebijakan Collaborative Governance dalam revitalisasi kawasan wisata cagar budaya Banten Lama. Metode penelitian yang digunakan adalah pendekatan kualitatif dengan teknik pengumpulan data melalui wawancara dan observasi serta penelusuran berbagai sumber dan literatur baik dari dokumen pemerintah maupun pemberitaan media massa cetak dan elektronik, jurnal dan buku-buku yang terkait dengan collaborative governance dan inovasi kebijakan.Sedangkan hasil dari penelitian ini adalah teridentifikasinya isu-isu prioritas dan strategis kebijakan revitaliasi kawasan wisata cagar budaya Banten Lama yaitu dimensi struktural birokrasi, sosialisasi revitalisasi dan relokasi pedagang kaki lima yang tergabung dalam paguyuban pedagang keraton surososwan Banten Lama. Pengembangan model inovasi collaborative governance dan tahap-tahap revitalisasi meliputi empat komponen yaitu kondisi awal yang terdiri dari identifikasi kondisi eksisting, sumberdaya, dasar pertimbangan dan ekonomi politik will; komponen kedua adalah komitmen yang meliputi proses dan hasil, kepercayaan, kesamaan pemahaman dan legitimasi internal/eksternal; komponen ketiga adalah desain kelembagaan yang terdiri dari struktur dan prosedur, kepemimpinan dan bentuk proses kerjasama; dan komponen keempat adalah kondisi akhir yang meliputi tindak lanjut dan keberlanjutan.Kata kunci : Collaborative Governance, Revitalisasi dan inovasi kebijakanAbstract The purpose of this study is to identify strategic issues and priorities and analyze the development of innovative models of Collaborative Governance policy in the revitalization of Banten Lama sanctuary. The research method used is a qualitative approach with data collection techniques through interviews and observations as well as the searching of various sources and literature both from government documents as well as news of print and electronic mass media, journals and books related to collaborative governance and policy innovation.While the results of this research is the identification of priority and strategic issues of policy revitaliasi Banten Lama cultural heritage tourism area that is the structural dimension of bureaucracy, socialization of revitalization and relocation of street vendors incorporated in the merchant palace traders surososwan Banten Lama. The development of innovative governance innovation model and revitaliz…","author":[{"dropping-particle":"","family":"Sururi","given":"Ahmad","non-dropping-particle":"","parse-names":false,"suffix":""}],"container-title":"Humanika","id":"ITEM-1","issue":"1","issued":{"date-parts":[["2018"]]},"page":"24-37","title":"Collaborative Governance Sebagai Inovasi Kebijakan Strategis (Studi Revitalisasi Kawasan Wisata Cagar Budaya Banten Lama)","type":"article-journal","volume":"25"},"uris":["http://www.mendeley.com/documents/?uuid=9523f2a5-78ae-43a1-a7fc-2d90cc1b9726"]}],"mendeley":{"formattedCitation":"(Sururi 2018)","plainTextFormattedCitation":"(Sururi 2018)","previouslyFormattedCitation":"(Sururi 2018)"},"properties":{"noteIndex":0},"schema":"https://github.com/citation-style-language/schema/raw/master/csl-citation.json"}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(Sururi 2018)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w:t>
      </w:r>
    </w:p>
    <w:p w14:paraId="309C0B5B" w14:textId="77777777" w:rsidR="009D24AA" w:rsidRPr="00CC5864" w:rsidRDefault="009D24AA" w:rsidP="00CC5864">
      <w:pPr>
        <w:spacing w:after="0" w:line="360" w:lineRule="auto"/>
        <w:jc w:val="both"/>
        <w:rPr>
          <w:rFonts w:ascii="Times New Roman" w:hAnsi="Times New Roman" w:cs="Times New Roman"/>
          <w:sz w:val="24"/>
          <w:szCs w:val="24"/>
        </w:rPr>
      </w:pPr>
      <w:r w:rsidRPr="00CC5864">
        <w:rPr>
          <w:rFonts w:ascii="Times New Roman" w:hAnsi="Times New Roman" w:cs="Times New Roman"/>
          <w:sz w:val="24"/>
          <w:szCs w:val="24"/>
        </w:rPr>
        <w:t>Tujuan dari kolaborasi seperti yang telah diuraikan di atas adalah peningkatan kompetensi dan pengetahuan anggota masyarakat selaku pelaksana program baik dalam proses perencanaan program maupun implementasi program di lapangan. Dengan demikian percepatan dan pemerataan pembangunan daerah Kota Cilegon tidak hanya terbatas pada peningkatan pembangunan fisik infrastruktur saja, akan tetapi juga peningkatan kapasitas masyarakat dalam berbagai aspek pembangunan.</w:t>
      </w:r>
    </w:p>
    <w:p w14:paraId="6D6C74B4" w14:textId="77777777" w:rsidR="009D24AA" w:rsidRPr="00CC5864" w:rsidRDefault="009D24AA" w:rsidP="00CC5864">
      <w:pPr>
        <w:spacing w:after="0" w:line="360" w:lineRule="auto"/>
        <w:jc w:val="both"/>
        <w:rPr>
          <w:rFonts w:ascii="Times New Roman" w:hAnsi="Times New Roman" w:cs="Times New Roman"/>
          <w:sz w:val="24"/>
          <w:szCs w:val="24"/>
        </w:rPr>
      </w:pPr>
    </w:p>
    <w:p w14:paraId="74C604A4" w14:textId="77777777" w:rsidR="009D24AA" w:rsidRPr="00CC5864" w:rsidRDefault="009D24AA"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rPr>
        <w:t>Modal Organisasi Sektor Publik</w:t>
      </w:r>
    </w:p>
    <w:p w14:paraId="64110371" w14:textId="29358608"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Partisipasi masyarakat </w:t>
      </w:r>
      <w:proofErr w:type="spellStart"/>
      <w:r w:rsidR="00CC5864" w:rsidRPr="00CC5864">
        <w:rPr>
          <w:rFonts w:ascii="Times New Roman" w:hAnsi="Times New Roman" w:cs="Times New Roman"/>
          <w:sz w:val="24"/>
          <w:szCs w:val="24"/>
          <w:lang w:val="en-US"/>
        </w:rPr>
        <w:t>merupakan</w:t>
      </w:r>
      <w:proofErr w:type="spellEnd"/>
      <w:r w:rsidR="00CC5864" w:rsidRPr="00CC5864">
        <w:rPr>
          <w:rFonts w:ascii="Times New Roman" w:hAnsi="Times New Roman" w:cs="Times New Roman"/>
          <w:sz w:val="24"/>
          <w:szCs w:val="24"/>
          <w:lang w:val="en-US"/>
        </w:rPr>
        <w:t xml:space="preserve"> </w:t>
      </w:r>
      <w:r w:rsidRPr="00CC5864">
        <w:rPr>
          <w:rFonts w:ascii="Times New Roman" w:hAnsi="Times New Roman" w:cs="Times New Roman"/>
          <w:sz w:val="24"/>
          <w:szCs w:val="24"/>
        </w:rPr>
        <w:t xml:space="preserve">salah satu faktor penting terwujudnya tujuan dan keberhasilan pelaksanaan program DPWK Kota Cilegon. Akan tetapi faktor lain yang tidak kalah penting diantaranya anggaran, manajemen organisasi, birokrasi dan teknologi. Faktor-faktor tersebut merupakan modal organisasi sektor publik dalam memfasilitasi program DPWK sebagai bagian dari political will Walikota Cilegon yang dimulai dari tahun 2017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{"citationItems":[{"id":"ITEM-1","itemData":{"author":[{"dropping-particle":"","family":"Temon","given":"","non-dropping-particle":"","parse-names":false,"suffix":""}],"container-title":"Fakta Banten","id":"ITEM-1","issued":{"date-parts":[["2017","2","6"]]},"publisher-place":"Cilegon","title":"Dana Pembangunan Kelurahan Kota Cilegon 2018 sebesar Rp. 82 Miliar","type":"article-newspaper"},"uris":["http://www.mendeley.com/documents/?uuid=1749c443-3273-4422-bbab-98b006dcba48"]}],"mendeley":{"formattedCitation":"(Temon 2017)","plainTextFormattedCitation":"(Temon 2017)","previouslyFormattedCitation":"(Temon 2017)"},"properties":{"noteIndex":0},"schema":"https://github.com/citation-style-language/schema/raw/master/csl-citation.json"}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(Temon 2017)</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bahwa DPWK merupakan program prioritas walikota terpilih dan dialokasikan untuk masing-masing kelurahan. </w:t>
      </w:r>
      <w:r w:rsidR="00CC5864" w:rsidRPr="00CC5864">
        <w:rPr>
          <w:rFonts w:ascii="Times New Roman" w:hAnsi="Times New Roman" w:cs="Times New Roman"/>
          <w:sz w:val="24"/>
          <w:szCs w:val="24"/>
          <w:lang w:val="en-US"/>
        </w:rPr>
        <w:t xml:space="preserve"> </w:t>
      </w:r>
      <w:r w:rsidRPr="00CC5864">
        <w:rPr>
          <w:rFonts w:ascii="Times New Roman" w:hAnsi="Times New Roman" w:cs="Times New Roman"/>
          <w:sz w:val="24"/>
          <w:szCs w:val="24"/>
        </w:rPr>
        <w:t xml:space="preserve">Inovasi melalui anggaran program yang dialokasikan dari APBD Kota Cilegon untuk keberhasilan pembangunan daerah menunjukkan kinerja modal organisasi sektor publik sudah berjalan dengan baik. Seperti ditegaskan oleh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{"citationItems":[{"id":"ITEM-1","itemData":{"author":[{"dropping-particle":"","family":"Ancok","given":"D.","non-dropping-particle":"","parse-names":false,"suffix":""}],"id":"ITEM-1","issued":{"date-parts":[["2002"]]},"publisher":"UII Pers","publisher-place":"Jogjakarta","title":"Outbound Management Training: Aplikasi Ilmu Perilaku dalam Pengembangan Sumber Daya Manusia","type":"book"},"uris":["http://www.mendeley.com/documents/?uuid=45ab83bc-12f0-47be-8864-c4f2b9fc23d0"]}],"mendeley":{"formattedCitation":"(Ancok 2002)","plainTextFormattedCitation":"(Ancok 2002)","previouslyFormattedCitation":"(Ancok 2002)"},"properties":{"noteIndex":0},"schema":"https://github.com/citation-style-language/schema/raw/master/csl-citation.json"}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(Ancok 2002)</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bahwa faktor organisasi yang inovatif merupakan modal organisasi yang penting demi keberlangsungan organisasi sektor publik.</w:t>
      </w:r>
    </w:p>
    <w:p w14:paraId="76CA40BB" w14:textId="77777777" w:rsidR="00CC5864" w:rsidRPr="00CC5864" w:rsidRDefault="00CC5864" w:rsidP="00CC5864">
      <w:pPr>
        <w:spacing w:after="0" w:line="360" w:lineRule="auto"/>
        <w:jc w:val="both"/>
        <w:rPr>
          <w:rFonts w:ascii="Times New Roman" w:hAnsi="Times New Roman" w:cs="Times New Roman"/>
          <w:sz w:val="24"/>
          <w:szCs w:val="24"/>
        </w:rPr>
      </w:pPr>
    </w:p>
    <w:p w14:paraId="68D57365" w14:textId="66007D6D" w:rsidR="009D24AA" w:rsidRPr="00CC5864" w:rsidRDefault="009D24AA"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rPr>
        <w:t xml:space="preserve">Kapabilitas </w:t>
      </w:r>
      <w:r w:rsidR="00CC5864" w:rsidRPr="00CC5864">
        <w:rPr>
          <w:rFonts w:ascii="Times New Roman" w:hAnsi="Times New Roman" w:cs="Times New Roman"/>
          <w:b/>
          <w:bCs/>
          <w:sz w:val="24"/>
          <w:szCs w:val="24"/>
          <w:lang w:val="en-US"/>
        </w:rPr>
        <w:t>M</w:t>
      </w:r>
      <w:r w:rsidRPr="00CC5864">
        <w:rPr>
          <w:rFonts w:ascii="Times New Roman" w:hAnsi="Times New Roman" w:cs="Times New Roman"/>
          <w:b/>
          <w:bCs/>
          <w:sz w:val="24"/>
          <w:szCs w:val="24"/>
        </w:rPr>
        <w:t>eliputi Aspek Jaringan, Relasi dan Kekuasaan.</w:t>
      </w:r>
    </w:p>
    <w:p w14:paraId="0320C1F6" w14:textId="77777777" w:rsidR="00CC5864"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Program DPWK di Kota Cilegon pada tahun 2018 telah berhasil melaksanakan pembangunan infrastruktur lokal di 43 kelurahan dengan total fasilitas terbangun yaitu TPT 8.819 Meter kubik, drainase 8.417 Meter kubik, pavling blok seluas 70.085 Meter persegi dengan melibatkan lebih dari 6 ribu dari kelompok masyarakat (POKMAS) dengan pemerintah Kota Cilegon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BantenNews.co.id","given":"","non-dropping-particle":"","parse-names":false,"suffix":""}],"container-title":"www.BantenNews.co.id","id":"ITEM-1","issued":{"date-parts":[["2018"]]},"title":"Pemkot Cilegon Klaim DPW-kel Berhasil Laksanakan Program Pembangunan","type":"webpage"},"uris":["http://www.mendeley.com/documents/?uuid=f101328c-80e9-4f57-9b0c-9221eac59efa","http://www.mendeley.com/documents/?uuid=3b5b77f6-2a98-4641-adcb-576975389598"]}],"mendeley":{"formattedCitation":"(BantenNews.co.id 2018)","plainTextFormattedCitation":"(BantenNews.co.id 2018)","previouslyFormattedCitation":"(BantenNews.co.id 2018)"},"properties":{"noteIndex":0},"schema":"https://github.com/citation-style-language/schema/raw/master/csl-citation.json"}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(BantenNews.co.id 2018)</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Hasil penelitian menunjukkan jaringan kerjasama </w:t>
      </w:r>
      <w:r w:rsidRPr="00CC5864">
        <w:rPr>
          <w:rFonts w:ascii="Times New Roman" w:hAnsi="Times New Roman" w:cs="Times New Roman"/>
          <w:sz w:val="24"/>
          <w:szCs w:val="24"/>
        </w:rPr>
        <w:lastRenderedPageBreak/>
        <w:t>antar stakeholder sudah berjalan efektif melalui komunikasi intensif dan koordinasi yang dilakukan terus-menerus.</w:t>
      </w:r>
    </w:p>
    <w:p w14:paraId="4EFB4106" w14:textId="5A301EF7"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Hal tersebut menunjukkan bahwa kapabilitas program DPWK yang terwujud dalam aktor kebijakan, program dan kebutuhan pembangunan daerah sudah berjalan secara optimal. Perencanaan kegiatan Dana Pembangunan Wilayah Kelurahan (DPWKel) dilakukan melalui Musrenbangkel yaitu forum musyawarah perencanaan pembangunan tahunan di tingkat kelurahan yang dilaksanakan antar pemangku kepentingan pembangunan untuk menyepakati rencana kegiatan tahun anggaran berikutnya, yang dilaksanakan secara demokratis berbasis masyarakat kelurahan yang tercantum dalam Rencana Pembangunan Kelurahan (RPTKel) adalah usulan pembangunan hasil Musrenbangkel.</w:t>
      </w:r>
    </w:p>
    <w:p w14:paraId="7BF38FEC" w14:textId="77777777" w:rsidR="00CC5864" w:rsidRPr="00CC5864" w:rsidRDefault="00CC5864" w:rsidP="00CC5864">
      <w:pPr>
        <w:spacing w:after="0" w:line="360" w:lineRule="auto"/>
        <w:jc w:val="both"/>
        <w:rPr>
          <w:rFonts w:ascii="Times New Roman" w:hAnsi="Times New Roman" w:cs="Times New Roman"/>
          <w:sz w:val="24"/>
          <w:szCs w:val="24"/>
        </w:rPr>
      </w:pPr>
    </w:p>
    <w:p w14:paraId="38FEE212" w14:textId="1ABDBC75" w:rsidR="009D24AA" w:rsidRPr="00CC5864" w:rsidRDefault="009D24AA"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rPr>
        <w:t>Relations dan Regimes (Hubungan dan Rejim yang berkuasa)</w:t>
      </w:r>
    </w:p>
    <w:p w14:paraId="20375605" w14:textId="7B4DF0BA" w:rsidR="00FD433F"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Seperti telah dijelaskan pada paparan sebelumnya, bahwa program DPWK diluncurkan pertama kali pada tahun 2017 sebagai program prioritas walikota terpilih sebelumnya yaitu Iman Aryadi. Berdasarkan fakta penelitian bahwa program tersebut direncanakan selama dua tahun yaitu tahun 2015 dan tahun 2016. Pelaksanaan program Dana Pembangunan Wilayah Kelurahan ini sudah berjalan selama 3 tahun yaitu tahun 2017, tahun 2018 dan tahun 2019 (Wawancara dengan Hendra, Kasubid Bidang Perencanaan Pembangunan, 23 Januari 2020).</w:t>
      </w:r>
      <w:r w:rsidR="00CC5864" w:rsidRPr="00CC5864">
        <w:rPr>
          <w:rFonts w:ascii="Times New Roman" w:hAnsi="Times New Roman" w:cs="Times New Roman"/>
          <w:sz w:val="24"/>
          <w:szCs w:val="24"/>
          <w:lang w:val="en-US"/>
        </w:rPr>
        <w:t xml:space="preserve"> </w:t>
      </w:r>
      <w:r w:rsidRPr="00CC5864">
        <w:rPr>
          <w:rFonts w:ascii="Times New Roman" w:hAnsi="Times New Roman" w:cs="Times New Roman"/>
          <w:sz w:val="24"/>
          <w:szCs w:val="24"/>
        </w:rPr>
        <w:t>Meskipun demikian, terdapat temuan penelitian bahwa relasi yang terwujud dari kemampuan kolaboratif antara dinas pelaksana teknis dengan masyarakat masih belum optimal dan menemui berbagai hambatan seperti adanya ketidaksesuaian antara perencanaan yang disusun oleh kelompok masyarakat selaku pelaksana program dengan dinas perencana program sehingga implementasi program menjadi terhambat. Faktor penyebab permasalahan tersebut adalah belum optimalnya komunikasi organisasi dalam menciptakan kolaborasi antara pelaksana teknis.  Bahwa komunikasi lebih dari sekedar alat, ia adalah cara berpikir. Tujuan komunikasi dalam proses organisasi tidak lain dalam rangka</w:t>
      </w:r>
      <w:r w:rsidRPr="00CC5864">
        <w:rPr>
          <w:rFonts w:ascii="Times New Roman" w:hAnsi="Times New Roman" w:cs="Times New Roman"/>
          <w:sz w:val="24"/>
          <w:szCs w:val="24"/>
          <w:lang w:val="en-US"/>
        </w:rPr>
        <w:t xml:space="preserve"> </w:t>
      </w:r>
      <w:r w:rsidRPr="00CC5864">
        <w:rPr>
          <w:rFonts w:ascii="Times New Roman" w:hAnsi="Times New Roman" w:cs="Times New Roman"/>
          <w:sz w:val="24"/>
          <w:szCs w:val="24"/>
        </w:rPr>
        <w:t xml:space="preserve">membentuk saling pengertian (mutual understanding). Pendek kata agar terjadi penyetaraan dalam kerangka referensi (frame of references) maupun bidang pengalaman (field of experiences). </w:t>
      </w: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ADDIN CSL_CITATION {"citationItems":[{"id":"ITEM-1","itemData":{"author":[{"dropping-particle":"","family":"Pace, Wayne","given":"R","non-dropping-particle":"","parse-names":false,"suffix":""},{"dropping-particle":"","family":"Faules, Don","given":"F.","non-dropping-particle":"","parse-names":false,"suffix":""}],"id":"ITEM-1","issued":{"date-parts":[["2001"]]},"publisher":"Rosdakarya","publisher-place":"Bandung","title":"Komunikasi Organisasi Strategi Meningkatkan Kinerja Perusahaan,","type":"book"},"uris":["http://www.mendeley.com/documents/?uuid=9d7aac9d-18fe-4f76-9b6f-e80b3653b3fa"]}],"mendeley":{"formattedCitation":"(Pace, Wayne dan Faules, Don 2001)","plainTextFormattedCitation":"(Pace, Wayne dan Faules, Don 2001)","previouslyFormattedCitation":"(Pace, Wayne dan Faules, Don 2001)"},"properties":{"noteIndex":0},"schema":"https://github.com/citation-style-language/schema/raw/master/csl-citation.json"}</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(Pace, Wayne dan Faules, Don 2001)</w:t>
      </w:r>
      <w:r w:rsidRPr="00CC5864">
        <w:rPr>
          <w:rFonts w:ascii="Times New Roman" w:hAnsi="Times New Roman" w:cs="Times New Roman"/>
          <w:sz w:val="24"/>
          <w:szCs w:val="24"/>
        </w:rPr>
        <w:fldChar w:fldCharType="end"/>
      </w:r>
      <w:r w:rsidRPr="00CC5864">
        <w:rPr>
          <w:rFonts w:ascii="Times New Roman" w:hAnsi="Times New Roman" w:cs="Times New Roman"/>
          <w:sz w:val="24"/>
          <w:szCs w:val="24"/>
        </w:rPr>
        <w:t xml:space="preserve">.  Selain itu mendorong sosialisasi program terhadap masyarakat perlu dilakukan secara intensif agar pemahaman program DPWK lebih optimal dan meningkat. </w:t>
      </w:r>
    </w:p>
    <w:p w14:paraId="74201504" w14:textId="77777777" w:rsidR="00CC5864" w:rsidRPr="00CC5864" w:rsidRDefault="00CC5864" w:rsidP="00CC5864">
      <w:pPr>
        <w:spacing w:after="0" w:line="360" w:lineRule="auto"/>
        <w:jc w:val="both"/>
        <w:rPr>
          <w:rFonts w:ascii="Times New Roman" w:hAnsi="Times New Roman" w:cs="Times New Roman"/>
          <w:sz w:val="24"/>
          <w:szCs w:val="24"/>
        </w:rPr>
      </w:pPr>
    </w:p>
    <w:p w14:paraId="56DF810D" w14:textId="7AE89780" w:rsidR="009D24AA" w:rsidRPr="00CC5864" w:rsidRDefault="00CC5864"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lang w:val="en-US"/>
        </w:rPr>
        <w:t>KE</w:t>
      </w:r>
      <w:r w:rsidR="009D24AA" w:rsidRPr="00CC5864">
        <w:rPr>
          <w:rFonts w:ascii="Times New Roman" w:hAnsi="Times New Roman" w:cs="Times New Roman"/>
          <w:b/>
          <w:bCs/>
          <w:sz w:val="24"/>
          <w:szCs w:val="24"/>
        </w:rPr>
        <w:t>SIMPULAN</w:t>
      </w:r>
      <w:bookmarkStart w:id="2" w:name="_Hlk138960501"/>
      <w:bookmarkStart w:id="3" w:name="_Hlk138960560"/>
    </w:p>
    <w:p w14:paraId="5766B626" w14:textId="77777777" w:rsidR="009D24AA" w:rsidRPr="00CC5864" w:rsidRDefault="009D24AA" w:rsidP="00CC5864">
      <w:pPr>
        <w:spacing w:after="0" w:line="360" w:lineRule="auto"/>
        <w:ind w:firstLine="720"/>
        <w:jc w:val="both"/>
        <w:rPr>
          <w:rFonts w:ascii="Times New Roman" w:hAnsi="Times New Roman" w:cs="Times New Roman"/>
          <w:sz w:val="24"/>
          <w:szCs w:val="24"/>
        </w:rPr>
      </w:pPr>
      <w:r w:rsidRPr="00CC5864">
        <w:rPr>
          <w:rFonts w:ascii="Times New Roman" w:hAnsi="Times New Roman" w:cs="Times New Roman"/>
          <w:sz w:val="24"/>
          <w:szCs w:val="24"/>
        </w:rPr>
        <w:t xml:space="preserve">Program DPWK dalam mendukung percepatan dan pemerataan pembangunan daerah di Kota Cilegon sudah berjalan sesuai dengan kapasitas inovasi yang meliputi hak dan </w:t>
      </w:r>
      <w:r w:rsidRPr="00CC5864">
        <w:rPr>
          <w:rFonts w:ascii="Times New Roman" w:hAnsi="Times New Roman" w:cs="Times New Roman"/>
          <w:sz w:val="24"/>
          <w:szCs w:val="24"/>
        </w:rPr>
        <w:lastRenderedPageBreak/>
        <w:t>wewenang, sumber daya, kompetensi dan modal organisasi sektor publik. Selain itu aspek jaringan, relasi dan kekuasaan sebagai bagian dari aspek kapabilitas sudah berjalan dengan baik.</w:t>
      </w:r>
      <w:bookmarkEnd w:id="2"/>
      <w:r w:rsidRPr="00CC5864">
        <w:rPr>
          <w:rFonts w:ascii="Times New Roman" w:hAnsi="Times New Roman" w:cs="Times New Roman"/>
          <w:sz w:val="24"/>
          <w:szCs w:val="24"/>
        </w:rPr>
        <w:t xml:space="preserve"> Meskipun demikian, dalam pelaksanaan program masih terdapat beberapa permasalahan seperti masih terbatasnya program-program pemberdayaan masyarakat dan hanya memprioritaskan pada program pembangunan infrastruktur wilayah serta masih rendahnya kemampuan kolaboratif pelaksana program. Oleh sebab itu mendorong kebijakan inovasi pemberdayaan masyarakat dapat menjadi salah satu opsi bagi Pemerintah Kota Cilegon dan meningkatkan komunikasi organisasi dalam menciptakan kolaborasi yang ideal diantara pelaksana program Dana Pembangunan Wilayah Kelurahan (DPWK) di Kota Cilegon</w:t>
      </w:r>
      <w:bookmarkEnd w:id="3"/>
      <w:r w:rsidRPr="00CC5864">
        <w:rPr>
          <w:rFonts w:ascii="Times New Roman" w:hAnsi="Times New Roman" w:cs="Times New Roman"/>
          <w:sz w:val="24"/>
          <w:szCs w:val="24"/>
        </w:rPr>
        <w:t xml:space="preserve">. Rekomendasi kebijakan dalam penelitian ini adalah mendorong pemerintah Kota Cilegon untuk lebih memberikan perhatian terhadap program-program pemberdayaan masyarakat, komunikasi intensif dengan pelaksana program Dana Pembangunan Wilayah Kelurahan (DPWK) di Kota Cilegon dalam menciptakan kolaborasi yang ideal dan memprioritaskan program pembangunan infrastruktur wilayah.  </w:t>
      </w:r>
    </w:p>
    <w:p w14:paraId="0762412F" w14:textId="77777777" w:rsidR="00FD433F" w:rsidRPr="00CC5864" w:rsidRDefault="00FD433F" w:rsidP="00CC5864">
      <w:pPr>
        <w:spacing w:after="0" w:line="360" w:lineRule="auto"/>
        <w:jc w:val="both"/>
        <w:rPr>
          <w:rFonts w:ascii="Times New Roman" w:hAnsi="Times New Roman" w:cs="Times New Roman"/>
          <w:sz w:val="24"/>
          <w:szCs w:val="24"/>
        </w:rPr>
      </w:pPr>
    </w:p>
    <w:p w14:paraId="74BC0F0A" w14:textId="77777777" w:rsidR="00FD433F" w:rsidRPr="00CC5864" w:rsidRDefault="00FD433F" w:rsidP="00CC5864">
      <w:pPr>
        <w:spacing w:after="0" w:line="360" w:lineRule="auto"/>
        <w:jc w:val="both"/>
        <w:rPr>
          <w:rFonts w:ascii="Times New Roman" w:hAnsi="Times New Roman" w:cs="Times New Roman"/>
          <w:b/>
          <w:bCs/>
          <w:sz w:val="24"/>
          <w:szCs w:val="24"/>
        </w:rPr>
      </w:pPr>
      <w:r w:rsidRPr="00CC5864">
        <w:rPr>
          <w:rFonts w:ascii="Times New Roman" w:hAnsi="Times New Roman" w:cs="Times New Roman"/>
          <w:b/>
          <w:bCs/>
          <w:sz w:val="24"/>
          <w:szCs w:val="24"/>
        </w:rPr>
        <w:t>DAFTAR PUSTAKA</w:t>
      </w:r>
    </w:p>
    <w:p w14:paraId="6D99DED4"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fldChar w:fldCharType="begin" w:fldLock="1"/>
      </w:r>
      <w:r w:rsidRPr="00CC5864">
        <w:rPr>
          <w:rFonts w:ascii="Times New Roman" w:hAnsi="Times New Roman" w:cs="Times New Roman"/>
          <w:sz w:val="24"/>
          <w:szCs w:val="24"/>
        </w:rPr>
        <w:instrText xml:space="preserve">ADDIN Mendeley Bibliography CSL_BIBLIOGRAPHY </w:instrText>
      </w:r>
      <w:r w:rsidRPr="00CC5864">
        <w:rPr>
          <w:rFonts w:ascii="Times New Roman" w:hAnsi="Times New Roman" w:cs="Times New Roman"/>
          <w:sz w:val="24"/>
          <w:szCs w:val="24"/>
        </w:rPr>
        <w:fldChar w:fldCharType="separate"/>
      </w:r>
      <w:r w:rsidRPr="00CC5864">
        <w:rPr>
          <w:rFonts w:ascii="Times New Roman" w:hAnsi="Times New Roman" w:cs="Times New Roman"/>
          <w:sz w:val="24"/>
          <w:szCs w:val="24"/>
        </w:rPr>
        <w:t>Aida, Ade Nurul, dan Ervita Luluk Zahara. 2018. “Dana Kelurahan dan Tantangannya.” Buletin APBN Pusat Kajian Anggaran Badan Keahlian DPR RI 3 (21).</w:t>
      </w:r>
    </w:p>
    <w:p w14:paraId="43065B7C"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Ancok, D. 2002. Outbound Management Training: Aplikasi Ilmu Perilaku dalam Pengembangan Sumber Daya Manusia. Jogjakarta: UII Pers. http://ancok.staff.ugm.ac.id/main/alive-3-faktor-organisasi-yang-inovatif-modal-organisasi/.</w:t>
      </w:r>
    </w:p>
    <w:p w14:paraId="65F0703F"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Anttiroiko, Ari Veikko. 2016. “City-as-a-Platform: The Rise of Participatory Innovation Platforms in Finnish Cities.” Sustainability 8 (9). https://doi.org/10.3390/su8090922.</w:t>
      </w:r>
    </w:p>
    <w:p w14:paraId="540F16AC"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BantenNews.co.id. 2018. “Pemkot Cilegon Klaim DPW-kel Berhasil Laksanakan Program Pembangunan.” www.BantenNews.co.id. 2018.</w:t>
      </w:r>
    </w:p>
    <w:p w14:paraId="61E5B300"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Batalli, Mirlinda. 2011. “Impact of Public Administration Innovations on Enhancing the Citizens’ Expectations.” International Journal of e-Education, e-Business, e-Management and e-Learning 1 (2). https://doi.org/10.7763/ijeeee.2011.v1.25.</w:t>
      </w:r>
    </w:p>
    <w:p w14:paraId="44110421"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Creswell, John W. 1994. Research Design: Qualitative and Quantitative Approaches. Thousand Oaks: SAGE Publications.</w:t>
      </w:r>
    </w:p>
    <w:p w14:paraId="5BD84CDD"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Gray, Virginia. 1973. “Innovation in the States: A Diffusion Study.” American Political Science Review 67 (4): 1174–85. https://doi.org/10.2307/1956539.</w:t>
      </w:r>
    </w:p>
    <w:p w14:paraId="1409A330"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lastRenderedPageBreak/>
        <w:t>Habiyaremye, Alexis, Glenda Kruss, dan Irma Booyens. 2020. “Innovation for inclusive rural transformation: the role of the state.” Innovation and Development 10 (2): 155–68. https://doi.org/10.1080/2157930X.2019.1596368.</w:t>
      </w:r>
    </w:p>
    <w:p w14:paraId="50C6274D"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Haning, Mohamad Thahir, dan Mashuri H Tahili. 2018. “Advances in Social Science, Education and Humanities Research, volume 191 Asian Association for Public Administration Annual Conference (AAPA 2018).” Advances in Social Science, Education and Humanities Research 191 (Aapa): 197–209.</w:t>
      </w:r>
    </w:p>
    <w:p w14:paraId="5CDE9E05"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Hartley, Jean. 2005. “Innovation in Governance and Public Services : Past and Present.” Public Money &amp; Management, no. February 2005. https://doi.org/10.1111/j.1467-9302.2005.00447.x.</w:t>
      </w:r>
    </w:p>
    <w:p w14:paraId="636118FB"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Macmillan, Rob, dan Angela Ellis Paine. 2014. “Building Capabilities in the Voluntary Sector : What the evidence tells us (Third Sector Research Center).”</w:t>
      </w:r>
    </w:p>
    <w:p w14:paraId="1F0835FE"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Mardikanto, Theresia A., Dkk. 2014. Pembangunan Berbasis Masyarakat. Alfabeta: Bandung. Bandung: Alfabeta.</w:t>
      </w:r>
    </w:p>
    <w:p w14:paraId="190C1ED4"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Miles, Matthew B., Michael A Huberman, dan Johnny Saldaña. 2014. “Qualitative Data Analysis, A Methods Sourcebook.” In Qualitative Data Analysis A Methods Sourcebook, 3 ed. Arizona State University: SAGE Publications Inc.</w:t>
      </w:r>
    </w:p>
    <w:p w14:paraId="01075E6C"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Mulgan, Geoff. 2014. “Report: Innovation in the Public Sector: How Can Public Organisations Better Create, Improve and Adapt?” Nesta 1 (November): 1–20. https://doi.org/10.2214/AJR.07.2082.</w:t>
      </w:r>
    </w:p>
    <w:p w14:paraId="12BDF994"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Muluk, M.R. Khairul. 2008. Knowledge Management (Kunci Sukses Inovasi Pemerintah Daerah). Malang: Banyumedia.</w:t>
      </w:r>
    </w:p>
    <w:p w14:paraId="1D1C59EB"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Myhren, Per, Lars Witell, Anders Gustafsson, dan Heiko Gebauer. 2018. “Incremental and radical open service innovation.” Journal of Services Marketing 32 (2): 101–12. https://doi.org/10.1108/JSM-04-2016-0161.</w:t>
      </w:r>
    </w:p>
    <w:p w14:paraId="63B23F5C"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Nurhidayatullah, Zahnudin, Dwi Prasetyo, Wisang Candra Bintari, Program Studi, Ilmu Administrasi, Negara Universitas, Muihammadiyah Sorong, et al. 2004. “Implementasi alokasi dana kelurahan dalam pemberdayaan masyarakat di kelurahan malawele kabupaten sorong,” 42–53.</w:t>
      </w:r>
    </w:p>
    <w:p w14:paraId="48358A58"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OECD. 2012. “Innovation for Development A Discussion of the Issues and an Overview of Work Of the OECD Directorate for Science, Technology and Industry.” https://doi.org/10.1080/1389224X.2011.536344.</w:t>
      </w:r>
    </w:p>
    <w:p w14:paraId="490932ED"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Pace, Wayne, R, dan F. Faules, Don. 2001. Komunikasi Organisasi Strategi Meningkatkan Kinerja Perusahaan,. Bandung: Rosdakarya.</w:t>
      </w:r>
    </w:p>
    <w:p w14:paraId="00F38997"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lastRenderedPageBreak/>
        <w:t>Paquet, Gilles. 2001. “Governance in the 21st Century, The New Governance, Subsidiarity and the Strategic State.”</w:t>
      </w:r>
    </w:p>
    <w:p w14:paraId="19F21104"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Pattyn, V, dan M Brans. 2015. “Organisational analytical capacity: Policy evaluation in Belgium.” Policy and Society 34: 183–96. https://www.sciencedirect.com/science/article/pii/S1449403515000351.</w:t>
      </w:r>
    </w:p>
    <w:p w14:paraId="768391E7"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Raudoh, Nurul. 2020. “Anggaran DPW Kelurahan naik 100 Milyar lebih.” Metro Cilegon, Januari 2020. http://bantenraya.com/berita/2020/01/09/12292/anggaran-dpwkel-naik-jadi-rp100-m-lebih.</w:t>
      </w:r>
    </w:p>
    <w:p w14:paraId="30815340"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Redaksi. 2016. “Pemkot Cilegon Luncurkan Program Dana Pembangunan Wilayah Kelurahan.” Banten Hits, 2016. https://bantenhits.com/2016/11/01/pemkot-cilegon-luncurkan-program-dana-pembangunan-wilayah-kelurahan/.</w:t>
      </w:r>
    </w:p>
    <w:p w14:paraId="6C6397F0"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 2019. “Hingga Agustus, Realisasi DPWKel Kota Cilegon Baru 55,01 Persen.” Radar Banten Online, 11 September 2019. https://www.radarbanten.co.id/hingga-agustus-realisasi-dpwkel-kota-cilegon-baru-5501-persen/.</w:t>
      </w:r>
    </w:p>
    <w:p w14:paraId="43C8BC49"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Shen, Wei, dan Yao Wang. 2019. “Adaptive policy innovations and the construction of emission trading schemes in China: Taking stock and looking forward.” Environmental Innovation and Societal Transitions 30 (August): 59–68. https://doi.org/10.1016/j.eist.2017.10.009.</w:t>
      </w:r>
    </w:p>
    <w:p w14:paraId="06EC1E28"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Surubaru, Neculai Cristian. 2017. “Administrative capacity or quality of political governance? EU Cohesion Policy in the new Europe, 2007–13.” Regional Studies 51 (6): 844–56. https://doi.org/10.1080/00343404.2016.1246798.</w:t>
      </w:r>
    </w:p>
    <w:p w14:paraId="2B4D8BA5"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Sururi, Ahmad. 2016. “Inovasi Kebijakan Publik (Tinjauan Konseptual dan Empiris).” Sawala Jurnal Administrasi Negara 4 (September-Desember 2016): 1–14.</w:t>
      </w:r>
    </w:p>
    <w:p w14:paraId="58F30BBC"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 2017. “Inovasi Kebijakan dalam Perspektif Administrasi Publik Menuju Terwujudnya Good Public Policy Governance.” Spirit Publik: Jurnal Administrasi Publik 12 (2): 14. https://doi.org/10.20961/sp.v12i2.16236.</w:t>
      </w:r>
    </w:p>
    <w:p w14:paraId="7F16207B"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 2018. “Collaborative Governance Sebagai Inovasi Kebijakan Strategis (Studi Revitalisasi Kawasan Wisata Cagar Budaya Banten Lama).” Humanika 25 (1): 24–37. https://doi.org/10.14710/humanika.v25i1.18482.</w:t>
      </w:r>
    </w:p>
    <w:p w14:paraId="0EE91230"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Temon. 2017. “Dana Pembangunan Kelurahan Kota Cilegon 2018 sebesar Rp. 82 Miliar.” Fakta Banten, 6 Februari 2017. https://faktabanten.co.id/blog/2017/02/06/dana-pembangunan-kelurahan-kota-cilegon-2018-sebesar-rp-82-miliar/.</w:t>
      </w:r>
    </w:p>
    <w:p w14:paraId="1E6B6686"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lastRenderedPageBreak/>
        <w:t>Tyran, Jean-Robert, dan Rupert Sausgruber. 2003. “The Diffusion of Policy Innovations: An Experimental Investigation.” Discussion Paper No. 2003-14. www.fgn.unisg.ch/public/public.htm.</w:t>
      </w:r>
    </w:p>
    <w:p w14:paraId="1948E72B"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UNDESA. 2006. Innovations in Governance and Public Administration: Replicating What Works. New York: United Nations Publication.</w:t>
      </w:r>
    </w:p>
    <w:p w14:paraId="1CD910D9"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Witell, Lars, Hannah Snyder, Anders Gustafsson, Paul Fombelle, dan Per Kristensson. 2016. “Defining service innovation: A review and synthesis.” Journal of Business Research 69 (8): 2863–72. https://doi.org/10.1016/j.jbusres.2015.12.055.</w:t>
      </w:r>
    </w:p>
    <w:p w14:paraId="4E681F76"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Yin, Robert K. 2014. Case Study Research : design and methods. Fifth Edit. Lon: SAGE Publications Inc.</w:t>
      </w:r>
    </w:p>
    <w:p w14:paraId="0B8BC86A" w14:textId="77777777"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t>Zhang, Dongyang. 2020. “Innovation dynamics -what are the housing market uncertainty’s impacts.” International Review of Economics &amp; Finance 70: 413–22. https://doi.org/https://doi.org/10.1016/j.iref.2020.08.015.</w:t>
      </w:r>
    </w:p>
    <w:p w14:paraId="006D1B46" w14:textId="0C94361F" w:rsidR="00FD433F" w:rsidRPr="00CC5864" w:rsidRDefault="00FD433F" w:rsidP="00CC5864">
      <w:pPr>
        <w:spacing w:after="0" w:line="360" w:lineRule="auto"/>
        <w:ind w:firstLine="709"/>
        <w:jc w:val="both"/>
        <w:rPr>
          <w:rFonts w:ascii="Times New Roman" w:hAnsi="Times New Roman" w:cs="Times New Roman"/>
          <w:sz w:val="24"/>
          <w:szCs w:val="24"/>
        </w:rPr>
      </w:pPr>
      <w:r w:rsidRPr="00CC5864">
        <w:rPr>
          <w:rFonts w:ascii="Times New Roman" w:hAnsi="Times New Roman" w:cs="Times New Roman"/>
          <w:sz w:val="24"/>
          <w:szCs w:val="24"/>
        </w:rPr>
        <w:fldChar w:fldCharType="end"/>
      </w:r>
    </w:p>
    <w:p w14:paraId="7CA16653" w14:textId="77777777" w:rsidR="009D24AA" w:rsidRPr="00CC5864" w:rsidRDefault="009D24AA" w:rsidP="00CC5864">
      <w:pPr>
        <w:spacing w:after="0" w:line="360" w:lineRule="auto"/>
        <w:jc w:val="both"/>
        <w:rPr>
          <w:rFonts w:ascii="Times New Roman" w:hAnsi="Times New Roman" w:cs="Times New Roman"/>
          <w:sz w:val="24"/>
          <w:szCs w:val="24"/>
        </w:rPr>
      </w:pPr>
    </w:p>
    <w:p w14:paraId="02E64787" w14:textId="77777777" w:rsidR="009D24AA" w:rsidRPr="00CC5864" w:rsidRDefault="009D24AA" w:rsidP="00CC5864">
      <w:pPr>
        <w:spacing w:after="0" w:line="360" w:lineRule="auto"/>
        <w:jc w:val="both"/>
        <w:rPr>
          <w:rFonts w:ascii="Times New Roman" w:hAnsi="Times New Roman" w:cs="Times New Roman"/>
          <w:sz w:val="24"/>
          <w:szCs w:val="24"/>
          <w:lang w:val="en-US"/>
        </w:rPr>
      </w:pPr>
    </w:p>
    <w:p w14:paraId="5E783C5C" w14:textId="77777777" w:rsidR="009D24AA" w:rsidRPr="00CC5864" w:rsidRDefault="009D24AA" w:rsidP="00CC5864">
      <w:pPr>
        <w:spacing w:after="0" w:line="360" w:lineRule="auto"/>
        <w:jc w:val="both"/>
        <w:rPr>
          <w:rFonts w:ascii="Times New Roman" w:hAnsi="Times New Roman" w:cs="Times New Roman"/>
          <w:sz w:val="24"/>
          <w:szCs w:val="24"/>
        </w:rPr>
      </w:pPr>
    </w:p>
    <w:p w14:paraId="50851E61" w14:textId="77777777" w:rsidR="009D24AA" w:rsidRPr="00CC5864" w:rsidRDefault="009D24AA" w:rsidP="00CC5864">
      <w:pPr>
        <w:spacing w:after="0" w:line="360" w:lineRule="auto"/>
        <w:jc w:val="both"/>
        <w:rPr>
          <w:rFonts w:ascii="Times New Roman" w:hAnsi="Times New Roman" w:cs="Times New Roman"/>
          <w:sz w:val="24"/>
          <w:szCs w:val="24"/>
        </w:rPr>
      </w:pPr>
    </w:p>
    <w:p w14:paraId="735B172A" w14:textId="77777777" w:rsidR="009D24AA" w:rsidRPr="00CC5864" w:rsidRDefault="009D24AA" w:rsidP="00CC5864">
      <w:pPr>
        <w:spacing w:after="0" w:line="360" w:lineRule="auto"/>
        <w:jc w:val="both"/>
        <w:rPr>
          <w:rFonts w:ascii="Times New Roman" w:hAnsi="Times New Roman" w:cs="Times New Roman"/>
          <w:sz w:val="24"/>
          <w:szCs w:val="24"/>
        </w:rPr>
      </w:pPr>
    </w:p>
    <w:p w14:paraId="0F80E208" w14:textId="77777777" w:rsidR="009D24AA" w:rsidRPr="00CC5864" w:rsidRDefault="009D24AA" w:rsidP="00CC5864">
      <w:pPr>
        <w:spacing w:after="0" w:line="360" w:lineRule="auto"/>
        <w:jc w:val="both"/>
        <w:rPr>
          <w:rFonts w:ascii="Times New Roman" w:hAnsi="Times New Roman" w:cs="Times New Roman"/>
          <w:sz w:val="24"/>
          <w:szCs w:val="24"/>
        </w:rPr>
      </w:pPr>
    </w:p>
    <w:p w14:paraId="7D7000DB" w14:textId="77777777" w:rsidR="00E14689" w:rsidRPr="00CC5864" w:rsidRDefault="00E14689" w:rsidP="00CC5864">
      <w:pPr>
        <w:keepNext/>
        <w:tabs>
          <w:tab w:val="left" w:pos="0"/>
        </w:tabs>
        <w:suppressAutoHyphens/>
        <w:autoSpaceDE w:val="0"/>
        <w:autoSpaceDN w:val="0"/>
        <w:adjustRightInd w:val="0"/>
        <w:spacing w:after="0" w:line="360" w:lineRule="auto"/>
        <w:textAlignment w:val="center"/>
        <w:outlineLvl w:val="0"/>
        <w:rPr>
          <w:rFonts w:ascii="Times New Roman" w:hAnsi="Times New Roman" w:cs="Times New Roman"/>
          <w:sz w:val="24"/>
          <w:szCs w:val="24"/>
        </w:rPr>
      </w:pPr>
    </w:p>
    <w:sectPr w:rsidR="00E14689" w:rsidRPr="00CC5864" w:rsidSect="00980FBC">
      <w:headerReference w:type="even" r:id="rId7"/>
      <w:type w:val="continuous"/>
      <w:pgSz w:w="11907" w:h="16840" w:code="9"/>
      <w:pgMar w:top="1418" w:right="1418" w:bottom="1418" w:left="1418" w:header="709" w:footer="709"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E6BF9" w14:textId="77777777" w:rsidR="00B7627D" w:rsidRDefault="00B7627D">
      <w:pPr>
        <w:spacing w:after="0" w:line="240" w:lineRule="auto"/>
      </w:pPr>
      <w:r>
        <w:separator/>
      </w:r>
    </w:p>
  </w:endnote>
  <w:endnote w:type="continuationSeparator" w:id="0">
    <w:p w14:paraId="7D74402C" w14:textId="77777777" w:rsidR="00B7627D" w:rsidRDefault="00B7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5E0D46" w14:textId="77777777" w:rsidR="00B7627D" w:rsidRDefault="00B7627D">
      <w:pPr>
        <w:spacing w:after="0" w:line="240" w:lineRule="auto"/>
      </w:pPr>
      <w:r>
        <w:separator/>
      </w:r>
    </w:p>
  </w:footnote>
  <w:footnote w:type="continuationSeparator" w:id="0">
    <w:p w14:paraId="17C53D15" w14:textId="77777777" w:rsidR="00B7627D" w:rsidRDefault="00B762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EEDBC" w14:textId="77777777" w:rsidR="006100EE" w:rsidRDefault="00474C9E">
    <w:pPr>
      <w:pStyle w:val="Header"/>
    </w:pPr>
    <w:r>
      <w:rPr>
        <w:noProof/>
        <w:lang w:val="en-US"/>
      </w:rPr>
      <mc:AlternateContent>
        <mc:Choice Requires="wps">
          <w:drawing>
            <wp:anchor distT="0" distB="0" distL="114300" distR="114300" simplePos="0" relativeHeight="251660288" behindDoc="0" locked="0" layoutInCell="1" allowOverlap="1" wp14:anchorId="2F56E341" wp14:editId="33590B15">
              <wp:simplePos x="0" y="0"/>
              <wp:positionH relativeFrom="column">
                <wp:posOffset>5080</wp:posOffset>
              </wp:positionH>
              <wp:positionV relativeFrom="paragraph">
                <wp:posOffset>140970</wp:posOffset>
              </wp:positionV>
              <wp:extent cx="5320665" cy="266700"/>
              <wp:effectExtent l="0" t="0" r="0" b="190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066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E1EA9F" w14:textId="77777777" w:rsidR="006100EE" w:rsidRPr="00CD46EE" w:rsidRDefault="00593994" w:rsidP="004E33C1">
                          <w:pPr>
                            <w:pStyle w:val="BasicParagraph"/>
                            <w:jc w:val="center"/>
                            <w:rPr>
                              <w:rFonts w:ascii="Times New Roman" w:hAnsi="Times New Roman" w:cs="Times New Roman"/>
                              <w:sz w:val="16"/>
                              <w:szCs w:val="16"/>
                              <w:lang w:val="id-ID"/>
                            </w:rPr>
                          </w:pPr>
                          <w:r>
                            <w:rPr>
                              <w:rFonts w:ascii="Times New Roman" w:hAnsi="Times New Roman" w:cs="Times New Roman"/>
                              <w:sz w:val="16"/>
                              <w:szCs w:val="16"/>
                              <w:lang w:val="id-ID"/>
                            </w:rPr>
                            <w:t>Judul</w:t>
                          </w:r>
                        </w:p>
                        <w:p w14:paraId="27F2C362" w14:textId="77777777" w:rsidR="006100EE" w:rsidRDefault="006100EE" w:rsidP="004E33C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56E341" id="_x0000_t202" coordsize="21600,21600" o:spt="202" path="m,l,21600r21600,l21600,xe">
              <v:stroke joinstyle="miter"/>
              <v:path gradientshapeok="t" o:connecttype="rect"/>
            </v:shapetype>
            <v:shape id="Text Box 9" o:spid="_x0000_s1026" type="#_x0000_t202" style="position:absolute;margin-left:.4pt;margin-top:11.1pt;width:418.95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" filled="f" stroked="f">
              <v:textbox>
                <w:txbxContent>
                  <w:p w14:paraId="5AE1EA9F" w14:textId="77777777" w:rsidR="00000000" w:rsidRPr="00CD46EE" w:rsidRDefault="00593994" w:rsidP="004E33C1">
                    <w:pPr>
                      <w:pStyle w:val="BasicParagraph"/>
                      <w:jc w:val="center"/>
                      <w:rPr>
                        <w:rFonts w:ascii="Times New Roman" w:hAnsi="Times New Roman" w:cs="Times New Roman"/>
                        <w:sz w:val="16"/>
                        <w:szCs w:val="16"/>
                        <w:lang w:val="id-ID"/>
                      </w:rPr>
                    </w:pPr>
                    <w:r>
                      <w:rPr>
                        <w:rFonts w:ascii="Times New Roman" w:hAnsi="Times New Roman" w:cs="Times New Roman"/>
                        <w:sz w:val="16"/>
                        <w:szCs w:val="16"/>
                        <w:lang w:val="id-ID"/>
                      </w:rPr>
                      <w:t>Judul</w:t>
                    </w:r>
                  </w:p>
                  <w:p w14:paraId="27F2C362" w14:textId="77777777" w:rsidR="00000000" w:rsidRDefault="00000000" w:rsidP="004E33C1">
                    <w:pPr>
                      <w:jc w:val="center"/>
                    </w:pPr>
                  </w:p>
                </w:txbxContent>
              </v:textbox>
            </v:shape>
          </w:pict>
        </mc:Fallback>
      </mc:AlternateContent>
    </w:r>
    <w:r>
      <w:rPr>
        <w:noProof/>
        <w:lang w:val="en-US"/>
      </w:rPr>
      <mc:AlternateContent>
        <mc:Choice Requires="wps">
          <w:drawing>
            <wp:anchor distT="0" distB="0" distL="114300" distR="114300" simplePos="0" relativeHeight="251659264" behindDoc="0" locked="0" layoutInCell="1" allowOverlap="1" wp14:anchorId="7A0AEFA1" wp14:editId="1097ECE0">
              <wp:simplePos x="0" y="0"/>
              <wp:positionH relativeFrom="column">
                <wp:posOffset>5677535</wp:posOffset>
              </wp:positionH>
              <wp:positionV relativeFrom="paragraph">
                <wp:posOffset>140970</wp:posOffset>
              </wp:positionV>
              <wp:extent cx="382270" cy="266700"/>
              <wp:effectExtent l="635" t="0" r="0" b="190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27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851ED" w14:textId="77777777" w:rsidR="006100EE" w:rsidRPr="00CD46EE" w:rsidRDefault="00593994" w:rsidP="004E33C1">
                          <w:pPr>
                            <w:rPr>
                              <w:sz w:val="16"/>
                              <w:szCs w:val="16"/>
                            </w:rPr>
                          </w:pPr>
                          <w:r w:rsidRPr="00CD46EE">
                            <w:rPr>
                              <w:sz w:val="16"/>
                              <w:szCs w:val="16"/>
                            </w:rPr>
                            <w:t>hal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0AEFA1" id="Text Box 5" o:spid="_x0000_s1027" type="#_x0000_t202" style="position:absolute;margin-left:447.05pt;margin-top:11.1pt;width:30.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" filled="f" stroked="f">
              <v:textbox>
                <w:txbxContent>
                  <w:p w14:paraId="1D8851ED" w14:textId="77777777" w:rsidR="00000000" w:rsidRPr="00CD46EE" w:rsidRDefault="00593994" w:rsidP="004E33C1">
                    <w:pPr>
                      <w:rPr>
                        <w:sz w:val="16"/>
                        <w:szCs w:val="16"/>
                      </w:rPr>
                    </w:pPr>
                    <w:r w:rsidRPr="00CD46EE">
                      <w:rPr>
                        <w:sz w:val="16"/>
                        <w:szCs w:val="16"/>
                      </w:rPr>
                      <w:t>hal</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C9E"/>
    <w:rsid w:val="000D56AB"/>
    <w:rsid w:val="0027683F"/>
    <w:rsid w:val="003E7EA5"/>
    <w:rsid w:val="003F5139"/>
    <w:rsid w:val="00474C9E"/>
    <w:rsid w:val="004C139B"/>
    <w:rsid w:val="00505D2E"/>
    <w:rsid w:val="00540EEC"/>
    <w:rsid w:val="00593994"/>
    <w:rsid w:val="006100EE"/>
    <w:rsid w:val="00823D87"/>
    <w:rsid w:val="00980FBC"/>
    <w:rsid w:val="009D24AA"/>
    <w:rsid w:val="00AB0077"/>
    <w:rsid w:val="00B7627D"/>
    <w:rsid w:val="00C70A1D"/>
    <w:rsid w:val="00C860E1"/>
    <w:rsid w:val="00CC5864"/>
    <w:rsid w:val="00D1527E"/>
    <w:rsid w:val="00D657CD"/>
    <w:rsid w:val="00E14689"/>
    <w:rsid w:val="00E92697"/>
    <w:rsid w:val="00ED6DE7"/>
    <w:rsid w:val="00F6626E"/>
    <w:rsid w:val="00FD4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B7710"/>
  <w15:chartTrackingRefBased/>
  <w15:docId w15:val="{1C67A9D1-2A03-400C-8F16-E6DBDD1B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C9E"/>
    <w:pPr>
      <w:spacing w:after="200" w:line="276"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rsid w:val="00474C9E"/>
    <w:rPr>
      <w:w w:val="100"/>
    </w:rPr>
  </w:style>
  <w:style w:type="character" w:styleId="Hyperlink">
    <w:name w:val="Hyperlink"/>
    <w:basedOn w:val="DefaultParagraphFont"/>
    <w:uiPriority w:val="99"/>
    <w:rsid w:val="00474C9E"/>
    <w:rPr>
      <w:color w:val="0000FF"/>
      <w:w w:val="100"/>
      <w:u w:val="thick" w:color="0000FF"/>
    </w:rPr>
  </w:style>
  <w:style w:type="paragraph" w:styleId="Header">
    <w:name w:val="header"/>
    <w:basedOn w:val="Normal"/>
    <w:link w:val="HeaderChar"/>
    <w:uiPriority w:val="99"/>
    <w:unhideWhenUsed/>
    <w:rsid w:val="00474C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4C9E"/>
    <w:rPr>
      <w:lang w:val="id-ID"/>
    </w:rPr>
  </w:style>
  <w:style w:type="paragraph" w:customStyle="1" w:styleId="BasicParagraph">
    <w:name w:val="[Basic Paragraph]"/>
    <w:basedOn w:val="Normal"/>
    <w:uiPriority w:val="99"/>
    <w:rsid w:val="00474C9E"/>
    <w:pPr>
      <w:autoSpaceDE w:val="0"/>
      <w:autoSpaceDN w:val="0"/>
      <w:adjustRightInd w:val="0"/>
      <w:spacing w:after="0" w:line="288" w:lineRule="auto"/>
      <w:textAlignment w:val="center"/>
    </w:pPr>
    <w:rPr>
      <w:rFonts w:ascii="Minion Pro" w:eastAsia="Times New Roman" w:hAnsi="Minion Pro" w:cs="Minion Pro"/>
      <w:color w:val="000000"/>
      <w:sz w:val="24"/>
      <w:szCs w:val="24"/>
      <w:lang w:val="en-US" w:eastAsia="id-ID"/>
    </w:rPr>
  </w:style>
  <w:style w:type="paragraph" w:styleId="NormalWeb">
    <w:name w:val="Normal (Web)"/>
    <w:basedOn w:val="Normal"/>
    <w:uiPriority w:val="99"/>
    <w:semiHidden/>
    <w:unhideWhenUsed/>
    <w:rsid w:val="00474C9E"/>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BalloonText">
    <w:name w:val="Balloon Text"/>
    <w:basedOn w:val="Normal"/>
    <w:link w:val="BalloonTextChar"/>
    <w:uiPriority w:val="99"/>
    <w:semiHidden/>
    <w:unhideWhenUsed/>
    <w:rsid w:val="0027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683F"/>
    <w:rPr>
      <w:rFonts w:ascii="Segoe UI" w:hAnsi="Segoe UI" w:cs="Segoe UI"/>
      <w:sz w:val="18"/>
      <w:szCs w:val="18"/>
      <w:lang w:val="id-ID"/>
    </w:rPr>
  </w:style>
  <w:style w:type="character" w:customStyle="1" w:styleId="markedcontent">
    <w:name w:val="markedcontent"/>
    <w:basedOn w:val="DefaultParagraphFont"/>
    <w:rsid w:val="00505D2E"/>
  </w:style>
  <w:style w:type="character" w:customStyle="1" w:styleId="hwtze">
    <w:name w:val="hwtze"/>
    <w:basedOn w:val="DefaultParagraphFont"/>
    <w:rsid w:val="00505D2E"/>
  </w:style>
  <w:style w:type="character" w:customStyle="1" w:styleId="rynqvb">
    <w:name w:val="rynqvb"/>
    <w:basedOn w:val="DefaultParagraphFont"/>
    <w:rsid w:val="00505D2E"/>
  </w:style>
  <w:style w:type="table" w:styleId="TableGrid">
    <w:name w:val="Table Grid"/>
    <w:basedOn w:val="TableNormal"/>
    <w:uiPriority w:val="39"/>
    <w:rsid w:val="009D24AA"/>
    <w:pPr>
      <w:spacing w:after="0" w:line="240" w:lineRule="auto"/>
    </w:pPr>
    <w:rPr>
      <w:rFonts w:ascii="Times New Roman" w:eastAsia="SimSun" w:hAnsi="Times New Roman" w:cs="Times New Roman"/>
      <w:sz w:val="20"/>
      <w:szCs w:val="20"/>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3032804">
      <w:bodyDiv w:val="1"/>
      <w:marLeft w:val="0"/>
      <w:marRight w:val="0"/>
      <w:marTop w:val="0"/>
      <w:marBottom w:val="0"/>
      <w:divBdr>
        <w:top w:val="none" w:sz="0" w:space="0" w:color="auto"/>
        <w:left w:val="none" w:sz="0" w:space="0" w:color="auto"/>
        <w:bottom w:val="none" w:sz="0" w:space="0" w:color="auto"/>
        <w:right w:val="none" w:sz="0" w:space="0" w:color="auto"/>
      </w:divBdr>
      <w:divsChild>
        <w:div w:id="454570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9CE1B2-6E67-4F65-B377-EC30D9E8BF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11965</Words>
  <Characters>85434</Characters>
  <Application>Microsoft Office Word</Application>
  <DocSecurity>0</DocSecurity>
  <Lines>1400</Lines>
  <Paragraphs>351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RyoSurrection</dc:creator>
  <cp:keywords/>
  <dc:description/>
  <cp:lastModifiedBy>Lenovo</cp:lastModifiedBy>
  <cp:revision>6</cp:revision>
  <dcterms:created xsi:type="dcterms:W3CDTF">2023-09-23T19:57:00Z</dcterms:created>
  <dcterms:modified xsi:type="dcterms:W3CDTF">2023-09-23T20:09:00Z</dcterms:modified>
</cp:coreProperties>
</file>